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060"/>
        </w:tabs>
        <w:spacing w:line="360" w:lineRule="auto"/>
        <w:ind w:left="-178" w:leftChars="-85"/>
        <w:jc w:val="center"/>
        <w:rPr>
          <w:bCs/>
          <w:sz w:val="36"/>
          <w:szCs w:val="36"/>
        </w:rPr>
      </w:pPr>
      <w:r>
        <w:rPr>
          <w:rFonts w:hint="eastAsia"/>
          <w:b/>
          <w:sz w:val="36"/>
          <w:szCs w:val="36"/>
          <w:lang w:val="en-US" w:eastAsia="zh-CN"/>
        </w:rPr>
        <w:t>推进</w:t>
      </w:r>
      <w:r>
        <w:rPr>
          <w:rFonts w:hint="eastAsia"/>
          <w:b/>
          <w:sz w:val="36"/>
          <w:szCs w:val="36"/>
        </w:rPr>
        <w:t>意见</w:t>
      </w:r>
    </w:p>
    <w:p>
      <w:pPr>
        <w:tabs>
          <w:tab w:val="left" w:pos="3060"/>
        </w:tabs>
        <w:spacing w:line="360" w:lineRule="auto"/>
        <w:rPr>
          <w:szCs w:val="28"/>
        </w:rPr>
      </w:pPr>
    </w:p>
    <w:p>
      <w:pPr>
        <w:tabs>
          <w:tab w:val="left" w:pos="3060"/>
        </w:tabs>
        <w:spacing w:line="560" w:lineRule="exact"/>
        <w:ind w:firstLine="560" w:firstLineChars="200"/>
        <w:rPr>
          <w:sz w:val="28"/>
          <w:szCs w:val="28"/>
        </w:rPr>
      </w:pPr>
      <w:r>
        <w:rPr>
          <w:rFonts w:hint="eastAsia" w:ascii="仿宋" w:hAnsi="仿宋" w:eastAsia="仿宋" w:cs="仿宋"/>
          <w:sz w:val="28"/>
          <w:szCs w:val="28"/>
        </w:rPr>
        <w:t>经初步评估，我部对本笔业务的相关意见及建议如下：</w:t>
      </w:r>
    </w:p>
    <w:p>
      <w:pPr>
        <w:numPr>
          <w:ilvl w:val="0"/>
          <w:numId w:val="1"/>
        </w:numPr>
        <w:tabs>
          <w:tab w:val="left" w:pos="3060"/>
        </w:tabs>
        <w:spacing w:line="560" w:lineRule="exact"/>
        <w:rPr>
          <w:rFonts w:ascii="仿宋" w:hAnsi="仿宋" w:eastAsia="仿宋" w:cs="仿宋"/>
          <w:b/>
          <w:bCs/>
          <w:sz w:val="28"/>
          <w:szCs w:val="28"/>
        </w:rPr>
      </w:pPr>
      <w:r>
        <w:rPr>
          <w:rFonts w:hint="eastAsia" w:ascii="仿宋" w:hAnsi="仿宋" w:eastAsia="仿宋" w:cs="仿宋"/>
          <w:b/>
          <w:bCs/>
          <w:sz w:val="28"/>
          <w:szCs w:val="28"/>
        </w:rPr>
        <w:t>公司基本情况</w:t>
      </w:r>
    </w:p>
    <w:p>
      <w:p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（一）基础信息</w:t>
      </w:r>
    </w:p>
    <w:tbl>
      <w:tblPr>
        <w:tblStyle w:val="4"/>
        <w:tblW w:w="9052"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2116"/>
        <w:gridCol w:w="2537"/>
        <w:gridCol w:w="23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008" w:type="dxa"/>
            <w:vAlign w:val="center"/>
          </w:tcPr>
          <w:p>
            <w:pPr>
              <w:jc w:val="center"/>
              <w:rPr>
                <w:rFonts w:ascii="宋体" w:hAnsi="宋体" w:cs="宋体"/>
                <w:szCs w:val="21"/>
              </w:rPr>
            </w:pPr>
            <w:r>
              <w:rPr>
                <w:rFonts w:hint="eastAsia" w:ascii="宋体" w:hAnsi="宋体" w:cs="宋体"/>
                <w:szCs w:val="21"/>
              </w:rPr>
              <w:t>申请人名称</w:t>
            </w:r>
          </w:p>
        </w:tc>
        <w:tc>
          <w:tcPr>
            <w:tcW w:w="2116"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2537" w:type="dxa"/>
            <w:vAlign w:val="center"/>
          </w:tcPr>
          <w:p>
            <w:pPr>
              <w:jc w:val="center"/>
              <w:rPr>
                <w:rFonts w:ascii="宋体" w:hAnsi="宋体" w:cs="宋体"/>
                <w:szCs w:val="21"/>
              </w:rPr>
            </w:pPr>
            <w:r>
              <w:rPr>
                <w:rFonts w:hint="eastAsia" w:ascii="宋体" w:hAnsi="宋体" w:cs="宋体"/>
                <w:szCs w:val="21"/>
              </w:rPr>
              <w:t>成立时间</w:t>
            </w:r>
          </w:p>
        </w:tc>
        <w:tc>
          <w:tcPr>
            <w:tcW w:w="2391" w:type="dxa"/>
            <w:vAlign w:val="center"/>
          </w:tcPr>
          <w:p>
            <w:pPr>
              <w:jc w:val="center"/>
              <w:rPr>
                <w:rFonts w:hint="eastAsia" w:ascii="宋体" w:hAnsi="宋体" w:cs="宋体" w:eastAsiaTheme="minorEastAsia"/>
                <w:szCs w:val="21"/>
                <w:lang w:eastAsia="zh-CN"/>
              </w:rPr>
            </w:pPr>
            <w:r>
              <w:rPr>
                <w:rFonts w:hint="eastAsia" w:ascii="宋体" w:hAnsi="宋体" w:cs="宋体"/>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008" w:type="dxa"/>
            <w:vAlign w:val="center"/>
          </w:tcPr>
          <w:p>
            <w:pPr>
              <w:jc w:val="center"/>
              <w:rPr>
                <w:rFonts w:ascii="宋体" w:hAnsi="宋体" w:cs="宋体"/>
                <w:szCs w:val="21"/>
              </w:rPr>
            </w:pPr>
            <w:r>
              <w:rPr>
                <w:rFonts w:hint="eastAsia" w:ascii="宋体" w:hAnsi="宋体" w:cs="宋体"/>
                <w:szCs w:val="21"/>
              </w:rPr>
              <w:t>注册资本（万元）</w:t>
            </w:r>
          </w:p>
        </w:tc>
        <w:tc>
          <w:tcPr>
            <w:tcW w:w="2116" w:type="dxa"/>
            <w:vAlign w:val="center"/>
          </w:tcPr>
          <w:p>
            <w:pPr>
              <w:jc w:val="center"/>
              <w:rPr>
                <w:rFonts w:hint="eastAsia" w:ascii="宋体" w:hAnsi="宋体" w:cs="宋体" w:eastAsiaTheme="minorEastAsia"/>
                <w:szCs w:val="21"/>
                <w:lang w:val="en-US" w:eastAsia="zh-CN"/>
              </w:rPr>
            </w:pPr>
            <w:r>
              <w:rPr>
                <w:rFonts w:hint="eastAsia" w:ascii="宋体" w:hAnsi="宋体" w:cs="宋体"/>
                <w:szCs w:val="21"/>
                <w:lang w:val="en-US" w:eastAsia="zh-CN"/>
              </w:rPr>
              <w:t>/</w:t>
            </w:r>
          </w:p>
        </w:tc>
        <w:tc>
          <w:tcPr>
            <w:tcW w:w="2537" w:type="dxa"/>
            <w:vAlign w:val="center"/>
          </w:tcPr>
          <w:p>
            <w:pPr>
              <w:jc w:val="center"/>
              <w:rPr>
                <w:rFonts w:ascii="宋体" w:hAnsi="宋体" w:cs="宋体"/>
                <w:szCs w:val="21"/>
              </w:rPr>
            </w:pPr>
            <w:r>
              <w:rPr>
                <w:rFonts w:hint="eastAsia" w:ascii="宋体" w:hAnsi="宋体" w:cs="宋体"/>
                <w:szCs w:val="21"/>
              </w:rPr>
              <w:t>实收资本（万元）</w:t>
            </w:r>
          </w:p>
        </w:tc>
        <w:tc>
          <w:tcPr>
            <w:tcW w:w="2391" w:type="dxa"/>
            <w:vAlign w:val="center"/>
          </w:tcPr>
          <w:p>
            <w:pPr>
              <w:jc w:val="center"/>
              <w:rPr>
                <w:rFonts w:hint="eastAsia" w:ascii="宋体" w:hAnsi="宋体" w:cs="宋体" w:eastAsiaTheme="minorEastAsia"/>
                <w:szCs w:val="21"/>
                <w:lang w:val="en-US" w:eastAsia="zh-CN"/>
              </w:rPr>
            </w:pPr>
            <w:r>
              <w:rPr>
                <w:rFonts w:hint="eastAsia" w:ascii="宋体" w:hAnsi="宋体" w:cs="宋体"/>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008" w:type="dxa"/>
            <w:vAlign w:val="center"/>
          </w:tcPr>
          <w:p>
            <w:pPr>
              <w:jc w:val="center"/>
              <w:rPr>
                <w:rFonts w:ascii="宋体" w:hAnsi="宋体" w:cs="宋体"/>
                <w:szCs w:val="21"/>
              </w:rPr>
            </w:pPr>
            <w:r>
              <w:rPr>
                <w:rFonts w:hint="eastAsia" w:ascii="宋体" w:hAnsi="宋体" w:cs="宋体"/>
                <w:szCs w:val="21"/>
              </w:rPr>
              <w:t>法定代表人</w:t>
            </w:r>
          </w:p>
        </w:tc>
        <w:tc>
          <w:tcPr>
            <w:tcW w:w="2116"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2537" w:type="dxa"/>
            <w:vAlign w:val="center"/>
          </w:tcPr>
          <w:p>
            <w:pPr>
              <w:jc w:val="center"/>
              <w:rPr>
                <w:rFonts w:ascii="宋体" w:hAnsi="宋体" w:cs="宋体"/>
                <w:szCs w:val="21"/>
              </w:rPr>
            </w:pPr>
            <w:r>
              <w:rPr>
                <w:rFonts w:hint="eastAsia" w:ascii="宋体" w:hAnsi="宋体" w:cs="宋体"/>
                <w:szCs w:val="21"/>
              </w:rPr>
              <w:t>实际控制人</w:t>
            </w:r>
          </w:p>
        </w:tc>
        <w:tc>
          <w:tcPr>
            <w:tcW w:w="2391" w:type="dxa"/>
            <w:vAlign w:val="center"/>
          </w:tcPr>
          <w:p>
            <w:pPr>
              <w:jc w:val="center"/>
              <w:rPr>
                <w:rFonts w:hint="eastAsia" w:ascii="宋体" w:hAnsi="宋体" w:cs="宋体" w:eastAsiaTheme="minorEastAsia"/>
                <w:szCs w:val="21"/>
                <w:lang w:eastAsia="zh-CN"/>
              </w:rPr>
            </w:pPr>
            <w:r>
              <w:rPr>
                <w:rFonts w:hint="eastAsia" w:ascii="宋体" w:hAnsi="宋体" w:cs="宋体"/>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008" w:type="dxa"/>
            <w:vAlign w:val="center"/>
          </w:tcPr>
          <w:p>
            <w:pPr>
              <w:jc w:val="center"/>
              <w:rPr>
                <w:rFonts w:ascii="宋体" w:hAnsi="宋体" w:cs="宋体"/>
                <w:szCs w:val="21"/>
              </w:rPr>
            </w:pPr>
            <w:r>
              <w:rPr>
                <w:rFonts w:hint="eastAsia" w:ascii="宋体" w:hAnsi="宋体" w:cs="宋体"/>
                <w:szCs w:val="21"/>
              </w:rPr>
              <w:t>注册地址</w:t>
            </w:r>
          </w:p>
        </w:tc>
        <w:tc>
          <w:tcPr>
            <w:tcW w:w="2116" w:type="dxa"/>
            <w:vAlign w:val="center"/>
          </w:tcPr>
          <w:p>
            <w:pPr>
              <w:jc w:val="center"/>
              <w:rPr>
                <w:rFonts w:hint="eastAsia" w:ascii="宋体" w:hAnsi="宋体" w:cs="宋体" w:eastAsiaTheme="minorEastAsia"/>
                <w:szCs w:val="21"/>
                <w:lang w:eastAsia="zh-CN"/>
              </w:rPr>
            </w:pPr>
            <w:r>
              <w:rPr>
                <w:rFonts w:hint="eastAsia" w:ascii="宋体" w:hAnsi="宋体" w:cs="宋体"/>
                <w:szCs w:val="21"/>
                <w:lang w:val="en-US" w:eastAsia="zh-CN"/>
              </w:rPr>
              <w:t>/</w:t>
            </w:r>
          </w:p>
        </w:tc>
        <w:tc>
          <w:tcPr>
            <w:tcW w:w="2537" w:type="dxa"/>
            <w:vAlign w:val="center"/>
          </w:tcPr>
          <w:p>
            <w:pPr>
              <w:jc w:val="center"/>
              <w:rPr>
                <w:rFonts w:ascii="宋体" w:hAnsi="宋体" w:cs="宋体"/>
                <w:szCs w:val="21"/>
              </w:rPr>
            </w:pPr>
            <w:r>
              <w:rPr>
                <w:rFonts w:hint="eastAsia" w:ascii="宋体" w:hAnsi="宋体" w:cs="宋体"/>
                <w:szCs w:val="21"/>
              </w:rPr>
              <w:t>经营地址</w:t>
            </w:r>
          </w:p>
        </w:tc>
        <w:tc>
          <w:tcPr>
            <w:tcW w:w="2391" w:type="dxa"/>
            <w:vAlign w:val="center"/>
          </w:tcPr>
          <w:p>
            <w:pPr>
              <w:jc w:val="center"/>
              <w:rPr>
                <w:rFonts w:ascii="宋体" w:hAnsi="宋体" w:cs="宋体"/>
                <w:szCs w:val="21"/>
              </w:rPr>
            </w:pPr>
            <w:r>
              <w:rPr>
                <w:rFonts w:hint="eastAsia" w:ascii="宋体" w:hAnsi="宋体" w:cs="宋体"/>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008" w:type="dxa"/>
            <w:vAlign w:val="center"/>
          </w:tcPr>
          <w:p>
            <w:pPr>
              <w:jc w:val="center"/>
              <w:rPr>
                <w:rFonts w:ascii="宋体" w:hAnsi="宋体" w:cs="宋体"/>
                <w:szCs w:val="21"/>
              </w:rPr>
            </w:pPr>
            <w:r>
              <w:rPr>
                <w:rFonts w:hint="eastAsia" w:ascii="宋体" w:hAnsi="宋体" w:cs="宋体"/>
                <w:szCs w:val="21"/>
              </w:rPr>
              <w:t>主营业务</w:t>
            </w:r>
          </w:p>
        </w:tc>
        <w:tc>
          <w:tcPr>
            <w:tcW w:w="7044" w:type="dxa"/>
            <w:gridSpan w:val="3"/>
            <w:vAlign w:val="center"/>
          </w:tcPr>
          <w:p>
            <w:pPr>
              <w:jc w:val="center"/>
              <w:rPr>
                <w:rFonts w:ascii="宋体" w:hAnsi="宋体" w:cs="宋体"/>
                <w:szCs w:val="21"/>
              </w:rPr>
            </w:pPr>
            <w:r>
              <w:rPr>
                <w:rFonts w:hint="eastAsia" w:ascii="宋体" w:hAnsi="宋体" w:cs="宋体"/>
                <w:szCs w:val="21"/>
                <w:lang w:val="en-US" w:eastAsia="zh-CN"/>
              </w:rPr>
              <w:t>XX企业</w:t>
            </w:r>
            <w:r>
              <w:rPr>
                <w:rFonts w:hint="eastAsia" w:ascii="宋体" w:hAnsi="宋体" w:cs="宋体"/>
                <w:szCs w:val="21"/>
              </w:rPr>
              <w:t>，</w:t>
            </w:r>
            <w:r>
              <w:rPr>
                <w:rFonts w:hint="eastAsia" w:ascii="宋体" w:hAnsi="宋体" w:cs="宋体"/>
                <w:szCs w:val="21"/>
                <w:lang w:val="en-US" w:eastAsia="zh-CN"/>
              </w:rPr>
              <w:t>XX</w:t>
            </w:r>
            <w:r>
              <w:rPr>
                <w:rFonts w:hint="eastAsia" w:ascii="宋体" w:hAnsi="宋体" w:cs="宋体"/>
                <w:szCs w:val="21"/>
              </w:rPr>
              <w:t>年成立于上海，专注于新能源材料的研发、生产、销售，公司始终致力于依靠科技创新为新能源产业发展提供强大助力，持续为用户提供更具价值、更高质量的锂电池相关材料的系统解决方案。主营业为新能源材料的研发、生产、销售，采用绿色生产工艺“一步液相固化法”生产、销售高性能磷酸铁锂。</w:t>
            </w:r>
          </w:p>
        </w:tc>
      </w:tr>
    </w:tbl>
    <w:p>
      <w:pPr>
        <w:numPr>
          <w:ilvl w:val="0"/>
          <w:numId w:val="2"/>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股权结构</w:t>
      </w:r>
    </w:p>
    <w:tbl>
      <w:tblPr>
        <w:tblStyle w:val="4"/>
        <w:tblW w:w="9095"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2"/>
        <w:gridCol w:w="2133"/>
        <w:gridCol w:w="2261"/>
        <w:gridCol w:w="1209"/>
        <w:gridCol w:w="2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732" w:type="dxa"/>
            <w:vAlign w:val="center"/>
          </w:tcPr>
          <w:p>
            <w:pPr>
              <w:jc w:val="center"/>
              <w:rPr>
                <w:rFonts w:ascii="宋体" w:hAnsi="宋体" w:cs="宋体"/>
                <w:szCs w:val="21"/>
              </w:rPr>
            </w:pPr>
            <w:r>
              <w:rPr>
                <w:rFonts w:hint="eastAsia" w:ascii="宋体" w:hAnsi="宋体" w:cs="宋体"/>
                <w:szCs w:val="21"/>
              </w:rPr>
              <w:t>序号</w:t>
            </w:r>
          </w:p>
        </w:tc>
        <w:tc>
          <w:tcPr>
            <w:tcW w:w="2133" w:type="dxa"/>
            <w:vAlign w:val="center"/>
          </w:tcPr>
          <w:p>
            <w:pPr>
              <w:jc w:val="center"/>
              <w:rPr>
                <w:rFonts w:ascii="宋体" w:hAnsi="宋体" w:cs="宋体"/>
                <w:szCs w:val="21"/>
              </w:rPr>
            </w:pPr>
            <w:r>
              <w:rPr>
                <w:rFonts w:hint="eastAsia" w:ascii="宋体" w:hAnsi="宋体" w:cs="宋体"/>
                <w:szCs w:val="21"/>
              </w:rPr>
              <w:t>股东名称</w:t>
            </w:r>
          </w:p>
        </w:tc>
        <w:tc>
          <w:tcPr>
            <w:tcW w:w="2261" w:type="dxa"/>
            <w:vAlign w:val="center"/>
          </w:tcPr>
          <w:p>
            <w:pPr>
              <w:jc w:val="center"/>
              <w:rPr>
                <w:rFonts w:ascii="宋体" w:hAnsi="宋体" w:cs="宋体"/>
                <w:szCs w:val="21"/>
              </w:rPr>
            </w:pPr>
            <w:r>
              <w:rPr>
                <w:rFonts w:hint="eastAsia" w:ascii="宋体" w:hAnsi="宋体" w:cs="宋体"/>
                <w:szCs w:val="21"/>
              </w:rPr>
              <w:t>认缴出资额（万元）</w:t>
            </w:r>
          </w:p>
        </w:tc>
        <w:tc>
          <w:tcPr>
            <w:tcW w:w="1209" w:type="dxa"/>
            <w:vAlign w:val="center"/>
          </w:tcPr>
          <w:p>
            <w:pPr>
              <w:jc w:val="center"/>
              <w:rPr>
                <w:rFonts w:ascii="宋体" w:hAnsi="宋体" w:cs="宋体"/>
                <w:szCs w:val="21"/>
              </w:rPr>
            </w:pPr>
            <w:r>
              <w:rPr>
                <w:rFonts w:hint="eastAsia" w:ascii="宋体" w:hAnsi="宋体" w:cs="宋体"/>
                <w:szCs w:val="21"/>
              </w:rPr>
              <w:t>股权比例</w:t>
            </w:r>
          </w:p>
        </w:tc>
        <w:tc>
          <w:tcPr>
            <w:tcW w:w="2760" w:type="dxa"/>
            <w:vAlign w:val="center"/>
          </w:tcPr>
          <w:p>
            <w:pPr>
              <w:jc w:val="center"/>
              <w:rPr>
                <w:rFonts w:ascii="宋体" w:hAnsi="宋体" w:cs="宋体"/>
                <w:szCs w:val="21"/>
              </w:rPr>
            </w:pPr>
            <w:r>
              <w:rPr>
                <w:rFonts w:hint="eastAsia" w:ascii="宋体" w:hAnsi="宋体" w:cs="宋体"/>
                <w:szCs w:val="21"/>
              </w:rPr>
              <w:t>股东性质说明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732" w:type="dxa"/>
            <w:vAlign w:val="center"/>
          </w:tcPr>
          <w:p>
            <w:pPr>
              <w:jc w:val="center"/>
              <w:rPr>
                <w:rFonts w:ascii="宋体" w:hAnsi="宋体" w:cs="宋体"/>
                <w:szCs w:val="21"/>
              </w:rPr>
            </w:pPr>
            <w:r>
              <w:rPr>
                <w:rFonts w:hint="eastAsia" w:ascii="宋体" w:hAnsi="宋体" w:cs="宋体"/>
                <w:szCs w:val="21"/>
              </w:rPr>
              <w:t>1</w:t>
            </w:r>
          </w:p>
        </w:tc>
        <w:tc>
          <w:tcPr>
            <w:tcW w:w="2133"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2261"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1209" w:type="dxa"/>
            <w:vAlign w:val="center"/>
          </w:tcPr>
          <w:p>
            <w:pPr>
              <w:jc w:val="center"/>
              <w:rPr>
                <w:rFonts w:hint="eastAsia" w:ascii="宋体" w:hAnsi="宋体" w:cs="宋体" w:eastAsiaTheme="minorEastAsia"/>
                <w:szCs w:val="21"/>
                <w:lang w:val="en-US" w:eastAsia="zh-CN"/>
              </w:rPr>
            </w:pPr>
            <w:r>
              <w:rPr>
                <w:rFonts w:hint="eastAsia" w:ascii="宋体" w:hAnsi="宋体" w:cs="宋体"/>
                <w:szCs w:val="21"/>
                <w:lang w:val="en-US" w:eastAsia="zh-CN"/>
              </w:rPr>
              <w:t>/</w:t>
            </w:r>
          </w:p>
        </w:tc>
        <w:tc>
          <w:tcPr>
            <w:tcW w:w="2760"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产业基金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732" w:type="dxa"/>
            <w:vAlign w:val="center"/>
          </w:tcPr>
          <w:p>
            <w:pPr>
              <w:jc w:val="center"/>
              <w:rPr>
                <w:rFonts w:ascii="宋体" w:hAnsi="宋体" w:cs="宋体"/>
                <w:szCs w:val="21"/>
              </w:rPr>
            </w:pPr>
            <w:r>
              <w:rPr>
                <w:rFonts w:hint="eastAsia" w:ascii="宋体" w:hAnsi="宋体" w:cs="宋体"/>
                <w:szCs w:val="21"/>
              </w:rPr>
              <w:t>2</w:t>
            </w:r>
          </w:p>
        </w:tc>
        <w:tc>
          <w:tcPr>
            <w:tcW w:w="2133" w:type="dxa"/>
            <w:vAlign w:val="center"/>
          </w:tcPr>
          <w:p>
            <w:pPr>
              <w:jc w:val="center"/>
              <w:rPr>
                <w:rFonts w:hint="eastAsia" w:ascii="宋体" w:hAnsi="宋体" w:cs="宋体" w:eastAsiaTheme="minorEastAsia"/>
                <w:szCs w:val="21"/>
                <w:lang w:val="en-US" w:eastAsia="zh-CN"/>
              </w:rPr>
            </w:pPr>
            <w:r>
              <w:rPr>
                <w:rFonts w:hint="eastAsia" w:ascii="宋体" w:hAnsi="宋体" w:cs="宋体"/>
                <w:szCs w:val="21"/>
                <w:lang w:val="en-US" w:eastAsia="zh-CN"/>
              </w:rPr>
              <w:t>/</w:t>
            </w:r>
          </w:p>
        </w:tc>
        <w:tc>
          <w:tcPr>
            <w:tcW w:w="2261"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1209" w:type="dxa"/>
            <w:vAlign w:val="center"/>
          </w:tcPr>
          <w:p>
            <w:pPr>
              <w:jc w:val="center"/>
              <w:rPr>
                <w:rFonts w:hint="eastAsia" w:ascii="宋体" w:hAnsi="宋体" w:cs="宋体" w:eastAsiaTheme="minorEastAsia"/>
                <w:szCs w:val="21"/>
                <w:lang w:val="en-US" w:eastAsia="zh-CN"/>
              </w:rPr>
            </w:pPr>
            <w:r>
              <w:rPr>
                <w:rFonts w:hint="eastAsia" w:ascii="宋体" w:hAnsi="宋体" w:cs="宋体"/>
                <w:szCs w:val="21"/>
                <w:lang w:val="en-US" w:eastAsia="zh-CN"/>
              </w:rPr>
              <w:t>/</w:t>
            </w:r>
          </w:p>
        </w:tc>
        <w:tc>
          <w:tcPr>
            <w:tcW w:w="2760"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自然人股东</w:t>
            </w:r>
          </w:p>
        </w:tc>
      </w:tr>
    </w:tbl>
    <w:p>
      <w:pPr>
        <w:numPr>
          <w:ilvl w:val="0"/>
          <w:numId w:val="2"/>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核心产品及应用</w:t>
      </w:r>
    </w:p>
    <w:p>
      <w:pPr>
        <w:tabs>
          <w:tab w:val="left" w:pos="3060"/>
        </w:tabs>
        <w:spacing w:line="560" w:lineRule="exact"/>
        <w:ind w:firstLine="560" w:firstLineChars="200"/>
        <w:rPr>
          <w:rFonts w:ascii="仿宋" w:hAnsi="仿宋" w:eastAsia="仿宋" w:cs="仿宋"/>
          <w:sz w:val="28"/>
          <w:szCs w:val="28"/>
        </w:rPr>
      </w:pPr>
      <w:r>
        <w:rPr>
          <w:rFonts w:hint="eastAsia" w:ascii="仿宋" w:hAnsi="仿宋" w:eastAsia="仿宋" w:cs="仿宋"/>
          <w:sz w:val="28"/>
          <w:szCs w:val="28"/>
          <w:lang w:val="en-US" w:eastAsia="zh-CN"/>
        </w:rPr>
        <w:t>XX</w:t>
      </w:r>
      <w:r>
        <w:rPr>
          <w:rFonts w:hint="eastAsia" w:ascii="仿宋" w:hAnsi="仿宋" w:eastAsia="仿宋" w:cs="仿宋"/>
          <w:sz w:val="28"/>
          <w:szCs w:val="28"/>
        </w:rPr>
        <w:t>目前</w:t>
      </w:r>
      <w:r>
        <w:rPr>
          <w:rFonts w:hint="eastAsia" w:ascii="仿宋" w:hAnsi="仿宋" w:eastAsia="仿宋" w:cs="仿宋"/>
          <w:sz w:val="28"/>
          <w:szCs w:val="28"/>
          <w:lang w:val="en-US" w:eastAsia="zh-CN"/>
        </w:rPr>
        <w:t>的核心产品为</w:t>
      </w:r>
      <w:r>
        <w:rPr>
          <w:rFonts w:hint="eastAsia" w:ascii="仿宋" w:hAnsi="仿宋" w:eastAsia="仿宋" w:cs="仿宋"/>
          <w:sz w:val="28"/>
          <w:szCs w:val="28"/>
        </w:rPr>
        <w:t>创新型磷酸铁锂电池正极材料，采用第</w:t>
      </w:r>
      <w:r>
        <w:rPr>
          <w:rFonts w:hint="eastAsia" w:ascii="仿宋" w:hAnsi="仿宋" w:eastAsia="仿宋" w:cs="仿宋"/>
          <w:sz w:val="28"/>
          <w:szCs w:val="28"/>
          <w:lang w:val="en-US" w:eastAsia="zh-CN"/>
        </w:rPr>
        <w:t>三</w:t>
      </w:r>
      <w:r>
        <w:rPr>
          <w:rFonts w:hint="eastAsia" w:ascii="仿宋" w:hAnsi="仿宋" w:eastAsia="仿宋" w:cs="仿宋"/>
          <w:sz w:val="28"/>
          <w:szCs w:val="28"/>
        </w:rPr>
        <w:t>代绿色一步法磷酸铁锂工艺，通过对无机化学与材料合成机理的深入研究，直接采用高纯铁粉、磷酸和碳酸锂为原料，一步法合成纳米磷酸铁锂，具有产线固定投资小，原材料最简化，工艺流程短，无固废与废水，能耗低，材料性能好，高性价比（</w:t>
      </w:r>
      <w:r>
        <w:rPr>
          <w:rFonts w:hint="eastAsia" w:ascii="仿宋" w:hAnsi="仿宋" w:eastAsia="仿宋" w:cs="仿宋"/>
          <w:sz w:val="28"/>
          <w:szCs w:val="28"/>
          <w:lang w:val="en-US" w:eastAsia="zh-CN"/>
        </w:rPr>
        <w:t>非锂</w:t>
      </w:r>
      <w:r>
        <w:rPr>
          <w:rFonts w:hint="eastAsia" w:ascii="仿宋" w:hAnsi="仿宋" w:eastAsia="仿宋" w:cs="仿宋"/>
          <w:sz w:val="28"/>
          <w:szCs w:val="28"/>
        </w:rPr>
        <w:t>成本相比磷酸铁工艺降低</w:t>
      </w:r>
      <w:r>
        <w:rPr>
          <w:rFonts w:hint="eastAsia" w:ascii="仿宋" w:hAnsi="仿宋" w:eastAsia="仿宋" w:cs="仿宋"/>
          <w:sz w:val="28"/>
          <w:szCs w:val="28"/>
          <w:lang w:val="en-US" w:eastAsia="zh-CN"/>
        </w:rPr>
        <w:t>3</w:t>
      </w:r>
      <w:r>
        <w:rPr>
          <w:rFonts w:hint="eastAsia" w:ascii="仿宋" w:hAnsi="仿宋" w:eastAsia="仿宋" w:cs="仿宋"/>
          <w:sz w:val="28"/>
          <w:szCs w:val="28"/>
        </w:rPr>
        <w:t>0%）的显著综合优势</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且</w:t>
      </w:r>
      <w:r>
        <w:rPr>
          <w:rFonts w:hint="eastAsia" w:ascii="仿宋" w:hAnsi="仿宋" w:eastAsia="仿宋" w:cs="仿宋"/>
          <w:sz w:val="28"/>
          <w:szCs w:val="28"/>
        </w:rPr>
        <w:t>可以合成出不同压实密度、克容量、倍率性能的多种牌号磷酸铁锂，分别适用于电动汽车、储能、启停电源等不同要求的场景。</w:t>
      </w:r>
    </w:p>
    <w:p>
      <w:pPr>
        <w:numPr>
          <w:ilvl w:val="0"/>
          <w:numId w:val="2"/>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融资历史及估值</w:t>
      </w:r>
    </w:p>
    <w:tbl>
      <w:tblPr>
        <w:tblStyle w:val="4"/>
        <w:tblW w:w="9178"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0"/>
        <w:gridCol w:w="2031"/>
        <w:gridCol w:w="2285"/>
        <w:gridCol w:w="1776"/>
        <w:gridCol w:w="17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310" w:type="dxa"/>
            <w:vAlign w:val="center"/>
          </w:tcPr>
          <w:p>
            <w:pPr>
              <w:jc w:val="center"/>
              <w:rPr>
                <w:rFonts w:ascii="宋体" w:hAnsi="宋体" w:cs="宋体"/>
                <w:szCs w:val="21"/>
              </w:rPr>
            </w:pPr>
            <w:r>
              <w:rPr>
                <w:rFonts w:hint="eastAsia" w:ascii="宋体" w:hAnsi="宋体" w:cs="宋体"/>
                <w:szCs w:val="21"/>
              </w:rPr>
              <w:t>轮次</w:t>
            </w:r>
          </w:p>
        </w:tc>
        <w:tc>
          <w:tcPr>
            <w:tcW w:w="2031" w:type="dxa"/>
            <w:vAlign w:val="center"/>
          </w:tcPr>
          <w:p>
            <w:pPr>
              <w:jc w:val="center"/>
              <w:rPr>
                <w:rFonts w:ascii="宋体" w:hAnsi="宋体" w:cs="宋体"/>
                <w:szCs w:val="21"/>
              </w:rPr>
            </w:pPr>
            <w:r>
              <w:rPr>
                <w:rFonts w:hint="eastAsia" w:ascii="宋体" w:hAnsi="宋体" w:cs="宋体"/>
                <w:szCs w:val="21"/>
              </w:rPr>
              <w:t>完成时间</w:t>
            </w:r>
          </w:p>
        </w:tc>
        <w:tc>
          <w:tcPr>
            <w:tcW w:w="2285" w:type="dxa"/>
            <w:vAlign w:val="center"/>
          </w:tcPr>
          <w:p>
            <w:pPr>
              <w:jc w:val="center"/>
              <w:rPr>
                <w:rFonts w:ascii="宋体" w:hAnsi="宋体" w:cs="宋体"/>
                <w:szCs w:val="21"/>
              </w:rPr>
            </w:pPr>
            <w:r>
              <w:rPr>
                <w:rFonts w:hint="eastAsia" w:ascii="宋体" w:hAnsi="宋体" w:cs="宋体"/>
                <w:szCs w:val="21"/>
              </w:rPr>
              <w:t>投资人/机构</w:t>
            </w:r>
          </w:p>
        </w:tc>
        <w:tc>
          <w:tcPr>
            <w:tcW w:w="1776" w:type="dxa"/>
            <w:vAlign w:val="center"/>
          </w:tcPr>
          <w:p>
            <w:pPr>
              <w:jc w:val="center"/>
              <w:rPr>
                <w:rFonts w:ascii="宋体" w:hAnsi="宋体" w:cs="宋体"/>
                <w:szCs w:val="21"/>
              </w:rPr>
            </w:pPr>
            <w:r>
              <w:rPr>
                <w:rFonts w:hint="eastAsia" w:ascii="宋体" w:hAnsi="宋体" w:cs="宋体"/>
                <w:szCs w:val="21"/>
              </w:rPr>
              <w:t>投资金额（万元）</w:t>
            </w:r>
          </w:p>
        </w:tc>
        <w:tc>
          <w:tcPr>
            <w:tcW w:w="1776" w:type="dxa"/>
            <w:vAlign w:val="center"/>
          </w:tcPr>
          <w:p>
            <w:pPr>
              <w:jc w:val="center"/>
              <w:rPr>
                <w:rFonts w:ascii="宋体" w:hAnsi="宋体" w:cs="宋体"/>
                <w:szCs w:val="21"/>
              </w:rPr>
            </w:pPr>
            <w:r>
              <w:rPr>
                <w:rFonts w:hint="eastAsia" w:ascii="宋体" w:hAnsi="宋体" w:cs="宋体"/>
                <w:szCs w:val="21"/>
              </w:rPr>
              <w:t>投后估值（万元）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310" w:type="dxa"/>
            <w:vAlign w:val="center"/>
          </w:tcPr>
          <w:p>
            <w:pPr>
              <w:jc w:val="center"/>
              <w:rPr>
                <w:rFonts w:hint="eastAsia" w:ascii="宋体" w:hAnsi="宋体" w:cs="宋体" w:eastAsiaTheme="minorEastAsia"/>
                <w:szCs w:val="21"/>
                <w:lang w:val="en-US" w:eastAsia="zh-CN"/>
              </w:rPr>
            </w:pPr>
            <w:r>
              <w:rPr>
                <w:rFonts w:hint="eastAsia" w:ascii="宋体" w:hAnsi="宋体" w:cs="宋体"/>
                <w:szCs w:val="21"/>
                <w:lang w:val="en-US" w:eastAsia="zh-CN"/>
              </w:rPr>
              <w:t>天使轮</w:t>
            </w:r>
          </w:p>
        </w:tc>
        <w:tc>
          <w:tcPr>
            <w:tcW w:w="2031"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2285"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1776"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500</w:t>
            </w:r>
          </w:p>
        </w:tc>
        <w:tc>
          <w:tcPr>
            <w:tcW w:w="1776"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310"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PreA轮</w:t>
            </w:r>
          </w:p>
        </w:tc>
        <w:tc>
          <w:tcPr>
            <w:tcW w:w="2031"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2285"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1776"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1000</w:t>
            </w:r>
          </w:p>
        </w:tc>
        <w:tc>
          <w:tcPr>
            <w:tcW w:w="1776"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4333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310"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A轮</w:t>
            </w:r>
          </w:p>
        </w:tc>
        <w:tc>
          <w:tcPr>
            <w:tcW w:w="2031"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w:t>
            </w:r>
          </w:p>
        </w:tc>
        <w:tc>
          <w:tcPr>
            <w:tcW w:w="2285" w:type="dxa"/>
            <w:vAlign w:val="center"/>
          </w:tcPr>
          <w:p>
            <w:pPr>
              <w:jc w:val="center"/>
              <w:rPr>
                <w:rFonts w:hint="eastAsia" w:ascii="宋体" w:hAnsi="宋体" w:cs="宋体" w:eastAsiaTheme="minorEastAsia"/>
                <w:szCs w:val="21"/>
                <w:lang w:val="en-US" w:eastAsia="zh-CN"/>
              </w:rPr>
            </w:pPr>
            <w:r>
              <w:rPr>
                <w:rFonts w:hint="eastAsia" w:ascii="宋体" w:hAnsi="宋体" w:cs="宋体"/>
                <w:szCs w:val="21"/>
                <w:lang w:val="en-US" w:eastAsia="zh-CN"/>
              </w:rPr>
              <w:t>/</w:t>
            </w:r>
          </w:p>
        </w:tc>
        <w:tc>
          <w:tcPr>
            <w:tcW w:w="1776"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1000</w:t>
            </w:r>
          </w:p>
        </w:tc>
        <w:tc>
          <w:tcPr>
            <w:tcW w:w="1776" w:type="dxa"/>
            <w:vAlign w:val="center"/>
          </w:tcPr>
          <w:p>
            <w:pPr>
              <w:jc w:val="center"/>
              <w:rPr>
                <w:rFonts w:hint="default" w:ascii="宋体" w:hAnsi="宋体" w:cs="宋体" w:eastAsiaTheme="minorEastAsia"/>
                <w:szCs w:val="21"/>
                <w:lang w:val="en-US" w:eastAsia="zh-CN"/>
              </w:rPr>
            </w:pPr>
            <w:r>
              <w:rPr>
                <w:rFonts w:hint="eastAsia" w:ascii="宋体" w:hAnsi="宋体" w:cs="宋体"/>
                <w:szCs w:val="21"/>
                <w:lang w:val="en-US" w:eastAsia="zh-CN"/>
              </w:rPr>
              <w:t>20000</w:t>
            </w:r>
          </w:p>
        </w:tc>
      </w:tr>
    </w:tbl>
    <w:p>
      <w:pPr>
        <w:tabs>
          <w:tab w:val="left" w:pos="3060"/>
        </w:tabs>
        <w:spacing w:line="360" w:lineRule="auto"/>
        <w:rPr>
          <w:rFonts w:ascii="仿宋" w:hAnsi="仿宋" w:eastAsia="仿宋" w:cs="仿宋"/>
          <w:b/>
          <w:bCs/>
          <w:sz w:val="28"/>
          <w:szCs w:val="28"/>
        </w:rPr>
      </w:pPr>
    </w:p>
    <w:p>
      <w:pPr>
        <w:numPr>
          <w:ilvl w:val="0"/>
          <w:numId w:val="1"/>
        </w:numPr>
        <w:tabs>
          <w:tab w:val="left" w:pos="3060"/>
        </w:tabs>
        <w:spacing w:line="560" w:lineRule="exact"/>
        <w:rPr>
          <w:rFonts w:ascii="仿宋" w:hAnsi="仿宋" w:eastAsia="仿宋" w:cs="仿宋"/>
          <w:b/>
          <w:bCs/>
          <w:sz w:val="28"/>
          <w:szCs w:val="28"/>
        </w:rPr>
      </w:pPr>
      <w:r>
        <w:rPr>
          <w:rFonts w:hint="eastAsia" w:ascii="仿宋" w:hAnsi="仿宋" w:eastAsia="仿宋" w:cs="仿宋"/>
          <w:b/>
          <w:bCs/>
          <w:sz w:val="28"/>
          <w:szCs w:val="28"/>
        </w:rPr>
        <w:t>行业概述</w:t>
      </w:r>
    </w:p>
    <w:p>
      <w:pPr>
        <w:numPr>
          <w:ilvl w:val="0"/>
          <w:numId w:val="3"/>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行业相关政策与景气度</w:t>
      </w:r>
    </w:p>
    <w:p>
      <w:pPr>
        <w:numPr>
          <w:ilvl w:val="0"/>
          <w:numId w:val="0"/>
        </w:numPr>
        <w:tabs>
          <w:tab w:val="left" w:pos="3060"/>
        </w:tabs>
        <w:spacing w:line="56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2021年是“十四五”开局之年，中国的新能源产业迎来了前所未有的发展空间。习近平主席在2020年9月和12月两次表态，定下了中国二氧化碳排放2030年前达到峰值、2060年前实现碳中和，以及2030年非化石能源占一次能源消费比重达到25%、风电、太阳能发电装机达到12亿千瓦以上的新目标。“十四五”规划中的碳达峰、碳中和，对风电、光伏、新能源汽车的发展都有极大的促进作用，从而对储能电池和动力电池会有越来越大的需求。</w:t>
      </w:r>
    </w:p>
    <w:p>
      <w:pPr>
        <w:numPr>
          <w:ilvl w:val="0"/>
          <w:numId w:val="3"/>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市场规模及发展趋势</w:t>
      </w:r>
    </w:p>
    <w:p>
      <w:pPr>
        <w:numPr>
          <w:ilvl w:val="0"/>
          <w:numId w:val="0"/>
        </w:numPr>
        <w:tabs>
          <w:tab w:val="left" w:pos="3060"/>
        </w:tabs>
        <w:spacing w:line="560" w:lineRule="exact"/>
        <w:ind w:firstLine="560" w:firstLineChars="200"/>
        <w:rPr>
          <w:rFonts w:ascii="仿宋" w:hAnsi="仿宋" w:eastAsia="仿宋" w:cs="仿宋"/>
          <w:sz w:val="28"/>
          <w:szCs w:val="28"/>
        </w:rPr>
      </w:pPr>
      <w:r>
        <w:rPr>
          <w:rFonts w:hint="eastAsia" w:ascii="仿宋" w:hAnsi="仿宋" w:eastAsia="仿宋" w:cs="仿宋"/>
          <w:sz w:val="28"/>
          <w:szCs w:val="28"/>
        </w:rPr>
        <w:t>2021 年以来，《关于加快推动新型储能发展的指导意见》、《关于鼓励可再生能源发电企业自建或购买调峰能力增加并网规模的通知》等支持政策陆续发布，提出到2025 年，实现新型储能从商业化初期向规模化发展转变，装机规模达 3,000 万千瓦以上，到 2030 年，实现新型储能全面市场化发展。未来我国锂电池正极材料行业发展将逐渐规范化、标准化，随着新能源汽车、储能等领域鼓励政策的陆续实施，我国锂电池产业链需求将进一步提高，锂电池正极材料行业发展前景广阔。</w:t>
      </w:r>
    </w:p>
    <w:p>
      <w:pPr>
        <w:numPr>
          <w:ilvl w:val="0"/>
          <w:numId w:val="3"/>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产业链情况及公司所处位置</w:t>
      </w:r>
    </w:p>
    <w:p>
      <w:pPr>
        <w:numPr>
          <w:ilvl w:val="0"/>
          <w:numId w:val="0"/>
        </w:numPr>
        <w:tabs>
          <w:tab w:val="left" w:pos="3060"/>
        </w:tabs>
        <w:spacing w:line="560" w:lineRule="exact"/>
        <w:ind w:firstLine="560" w:firstLineChars="200"/>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在锂电池正极材料产业链中，上游环节为正极原材料（包括锂、钴、镍等矿物原材料）、辅材（如导电剂、粘结剂等）和正极材料制造设备；</w:t>
      </w:r>
    </w:p>
    <w:p>
      <w:pPr>
        <w:numPr>
          <w:ilvl w:val="0"/>
          <w:numId w:val="0"/>
        </w:numPr>
        <w:tabs>
          <w:tab w:val="left" w:pos="3060"/>
        </w:tabs>
        <w:spacing w:line="560" w:lineRule="exact"/>
        <w:ind w:firstLine="560" w:firstLineChars="200"/>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中游环节为正极材料的加工与制造。锂电池正极材料是锂电池电化学性能的决定性因素，对电池的能量密度及安全性能起主导作用，占锂离子电池总成本的30%-40%。目前，全球主流的锂电池正极材料包括钴酸锂、锰酸锂、磷酸铁锂和三元材料。</w:t>
      </w:r>
    </w:p>
    <w:p>
      <w:pPr>
        <w:numPr>
          <w:ilvl w:val="0"/>
          <w:numId w:val="0"/>
        </w:numPr>
        <w:tabs>
          <w:tab w:val="left" w:pos="3060"/>
        </w:tabs>
        <w:spacing w:line="560" w:lineRule="exact"/>
        <w:ind w:firstLine="560" w:firstLineChars="200"/>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下游环节为锂电池及其应用行业，包括以电动汽车为代表的动力锂电池领域、智能手机为代表的3C锂电池领域以及通信基站为代表的储能锂电池等三大领域。</w:t>
      </w:r>
    </w:p>
    <w:p>
      <w:pPr>
        <w:numPr>
          <w:ilvl w:val="0"/>
          <w:numId w:val="0"/>
        </w:numPr>
        <w:tabs>
          <w:tab w:val="left" w:pos="3060"/>
        </w:tabs>
        <w:spacing w:line="240" w:lineRule="auto"/>
        <w:rPr>
          <w:rFonts w:ascii="仿宋" w:hAnsi="仿宋" w:eastAsia="仿宋" w:cs="仿宋"/>
          <w:sz w:val="28"/>
          <w:szCs w:val="28"/>
        </w:rPr>
      </w:pPr>
      <w:r>
        <w:rPr>
          <w:rFonts w:hint="default" w:ascii="微软雅黑" w:hAnsi="微软雅黑" w:eastAsia="微软雅黑" w:cs="微软雅黑"/>
          <w:kern w:val="0"/>
          <w:sz w:val="28"/>
          <w:szCs w:val="28"/>
          <w:lang w:val="en-US" w:eastAsia="zh-CN" w:bidi="ar"/>
        </w:rPr>
      </w:r>
    </w:p>
    <w:p>
      <w:pPr>
        <w:numPr>
          <w:ilvl w:val="0"/>
          <w:numId w:val="3"/>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近年来行业内股权融资情况</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1、2024年5月22日，常州锂源新能源科技有限公司获得A轮融资，金额2.85亿元，投资方：中石油昆仑资本 （一家新能源材料供应商，主要提供磷酸铁锂正极材料）</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2024年5月24日，瑞固（衢州）新材料科技有限公司获得天使轮融资，金额1亿元，投资方：紫金港资本、成铭资本（领投）、龙游县产业基金（一期全固态电解质量产线的建成，将成为国内第一批落地的硫化物固态电解质生产项目）</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2024年5月27日，安徽宸昌新材料有限公司获得B轮融资，金额近亿元，投资方：五源资本（领投）、中科创星、合肥创新投（一家锂电池添加剂生产商，专注于新型电解质锂盐/钠盐及添加剂的研发、制造和销售，主要产品包括LiFSI、NaFSI、LiODFB和LiBOB等。公司位于安徽宣城）</w:t>
      </w:r>
    </w:p>
    <w:p>
      <w:pPr>
        <w:numPr>
          <w:ilvl w:val="0"/>
          <w:numId w:val="1"/>
        </w:numPr>
        <w:tabs>
          <w:tab w:val="left" w:pos="3060"/>
        </w:tabs>
        <w:spacing w:line="560" w:lineRule="exact"/>
        <w:rPr>
          <w:rFonts w:ascii="仿宋" w:hAnsi="仿宋" w:eastAsia="仿宋" w:cs="仿宋"/>
          <w:b/>
          <w:bCs/>
          <w:sz w:val="28"/>
          <w:szCs w:val="28"/>
        </w:rPr>
      </w:pPr>
      <w:r>
        <w:rPr>
          <w:rFonts w:hint="eastAsia" w:ascii="仿宋" w:hAnsi="仿宋" w:eastAsia="仿宋" w:cs="仿宋"/>
          <w:b/>
          <w:bCs/>
          <w:sz w:val="28"/>
          <w:szCs w:val="28"/>
        </w:rPr>
        <w:t>市场竞争情况</w:t>
      </w:r>
    </w:p>
    <w:p>
      <w:pPr>
        <w:numPr>
          <w:ilvl w:val="0"/>
          <w:numId w:val="4"/>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行业准入壁垒</w:t>
      </w:r>
    </w:p>
    <w:p>
      <w:pPr>
        <w:numPr>
          <w:ilvl w:val="0"/>
          <w:numId w:val="0"/>
        </w:numPr>
        <w:tabs>
          <w:tab w:val="left" w:pos="3060"/>
        </w:tabs>
        <w:spacing w:line="560" w:lineRule="exact"/>
        <w:rPr>
          <w:rFonts w:hint="eastAsia" w:ascii="仿宋" w:hAnsi="仿宋" w:eastAsia="仿宋" w:cs="仿宋"/>
          <w:b/>
          <w:bCs/>
          <w:sz w:val="28"/>
          <w:szCs w:val="28"/>
        </w:rPr>
      </w:pP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技术工艺壁垒</w:t>
      </w:r>
    </w:p>
    <w:p>
      <w:pPr>
        <w:numPr>
          <w:ilvl w:val="0"/>
          <w:numId w:val="0"/>
        </w:numPr>
        <w:tabs>
          <w:tab w:val="left" w:pos="3060"/>
        </w:tabs>
        <w:spacing w:line="56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锂离子储能电池的生产工艺复杂，过程控制严格，原材料的选择、机器设备的调试以及生产流程的设置等均需多年的技术经验积累，加之近年来储能锂离子电池不断向高安全性、长循环寿命的方向发展，技术和工艺壁垒不断提高。行业新进入者短期内往往无法突破关键技术，也难以优化工艺流程，从而面临一定的技术工艺壁垒。</w:t>
      </w:r>
    </w:p>
    <w:p>
      <w:pPr>
        <w:numPr>
          <w:ilvl w:val="0"/>
          <w:numId w:val="5"/>
        </w:numPr>
        <w:tabs>
          <w:tab w:val="left" w:pos="3060"/>
        </w:tabs>
        <w:spacing w:line="560" w:lineRule="exact"/>
        <w:rPr>
          <w:rFonts w:hint="eastAsia" w:ascii="仿宋" w:hAnsi="仿宋" w:eastAsia="仿宋" w:cs="仿宋"/>
          <w:b/>
          <w:bCs/>
          <w:sz w:val="28"/>
          <w:szCs w:val="28"/>
        </w:rPr>
      </w:pPr>
      <w:r>
        <w:rPr>
          <w:rFonts w:hint="eastAsia" w:ascii="仿宋" w:hAnsi="仿宋" w:eastAsia="仿宋" w:cs="仿宋"/>
          <w:b/>
          <w:bCs/>
          <w:sz w:val="28"/>
          <w:szCs w:val="28"/>
        </w:rPr>
        <w:t>客户资源壁垒</w:t>
      </w:r>
    </w:p>
    <w:p>
      <w:pPr>
        <w:numPr>
          <w:ilvl w:val="0"/>
          <w:numId w:val="0"/>
        </w:numPr>
        <w:tabs>
          <w:tab w:val="left" w:pos="3060"/>
        </w:tabs>
        <w:spacing w:line="56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储能电池的下游应用领域主要包括通信基站、数据中心、电力系统等涉及国计民生的重要领域，对电池质量要求较高。通信基站领域的主要客户为中国移动、中国联通、中国电信及中国铁塔等大型通信运营商或通信基础设施服务提供商，数据中心领域的客户主要包括阿里巴巴、京东、百度、万国数据、秦淮数据等大型科技公司，电力储能领域的客户主要为国网、南网等电力公司。此类客户大多采取严格的供应商认证机制，需要对供应商的技术能力、商务能力、物流能力、质量管理、财务稳定性、社会责任、环保能力等进行严格认证，只有通过严格的供应商资质认证、具备专业服务能力、拥有稳定产品性能和强大品牌信誉的企业才有可能通过招投标等方式取得业务机会，行业新进入者往往难以短时间内具备上述全部条件，从而难以获取业务机会。</w:t>
      </w:r>
    </w:p>
    <w:p>
      <w:pPr>
        <w:numPr>
          <w:ilvl w:val="0"/>
          <w:numId w:val="5"/>
        </w:numPr>
        <w:tabs>
          <w:tab w:val="left" w:pos="3060"/>
        </w:tabs>
        <w:spacing w:line="560" w:lineRule="exact"/>
        <w:ind w:left="0" w:leftChars="0" w:firstLine="0" w:firstLineChars="0"/>
        <w:rPr>
          <w:rFonts w:hint="eastAsia" w:ascii="仿宋" w:hAnsi="仿宋" w:eastAsia="仿宋" w:cs="仿宋"/>
          <w:b/>
          <w:bCs/>
          <w:sz w:val="28"/>
          <w:szCs w:val="28"/>
        </w:rPr>
      </w:pPr>
      <w:r>
        <w:rPr>
          <w:rFonts w:hint="eastAsia" w:ascii="仿宋" w:hAnsi="仿宋" w:eastAsia="仿宋" w:cs="仿宋"/>
          <w:b/>
          <w:bCs/>
          <w:sz w:val="28"/>
          <w:szCs w:val="28"/>
        </w:rPr>
        <w:t>资金壁垒</w:t>
      </w:r>
    </w:p>
    <w:p>
      <w:pPr>
        <w:numPr>
          <w:ilvl w:val="0"/>
          <w:numId w:val="0"/>
        </w:numPr>
        <w:tabs>
          <w:tab w:val="left" w:pos="3060"/>
        </w:tabs>
        <w:spacing w:line="560" w:lineRule="exact"/>
        <w:ind w:leftChars="0" w:firstLine="560" w:firstLineChars="200"/>
        <w:rPr>
          <w:rFonts w:hint="eastAsia" w:ascii="仿宋" w:hAnsi="仿宋" w:eastAsia="仿宋" w:cs="仿宋"/>
          <w:sz w:val="28"/>
          <w:szCs w:val="28"/>
        </w:rPr>
      </w:pPr>
      <w:r>
        <w:rPr>
          <w:rFonts w:hint="eastAsia" w:ascii="仿宋" w:hAnsi="仿宋" w:eastAsia="仿宋" w:cs="仿宋"/>
          <w:sz w:val="28"/>
          <w:szCs w:val="28"/>
        </w:rPr>
        <w:t>锂离子电池行业属于资金密集型行业，厂房建设、设备购置等均需大量的资金投入。此外，锂离子电池行业仍处于技术持续迭代的阶段，需要持续的大额研发投入，其日常经营也需要大量的流动资金支持。因此，行业新进入企业面临较高的资金壁垒。</w:t>
      </w:r>
    </w:p>
    <w:p>
      <w:pPr>
        <w:numPr>
          <w:ilvl w:val="0"/>
          <w:numId w:val="5"/>
        </w:numPr>
        <w:tabs>
          <w:tab w:val="left" w:pos="3060"/>
        </w:tabs>
        <w:spacing w:line="560" w:lineRule="exact"/>
        <w:ind w:left="0" w:leftChars="0" w:firstLine="0" w:firstLineChars="0"/>
        <w:rPr>
          <w:rFonts w:hint="eastAsia" w:ascii="仿宋" w:hAnsi="仿宋" w:eastAsia="仿宋" w:cs="仿宋"/>
          <w:b/>
          <w:bCs/>
          <w:sz w:val="28"/>
          <w:szCs w:val="28"/>
        </w:rPr>
      </w:pPr>
      <w:r>
        <w:rPr>
          <w:rFonts w:hint="eastAsia" w:ascii="仿宋" w:hAnsi="仿宋" w:eastAsia="仿宋" w:cs="仿宋"/>
          <w:b/>
          <w:bCs/>
          <w:sz w:val="28"/>
          <w:szCs w:val="28"/>
        </w:rPr>
        <w:t>人才壁垒</w:t>
      </w:r>
    </w:p>
    <w:p>
      <w:pPr>
        <w:numPr>
          <w:ilvl w:val="0"/>
          <w:numId w:val="0"/>
        </w:numPr>
        <w:tabs>
          <w:tab w:val="left" w:pos="3060"/>
        </w:tabs>
        <w:spacing w:line="560" w:lineRule="exact"/>
        <w:ind w:leftChars="0" w:firstLine="560" w:firstLineChars="200"/>
        <w:rPr>
          <w:rFonts w:ascii="仿宋" w:hAnsi="仿宋" w:eastAsia="仿宋" w:cs="仿宋"/>
          <w:sz w:val="28"/>
          <w:szCs w:val="28"/>
        </w:rPr>
      </w:pPr>
      <w:r>
        <w:rPr>
          <w:rFonts w:hint="eastAsia" w:ascii="仿宋" w:hAnsi="仿宋" w:eastAsia="仿宋" w:cs="仿宋"/>
          <w:sz w:val="28"/>
          <w:szCs w:val="28"/>
        </w:rPr>
        <w:t>储能电池行业属于人才密集型行业，具有以电化学为核心、多学科交叉的特点，需要大量兼备高水平专业技术和行业经验的复合型人才。对于行业新进入企业而言，核心技术人员的培育或引进需要付出大量的时间和资金成本。因此，行业内核心技术人才专业水平领先、核心技术团队长期稳定的企业已经形成较高的人才壁垒。</w:t>
      </w:r>
    </w:p>
    <w:p>
      <w:pPr>
        <w:numPr>
          <w:ilvl w:val="0"/>
          <w:numId w:val="4"/>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市场竞争格局、可比公司情况</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包括上市或非上市公司</w:t>
      </w:r>
      <w:r>
        <w:rPr>
          <w:rFonts w:hint="eastAsia" w:ascii="仿宋" w:hAnsi="仿宋" w:eastAsia="仿宋" w:cs="仿宋"/>
          <w:sz w:val="28"/>
          <w:szCs w:val="28"/>
          <w:lang w:eastAsia="zh-CN"/>
        </w:rPr>
        <w:t>）</w:t>
      </w:r>
    </w:p>
    <w:p>
      <w:pPr>
        <w:numPr>
          <w:ilvl w:val="0"/>
          <w:numId w:val="0"/>
        </w:numPr>
        <w:tabs>
          <w:tab w:val="left" w:pos="3060"/>
        </w:tabs>
        <w:spacing w:line="560" w:lineRule="exact"/>
        <w:ind w:leftChars="0" w:firstLine="560" w:firstLineChars="200"/>
        <w:rPr>
          <w:rFonts w:hint="eastAsia" w:ascii="仿宋" w:hAnsi="仿宋" w:eastAsia="仿宋" w:cs="仿宋"/>
          <w:sz w:val="28"/>
          <w:szCs w:val="28"/>
        </w:rPr>
      </w:pPr>
      <w:r>
        <w:rPr>
          <w:rFonts w:hint="eastAsia" w:ascii="仿宋" w:hAnsi="仿宋" w:eastAsia="仿宋" w:cs="仿宋"/>
          <w:sz w:val="28"/>
          <w:szCs w:val="28"/>
          <w:lang w:val="en-US" w:eastAsia="zh-CN"/>
        </w:rPr>
        <w:t>2023年国内磷酸铁锂产量同比增长50.5%，与2022年全年132.3%的增速相比出现明显下滑。增速不高的原因主要是因为市场刚需不佳，叠加电池企业、车企等去库操作，需求下滑严重。磷酸铁锂市场呈现出强者恒强的态势，湖南裕能、德方纳米继续霸榜Top2，市占率约45%；湖北万润、融通高科、常州锂源依然占据着Top3-5的位置，三企业市占率合计超过20%；友山科技凭借着中创新航等客户的支持，市占率快速提升，并且有望进一步提升；金堂时代、山东丰元分别依靠宁德时代、比亚迪，市占率也提升明显。</w:t>
      </w:r>
    </w:p>
    <w:p>
      <w:pPr>
        <w:numPr>
          <w:ilvl w:val="0"/>
          <w:numId w:val="4"/>
        </w:numPr>
        <w:tabs>
          <w:tab w:val="left" w:pos="3060"/>
        </w:tabs>
        <w:spacing w:line="560" w:lineRule="exact"/>
        <w:rPr>
          <w:rFonts w:ascii="仿宋" w:hAnsi="仿宋" w:eastAsia="仿宋" w:cs="仿宋"/>
          <w:sz w:val="28"/>
          <w:szCs w:val="28"/>
        </w:rPr>
      </w:pPr>
      <w:r>
        <w:rPr>
          <w:rFonts w:hint="eastAsia" w:ascii="仿宋" w:hAnsi="仿宋" w:eastAsia="仿宋" w:cs="仿宋"/>
          <w:sz w:val="28"/>
          <w:szCs w:val="28"/>
        </w:rPr>
        <w:t>公司竞争优势</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1、核心工艺– 创新第三代绿色一步法工艺</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XX企业采用第三代绿色一步法磷酸铁锂工艺，通过对无机化学与材料合成机理的深入研究，直接采用高纯铁粉、磷酸和碳酸锂为原料，一步法合成纳米磷酸铁锂，具有产线固定投资小，原材料最简化，工艺流程短，无固废与废水，能耗低，材料性能好，高性价比（非锂成本相比磷酸铁工艺降低30%）的显著综合优势。通过一步法工艺参数的调整，可以合成出不同压实密度、克容量、倍率性能的多种牌号磷酸铁锂，分别适用于电动汽车、储能、启停电源等不同要求的场景。</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2、产品性能优势 – 大于等于行业主流产品</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LF-1: 综合型磷酸铁锂，粉末压实大于2.55g/cm3；；磁性物质、金属杂志含量低、碳包覆完 全、减少与电解液的副反应、在低容量衰减的同时保持畅销循环；</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LF-2：高压实磷酸铁锂，粉末压实大于 2.65g/cm3；粒径空隙优化，莫里定律分布，三维 紧密填充；本型号适合运用在动力电池领域, 属于行业头部水平。</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3、成本与安环优势 – 投资及生产成本低、安全环保</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成本优势：本项目产品的全流程生产成本（扣除锂源成本）较目前主流工艺降低约 30%， 全流程单位产能固定投资降低 40%。</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安全环保与能耗优势：本项目主要原材料不涉及危化品，生产过程无废水、废气、固废污 染排放，能耗明显降低。大大降低了项目立项与复制扩产审批的难度。</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4、平台工艺优势 – 绿色一步法适用于磷酸盐系产品材料</w:t>
      </w:r>
    </w:p>
    <w:p>
      <w:pPr>
        <w:keepNext w:val="0"/>
        <w:keepLines w:val="0"/>
        <w:pageBreakBefore w:val="0"/>
        <w:widowControl w:val="0"/>
        <w:numPr>
          <w:ilvl w:val="0"/>
          <w:numId w:val="0"/>
        </w:numPr>
        <w:tabs>
          <w:tab w:val="left" w:pos="3060"/>
        </w:tabs>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本平台工艺亦适用于磷酸锰铁锂等新型高能量密度磷酸盐系锂离子正极材料。</w:t>
      </w:r>
    </w:p>
    <w:p>
      <w:pPr>
        <w:numPr>
          <w:ilvl w:val="0"/>
          <w:numId w:val="1"/>
        </w:numPr>
        <w:tabs>
          <w:tab w:val="left" w:pos="3060"/>
        </w:tabs>
        <w:spacing w:line="360" w:lineRule="auto"/>
        <w:rPr>
          <w:rFonts w:ascii="仿宋" w:hAnsi="仿宋" w:eastAsia="仿宋" w:cs="仿宋"/>
          <w:b/>
          <w:bCs/>
          <w:sz w:val="28"/>
          <w:szCs w:val="28"/>
        </w:rPr>
      </w:pPr>
      <w:r>
        <w:rPr>
          <w:rFonts w:hint="eastAsia" w:ascii="仿宋" w:hAnsi="仿宋" w:eastAsia="仿宋" w:cs="仿宋"/>
          <w:b/>
          <w:bCs/>
          <w:sz w:val="28"/>
          <w:szCs w:val="28"/>
          <w:lang w:val="en-US" w:eastAsia="zh-CN"/>
        </w:rPr>
        <w:t>业务评价</w:t>
      </w:r>
    </w:p>
    <w:p>
      <w:pPr>
        <w:tabs>
          <w:tab w:val="left" w:pos="3060"/>
        </w:tabs>
        <w:spacing w:line="240" w:lineRule="auto"/>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锂电池正极材料主要分为钴酸锂、锰酸锂、磷酸铁锂、三元正极材料等，</w:t>
      </w:r>
      <w:r>
        <w:rPr>
          <w:rFonts w:hint="eastAsia" w:ascii="仿宋" w:hAnsi="仿宋" w:eastAsia="仿宋" w:cs="仿宋"/>
          <w:sz w:val="28"/>
          <w:szCs w:val="28"/>
          <w:lang w:val="en-US" w:eastAsia="zh-CN"/>
        </w:rPr>
        <w:t>XX公司</w:t>
      </w:r>
      <w:r>
        <w:rPr>
          <w:rFonts w:hint="eastAsia" w:ascii="仿宋" w:hAnsi="仿宋" w:eastAsia="仿宋" w:cs="仿宋"/>
          <w:sz w:val="28"/>
          <w:szCs w:val="28"/>
        </w:rPr>
        <w:t>所在的磷酸铁锂行业出现的较晚，磷酸铁锂的出现是锂电池正极材料的一项重大突破，低廉的价格、环境友好、较高的安全性能、较好的高温性能，使其已形成了较广泛的市场应用</w:t>
      </w:r>
      <w:r>
        <w:rPr>
          <w:rFonts w:hint="eastAsia" w:ascii="仿宋" w:hAnsi="仿宋" w:eastAsia="仿宋" w:cs="仿宋"/>
          <w:sz w:val="28"/>
          <w:szCs w:val="28"/>
          <w:lang w:eastAsia="zh-CN"/>
        </w:rPr>
        <w:t>。</w:t>
      </w:r>
    </w:p>
    <w:p>
      <w:pPr>
        <w:tabs>
          <w:tab w:val="left" w:pos="3060"/>
        </w:tabs>
        <w:spacing w:line="240" w:lineRule="auto"/>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止至当前，XX公司并无正式销售，从财务报表来看，前期研发投入较高，企业产品科技属性较强，目前已有小部分销售订单，预计今年财务报表可以体现，另外，预期下半年将与宁德时代合作，销售额预计为2000万元。</w:t>
      </w:r>
    </w:p>
    <w:p>
      <w:pPr>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企业预期今年9-11月进行B轮融资，预期金额为10000万元，投后估值预计为60000元。</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976DB0"/>
    <w:multiLevelType w:val="singleLevel"/>
    <w:tmpl w:val="9A976DB0"/>
    <w:lvl w:ilvl="0" w:tentative="0">
      <w:start w:val="1"/>
      <w:numFmt w:val="chineseCounting"/>
      <w:suff w:val="nothing"/>
      <w:lvlText w:val="（%1）"/>
      <w:lvlJc w:val="left"/>
      <w:rPr>
        <w:rFonts w:hint="eastAsia"/>
      </w:rPr>
    </w:lvl>
  </w:abstractNum>
  <w:abstractNum w:abstractNumId="1">
    <w:nsid w:val="CA4A2BE3"/>
    <w:multiLevelType w:val="singleLevel"/>
    <w:tmpl w:val="CA4A2BE3"/>
    <w:lvl w:ilvl="0" w:tentative="0">
      <w:start w:val="2"/>
      <w:numFmt w:val="chineseCounting"/>
      <w:suff w:val="nothing"/>
      <w:lvlText w:val="（%1）"/>
      <w:lvlJc w:val="left"/>
      <w:rPr>
        <w:rFonts w:hint="eastAsia"/>
      </w:rPr>
    </w:lvl>
  </w:abstractNum>
  <w:abstractNum w:abstractNumId="2">
    <w:nsid w:val="E384521C"/>
    <w:multiLevelType w:val="singleLevel"/>
    <w:tmpl w:val="E384521C"/>
    <w:lvl w:ilvl="0" w:tentative="0">
      <w:start w:val="2"/>
      <w:numFmt w:val="decimal"/>
      <w:suff w:val="nothing"/>
      <w:lvlText w:val="%1、"/>
      <w:lvlJc w:val="left"/>
    </w:lvl>
  </w:abstractNum>
  <w:abstractNum w:abstractNumId="3">
    <w:nsid w:val="07D9DCE6"/>
    <w:multiLevelType w:val="singleLevel"/>
    <w:tmpl w:val="07D9DCE6"/>
    <w:lvl w:ilvl="0" w:tentative="0">
      <w:start w:val="1"/>
      <w:numFmt w:val="chineseCounting"/>
      <w:suff w:val="nothing"/>
      <w:lvlText w:val="（%1）"/>
      <w:lvlJc w:val="left"/>
      <w:rPr>
        <w:rFonts w:hint="eastAsia"/>
      </w:rPr>
    </w:lvl>
  </w:abstractNum>
  <w:abstractNum w:abstractNumId="4">
    <w:nsid w:val="5BFA8135"/>
    <w:multiLevelType w:val="singleLevel"/>
    <w:tmpl w:val="5BFA8135"/>
    <w:lvl w:ilvl="0" w:tentative="0">
      <w:start w:val="1"/>
      <w:numFmt w:val="chineseCounting"/>
      <w:suff w:val="nothing"/>
      <w:lvlText w:val="%1、"/>
      <w:lvlJc w:val="left"/>
      <w:rPr>
        <w:rFonts w:hint="eastAsia"/>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12B3E"/>
    <w:rsid w:val="00AB41B3"/>
    <w:rsid w:val="00BF5CFC"/>
    <w:rsid w:val="00EB0753"/>
    <w:rsid w:val="05DF66A5"/>
    <w:rsid w:val="05E921FB"/>
    <w:rsid w:val="07592F20"/>
    <w:rsid w:val="096720C5"/>
    <w:rsid w:val="0E4F02BF"/>
    <w:rsid w:val="0E8B7F32"/>
    <w:rsid w:val="10C15D06"/>
    <w:rsid w:val="13215879"/>
    <w:rsid w:val="13632018"/>
    <w:rsid w:val="152F4EB3"/>
    <w:rsid w:val="18AD20A1"/>
    <w:rsid w:val="19115836"/>
    <w:rsid w:val="19795A39"/>
    <w:rsid w:val="198E4704"/>
    <w:rsid w:val="1C5D17AD"/>
    <w:rsid w:val="1D0D15D8"/>
    <w:rsid w:val="1DD42F04"/>
    <w:rsid w:val="1E450FA3"/>
    <w:rsid w:val="20480CC0"/>
    <w:rsid w:val="24365BAC"/>
    <w:rsid w:val="257E67FC"/>
    <w:rsid w:val="26667FAF"/>
    <w:rsid w:val="274F22B4"/>
    <w:rsid w:val="27F04A69"/>
    <w:rsid w:val="283B715E"/>
    <w:rsid w:val="2964235A"/>
    <w:rsid w:val="2A07052B"/>
    <w:rsid w:val="2CF2728A"/>
    <w:rsid w:val="2DFD7248"/>
    <w:rsid w:val="2F671132"/>
    <w:rsid w:val="31E61BCB"/>
    <w:rsid w:val="32FD3651"/>
    <w:rsid w:val="330E3E3A"/>
    <w:rsid w:val="3C0A2339"/>
    <w:rsid w:val="3CEA2618"/>
    <w:rsid w:val="3D9176D9"/>
    <w:rsid w:val="3FCE187A"/>
    <w:rsid w:val="401D063D"/>
    <w:rsid w:val="42CF5E4A"/>
    <w:rsid w:val="43467477"/>
    <w:rsid w:val="43D56472"/>
    <w:rsid w:val="44C53727"/>
    <w:rsid w:val="460044FA"/>
    <w:rsid w:val="4786687A"/>
    <w:rsid w:val="49927DEC"/>
    <w:rsid w:val="4DF347AD"/>
    <w:rsid w:val="4E87210F"/>
    <w:rsid w:val="55D4363B"/>
    <w:rsid w:val="579222F7"/>
    <w:rsid w:val="58F14271"/>
    <w:rsid w:val="5A4F2C9C"/>
    <w:rsid w:val="5A950927"/>
    <w:rsid w:val="5ADD7833"/>
    <w:rsid w:val="5BF33138"/>
    <w:rsid w:val="5D28023B"/>
    <w:rsid w:val="5D281314"/>
    <w:rsid w:val="5DCA4D0D"/>
    <w:rsid w:val="60425605"/>
    <w:rsid w:val="6249189E"/>
    <w:rsid w:val="64E47D01"/>
    <w:rsid w:val="65D50D70"/>
    <w:rsid w:val="6861013C"/>
    <w:rsid w:val="6C193DA7"/>
    <w:rsid w:val="6C8F128C"/>
    <w:rsid w:val="6E4C5DBA"/>
    <w:rsid w:val="70014AFF"/>
    <w:rsid w:val="703E10B0"/>
    <w:rsid w:val="76475857"/>
    <w:rsid w:val="764E2842"/>
    <w:rsid w:val="79197574"/>
    <w:rsid w:val="7EF56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rPr>
      <w:sz w:val="18"/>
    </w:rPr>
  </w:style>
  <w:style w:type="paragraph" w:styleId="3">
    <w:name w:val="header"/>
    <w:basedOn w:val="1"/>
    <w:link w:val="9"/>
    <w:qFormat/>
    <w:uiPriority w:val="0"/>
    <w:pPr>
      <w:tabs>
        <w:tab w:val="center" w:pos="4153"/>
        <w:tab w:val="right" w:pos="8306"/>
      </w:tabs>
      <w:snapToGrid w:val="0"/>
      <w:jc w:val="center"/>
    </w:pPr>
    <w:rPr>
      <w:sz w:val="18"/>
      <w:szCs w:val="18"/>
    </w:rPr>
  </w:style>
  <w:style w:type="table" w:styleId="5">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bCs/>
    </w:rPr>
  </w:style>
  <w:style w:type="character" w:styleId="8">
    <w:name w:val="page number"/>
    <w:basedOn w:val="6"/>
    <w:qFormat/>
    <w:uiPriority w:val="0"/>
  </w:style>
  <w:style w:type="character" w:customStyle="1" w:styleId="9">
    <w:name w:val="页眉 字符"/>
    <w:basedOn w:val="6"/>
    <w:link w:val="3"/>
    <w:qFormat/>
    <w:uiPriority w:val="0"/>
    <w:rPr>
      <w:kern w:val="2"/>
      <w:sz w:val="18"/>
      <w:szCs w:val="18"/>
    </w:rPr>
  </w:style>
  <w:style w:type="paragraph" w:customStyle="1" w:styleId="10">
    <w:name w:val="Revision"/>
    <w:hidden/>
    <w:unhideWhenUsed/>
    <w:qFormat/>
    <w:uiPriority w:val="99"/>
    <w:rPr>
      <w:rFonts w:asciiTheme="minorHAnsi" w:hAnsiTheme="minorHAnsi" w:eastAsiaTheme="minorEastAsia" w:cstheme="minorBidi"/>
      <w:kern w:val="2"/>
      <w:sz w:val="21"/>
      <w:szCs w:val="24"/>
      <w:lang w:val="en-US" w:eastAsia="zh-CN" w:bidi="ar-SA"/>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87</Words>
  <Characters>496</Characters>
  <Lines>4</Lines>
  <Paragraphs>1</Paragraphs>
  <TotalTime>12</TotalTime>
  <ScaleCrop>false</ScaleCrop>
  <LinksUpToDate>false</LinksUpToDate>
  <CharactersWithSpaces>582</CharactersWithSpaces>
  <Application>WPS Office_11.8.2.9075_F1E327BC-269C-435d-A152-05C5408002CA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2023-10-13T06:55:00Z</dcterms:created>
  <dc:creator>srcb_haibo</dc:creator>
  <cp:lastModifiedBy>template-win10-2022</cp:lastModifiedBy>
  <dcterms:modified xsi:type="dcterms:W3CDTF">2026-08-18T03:02:30Z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2052-11.8.2.9075</vt:lpwstr>
  </property>
</Properties>
</file>