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3060"/>
        </w:tabs>
        <w:spacing w:line="360" w:lineRule="auto"/>
        <w:ind w:left="-178" w:leftChars="-85"/>
        <w:jc w:val="center"/>
        <w:rPr>
          <w:bCs/>
          <w:sz w:val="36"/>
          <w:szCs w:val="36"/>
        </w:rPr>
      </w:pPr>
      <w:r>
        <w:rPr>
          <w:rFonts w:hint="eastAsia"/>
          <w:b/>
          <w:sz w:val="36"/>
          <w:szCs w:val="36"/>
          <w:lang w:val="en-US" w:eastAsia="zh-CN"/>
        </w:rPr>
        <w:t>推进</w:t>
      </w:r>
      <w:r>
        <w:rPr>
          <w:rFonts w:hint="eastAsia"/>
          <w:b/>
          <w:sz w:val="36"/>
          <w:szCs w:val="36"/>
        </w:rPr>
        <w:t>意见</w:t>
      </w:r>
    </w:p>
    <w:p>
      <w:pPr>
        <w:tabs>
          <w:tab w:val="left" w:pos="3060"/>
        </w:tabs>
        <w:spacing w:line="360" w:lineRule="auto"/>
        <w:rPr>
          <w:szCs w:val="28"/>
        </w:rPr>
      </w:pPr>
    </w:p>
    <w:p>
      <w:pPr>
        <w:tabs>
          <w:tab w:val="left" w:pos="3060"/>
        </w:tabs>
        <w:spacing w:line="560" w:lineRule="exact"/>
        <w:ind w:firstLine="560" w:firstLineChars="200"/>
        <w:rPr>
          <w:sz w:val="28"/>
          <w:szCs w:val="28"/>
        </w:rPr>
      </w:pPr>
      <w:r>
        <w:rPr>
          <w:rFonts w:hint="eastAsia" w:ascii="仿宋" w:hAnsi="仿宋" w:eastAsia="仿宋" w:cs="仿宋"/>
          <w:sz w:val="28"/>
          <w:szCs w:val="28"/>
        </w:rPr>
        <w:t>经初步评估，我部对本笔业务的相关意见及建议如下：</w:t>
      </w:r>
    </w:p>
    <w:p>
      <w:pPr>
        <w:numPr>
          <w:ilvl w:val="0"/>
          <w:numId w:val="1"/>
        </w:numPr>
        <w:tabs>
          <w:tab w:val="left" w:pos="3060"/>
        </w:tabs>
        <w:spacing w:line="560" w:lineRule="exact"/>
        <w:rPr>
          <w:rFonts w:ascii="仿宋" w:hAnsi="仿宋" w:eastAsia="仿宋" w:cs="仿宋"/>
          <w:b/>
          <w:bCs/>
          <w:sz w:val="28"/>
          <w:szCs w:val="28"/>
        </w:rPr>
      </w:pPr>
      <w:r>
        <w:rPr>
          <w:rFonts w:hint="eastAsia" w:ascii="仿宋" w:hAnsi="仿宋" w:eastAsia="仿宋" w:cs="仿宋"/>
          <w:b/>
          <w:bCs/>
          <w:sz w:val="28"/>
          <w:szCs w:val="28"/>
        </w:rPr>
        <w:t>公司基本情况</w:t>
      </w:r>
    </w:p>
    <w:p>
      <w:pPr>
        <w:tabs>
          <w:tab w:val="left" w:pos="3060"/>
        </w:tabs>
        <w:spacing w:line="560" w:lineRule="exact"/>
        <w:rPr>
          <w:rFonts w:ascii="仿宋" w:hAnsi="仿宋" w:eastAsia="仿宋" w:cs="仿宋"/>
          <w:sz w:val="28"/>
          <w:szCs w:val="28"/>
        </w:rPr>
      </w:pPr>
      <w:r>
        <w:rPr>
          <w:rFonts w:hint="eastAsia" w:ascii="仿宋" w:hAnsi="仿宋" w:eastAsia="仿宋" w:cs="仿宋"/>
          <w:sz w:val="28"/>
          <w:szCs w:val="28"/>
        </w:rPr>
        <w:t>（一）基础信息</w:t>
      </w:r>
    </w:p>
    <w:tbl>
      <w:tblPr>
        <w:tblStyle w:val="4"/>
        <w:tblW w:w="9052" w:type="dxa"/>
        <w:tblInd w:w="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8"/>
        <w:gridCol w:w="2116"/>
        <w:gridCol w:w="2537"/>
        <w:gridCol w:w="23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2008" w:type="dxa"/>
            <w:vAlign w:val="center"/>
          </w:tcPr>
          <w:p>
            <w:pPr>
              <w:jc w:val="center"/>
              <w:rPr>
                <w:rFonts w:ascii="宋体" w:hAnsi="宋体" w:cs="宋体"/>
                <w:szCs w:val="21"/>
              </w:rPr>
            </w:pPr>
            <w:r>
              <w:rPr>
                <w:rFonts w:hint="eastAsia" w:ascii="宋体" w:hAnsi="宋体" w:cs="宋体"/>
                <w:szCs w:val="21"/>
              </w:rPr>
              <w:t>申请人名称</w:t>
            </w:r>
          </w:p>
        </w:tc>
        <w:tc>
          <w:tcPr>
            <w:tcW w:w="2116"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w:t>
            </w:r>
          </w:p>
        </w:tc>
        <w:tc>
          <w:tcPr>
            <w:tcW w:w="2537" w:type="dxa"/>
            <w:vAlign w:val="center"/>
          </w:tcPr>
          <w:p>
            <w:pPr>
              <w:jc w:val="center"/>
              <w:rPr>
                <w:rFonts w:ascii="宋体" w:hAnsi="宋体" w:cs="宋体"/>
                <w:szCs w:val="21"/>
              </w:rPr>
            </w:pPr>
            <w:r>
              <w:rPr>
                <w:rFonts w:hint="eastAsia" w:ascii="宋体" w:hAnsi="宋体" w:cs="宋体"/>
                <w:szCs w:val="21"/>
              </w:rPr>
              <w:t>成立时间</w:t>
            </w:r>
          </w:p>
        </w:tc>
        <w:tc>
          <w:tcPr>
            <w:tcW w:w="2391" w:type="dxa"/>
            <w:vAlign w:val="center"/>
          </w:tcPr>
          <w:p>
            <w:pPr>
              <w:jc w:val="center"/>
              <w:rPr>
                <w:rFonts w:hint="eastAsia" w:ascii="宋体" w:hAnsi="宋体" w:cs="宋体" w:eastAsiaTheme="minorEastAsia"/>
                <w:szCs w:val="21"/>
                <w:lang w:eastAsia="zh-CN"/>
              </w:rPr>
            </w:pPr>
            <w:r>
              <w:rPr>
                <w:rFonts w:hint="eastAsia" w:ascii="宋体" w:hAnsi="宋体" w:cs="宋体"/>
                <w:szCs w:val="21"/>
                <w:lang w:val="en-US"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2008" w:type="dxa"/>
            <w:vAlign w:val="center"/>
          </w:tcPr>
          <w:p>
            <w:pPr>
              <w:jc w:val="center"/>
              <w:rPr>
                <w:rFonts w:ascii="宋体" w:hAnsi="宋体" w:cs="宋体"/>
                <w:szCs w:val="21"/>
              </w:rPr>
            </w:pPr>
            <w:r>
              <w:rPr>
                <w:rFonts w:hint="eastAsia" w:ascii="宋体" w:hAnsi="宋体" w:cs="宋体"/>
                <w:szCs w:val="21"/>
              </w:rPr>
              <w:t>注册资本（万元）</w:t>
            </w:r>
          </w:p>
        </w:tc>
        <w:tc>
          <w:tcPr>
            <w:tcW w:w="2116" w:type="dxa"/>
            <w:vAlign w:val="center"/>
          </w:tcPr>
          <w:p>
            <w:pPr>
              <w:jc w:val="center"/>
              <w:rPr>
                <w:rFonts w:hint="eastAsia" w:ascii="宋体" w:hAnsi="宋体" w:cs="宋体" w:eastAsiaTheme="minorEastAsia"/>
                <w:szCs w:val="21"/>
                <w:lang w:val="en-US" w:eastAsia="zh-CN"/>
              </w:rPr>
            </w:pPr>
            <w:r>
              <w:rPr>
                <w:rFonts w:hint="eastAsia" w:ascii="宋体" w:hAnsi="宋体" w:cs="宋体"/>
                <w:szCs w:val="21"/>
                <w:lang w:val="en-US" w:eastAsia="zh-CN"/>
              </w:rPr>
              <w:t>/</w:t>
            </w:r>
          </w:p>
        </w:tc>
        <w:tc>
          <w:tcPr>
            <w:tcW w:w="2537" w:type="dxa"/>
            <w:vAlign w:val="center"/>
          </w:tcPr>
          <w:p>
            <w:pPr>
              <w:jc w:val="center"/>
              <w:rPr>
                <w:rFonts w:ascii="宋体" w:hAnsi="宋体" w:cs="宋体"/>
                <w:szCs w:val="21"/>
              </w:rPr>
            </w:pPr>
            <w:r>
              <w:rPr>
                <w:rFonts w:hint="eastAsia" w:ascii="宋体" w:hAnsi="宋体" w:cs="宋体"/>
                <w:szCs w:val="21"/>
              </w:rPr>
              <w:t>实收资本（万元）</w:t>
            </w:r>
          </w:p>
        </w:tc>
        <w:tc>
          <w:tcPr>
            <w:tcW w:w="2391" w:type="dxa"/>
            <w:vAlign w:val="center"/>
          </w:tcPr>
          <w:p>
            <w:pPr>
              <w:jc w:val="center"/>
              <w:rPr>
                <w:rFonts w:hint="eastAsia" w:ascii="宋体" w:hAnsi="宋体" w:cs="宋体" w:eastAsiaTheme="minorEastAsia"/>
                <w:szCs w:val="21"/>
                <w:lang w:val="en-US" w:eastAsia="zh-CN"/>
              </w:rPr>
            </w:pPr>
            <w:r>
              <w:rPr>
                <w:rFonts w:hint="eastAsia" w:ascii="宋体" w:hAnsi="宋体" w:cs="宋体"/>
                <w:szCs w:val="21"/>
                <w:lang w:val="en-US"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2008" w:type="dxa"/>
            <w:vAlign w:val="center"/>
          </w:tcPr>
          <w:p>
            <w:pPr>
              <w:jc w:val="center"/>
              <w:rPr>
                <w:rFonts w:ascii="宋体" w:hAnsi="宋体" w:cs="宋体"/>
                <w:szCs w:val="21"/>
              </w:rPr>
            </w:pPr>
            <w:r>
              <w:rPr>
                <w:rFonts w:hint="eastAsia" w:ascii="宋体" w:hAnsi="宋体" w:cs="宋体"/>
                <w:szCs w:val="21"/>
              </w:rPr>
              <w:t>法定代表人</w:t>
            </w:r>
          </w:p>
        </w:tc>
        <w:tc>
          <w:tcPr>
            <w:tcW w:w="2116"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w:t>
            </w:r>
          </w:p>
        </w:tc>
        <w:tc>
          <w:tcPr>
            <w:tcW w:w="2537" w:type="dxa"/>
            <w:vAlign w:val="center"/>
          </w:tcPr>
          <w:p>
            <w:pPr>
              <w:jc w:val="center"/>
              <w:rPr>
                <w:rFonts w:ascii="宋体" w:hAnsi="宋体" w:cs="宋体"/>
                <w:szCs w:val="21"/>
              </w:rPr>
            </w:pPr>
            <w:r>
              <w:rPr>
                <w:rFonts w:hint="eastAsia" w:ascii="宋体" w:hAnsi="宋体" w:cs="宋体"/>
                <w:szCs w:val="21"/>
              </w:rPr>
              <w:t>实际控制人</w:t>
            </w:r>
          </w:p>
        </w:tc>
        <w:tc>
          <w:tcPr>
            <w:tcW w:w="2391" w:type="dxa"/>
            <w:vAlign w:val="center"/>
          </w:tcPr>
          <w:p>
            <w:pPr>
              <w:jc w:val="center"/>
              <w:rPr>
                <w:rFonts w:hint="eastAsia" w:ascii="宋体" w:hAnsi="宋体" w:cs="宋体" w:eastAsiaTheme="minorEastAsia"/>
                <w:szCs w:val="21"/>
                <w:lang w:eastAsia="zh-CN"/>
              </w:rPr>
            </w:pPr>
            <w:r>
              <w:rPr>
                <w:rFonts w:hint="eastAsia" w:ascii="宋体" w:hAnsi="宋体" w:cs="宋体"/>
                <w:szCs w:val="21"/>
                <w:lang w:val="en-US"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2008" w:type="dxa"/>
            <w:vAlign w:val="center"/>
          </w:tcPr>
          <w:p>
            <w:pPr>
              <w:jc w:val="center"/>
              <w:rPr>
                <w:rFonts w:ascii="宋体" w:hAnsi="宋体" w:cs="宋体"/>
                <w:szCs w:val="21"/>
              </w:rPr>
            </w:pPr>
            <w:r>
              <w:rPr>
                <w:rFonts w:hint="eastAsia" w:ascii="宋体" w:hAnsi="宋体" w:cs="宋体"/>
                <w:szCs w:val="21"/>
              </w:rPr>
              <w:t>注册地址</w:t>
            </w:r>
          </w:p>
        </w:tc>
        <w:tc>
          <w:tcPr>
            <w:tcW w:w="2116" w:type="dxa"/>
            <w:vAlign w:val="center"/>
          </w:tcPr>
          <w:p>
            <w:pPr>
              <w:jc w:val="center"/>
              <w:rPr>
                <w:rFonts w:hint="eastAsia" w:ascii="宋体" w:hAnsi="宋体" w:cs="宋体" w:eastAsiaTheme="minorEastAsia"/>
                <w:szCs w:val="21"/>
                <w:lang w:eastAsia="zh-CN"/>
              </w:rPr>
            </w:pPr>
            <w:r>
              <w:rPr>
                <w:rFonts w:hint="eastAsia" w:ascii="宋体" w:hAnsi="宋体" w:cs="宋体"/>
                <w:szCs w:val="21"/>
                <w:lang w:val="en-US" w:eastAsia="zh-CN"/>
              </w:rPr>
              <w:t>/</w:t>
            </w:r>
          </w:p>
        </w:tc>
        <w:tc>
          <w:tcPr>
            <w:tcW w:w="2537" w:type="dxa"/>
            <w:vAlign w:val="center"/>
          </w:tcPr>
          <w:p>
            <w:pPr>
              <w:jc w:val="center"/>
              <w:rPr>
                <w:rFonts w:ascii="宋体" w:hAnsi="宋体" w:cs="宋体"/>
                <w:szCs w:val="21"/>
              </w:rPr>
            </w:pPr>
            <w:r>
              <w:rPr>
                <w:rFonts w:hint="eastAsia" w:ascii="宋体" w:hAnsi="宋体" w:cs="宋体"/>
                <w:szCs w:val="21"/>
              </w:rPr>
              <w:t>经营地址</w:t>
            </w:r>
          </w:p>
        </w:tc>
        <w:tc>
          <w:tcPr>
            <w:tcW w:w="2391" w:type="dxa"/>
            <w:vAlign w:val="center"/>
          </w:tcPr>
          <w:p>
            <w:pPr>
              <w:jc w:val="center"/>
              <w:rPr>
                <w:rFonts w:ascii="宋体" w:hAnsi="宋体" w:cs="宋体"/>
                <w:szCs w:val="21"/>
              </w:rPr>
            </w:pPr>
            <w:r>
              <w:rPr>
                <w:rFonts w:hint="eastAsia" w:ascii="宋体" w:hAnsi="宋体" w:cs="宋体"/>
                <w:szCs w:val="21"/>
                <w:lang w:val="en-US"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8" w:hRule="atLeast"/>
        </w:trPr>
        <w:tc>
          <w:tcPr>
            <w:tcW w:w="2008" w:type="dxa"/>
            <w:vAlign w:val="center"/>
          </w:tcPr>
          <w:p>
            <w:pPr>
              <w:jc w:val="center"/>
              <w:rPr>
                <w:rFonts w:ascii="宋体" w:hAnsi="宋体" w:cs="宋体"/>
                <w:szCs w:val="21"/>
              </w:rPr>
            </w:pPr>
            <w:r>
              <w:rPr>
                <w:rFonts w:hint="eastAsia" w:ascii="宋体" w:hAnsi="宋体" w:cs="宋体"/>
                <w:szCs w:val="21"/>
              </w:rPr>
              <w:t>主营业务</w:t>
            </w:r>
          </w:p>
        </w:tc>
        <w:tc>
          <w:tcPr>
            <w:tcW w:w="7044" w:type="dxa"/>
            <w:gridSpan w:val="3"/>
            <w:vAlign w:val="center"/>
          </w:tcPr>
          <w:p>
            <w:pPr>
              <w:jc w:val="center"/>
              <w:rPr>
                <w:rFonts w:ascii="宋体" w:hAnsi="宋体" w:cs="宋体"/>
                <w:szCs w:val="21"/>
              </w:rPr>
            </w:pPr>
            <w:r>
              <w:rPr>
                <w:rFonts w:hint="eastAsia" w:ascii="宋体" w:hAnsi="宋体" w:cs="宋体"/>
                <w:szCs w:val="21"/>
                <w:lang w:val="en-US" w:eastAsia="zh-CN"/>
              </w:rPr>
              <w:t>XX企业</w:t>
            </w:r>
            <w:r>
              <w:rPr>
                <w:rFonts w:hint="eastAsia" w:ascii="宋体" w:hAnsi="宋体" w:cs="宋体"/>
                <w:szCs w:val="21"/>
              </w:rPr>
              <w:t>，</w:t>
            </w:r>
            <w:r>
              <w:rPr>
                <w:rFonts w:hint="eastAsia" w:ascii="宋体" w:hAnsi="宋体" w:cs="宋体"/>
                <w:szCs w:val="21"/>
                <w:lang w:val="en-US" w:eastAsia="zh-CN"/>
              </w:rPr>
              <w:t>XX</w:t>
            </w:r>
            <w:r>
              <w:rPr>
                <w:rFonts w:hint="eastAsia" w:ascii="宋体" w:hAnsi="宋体" w:cs="宋体"/>
                <w:szCs w:val="21"/>
              </w:rPr>
              <w:t>年成立于上海，专注于新能源材料的研发、生产、销售，公司始终致力于依靠科技创新为新能源产业发展提供强大助力，持续为用户提供更具价值、更高质量的锂电池相关材料的系统解决方案。主营业为新能源材料的研发、生产、销售，采用绿色生产工艺“一步液相固化法”生产、销售高性能磷酸铁锂。</w:t>
            </w:r>
          </w:p>
        </w:tc>
      </w:tr>
    </w:tbl>
    <w:p>
      <w:pPr>
        <w:numPr>
          <w:ilvl w:val="0"/>
          <w:numId w:val="2"/>
        </w:numPr>
        <w:tabs>
          <w:tab w:val="left" w:pos="3060"/>
        </w:tabs>
        <w:spacing w:line="560" w:lineRule="exact"/>
        <w:rPr>
          <w:rFonts w:ascii="仿宋" w:hAnsi="仿宋" w:eastAsia="仿宋" w:cs="仿宋"/>
          <w:sz w:val="28"/>
          <w:szCs w:val="28"/>
        </w:rPr>
      </w:pPr>
      <w:r>
        <w:rPr>
          <w:rFonts w:hint="eastAsia" w:ascii="仿宋" w:hAnsi="仿宋" w:eastAsia="仿宋" w:cs="仿宋"/>
          <w:sz w:val="28"/>
          <w:szCs w:val="28"/>
        </w:rPr>
        <w:t>股权结构</w:t>
      </w:r>
    </w:p>
    <w:tbl>
      <w:tblPr>
        <w:tblStyle w:val="4"/>
        <w:tblW w:w="9095" w:type="dxa"/>
        <w:tblInd w:w="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2"/>
        <w:gridCol w:w="2133"/>
        <w:gridCol w:w="2261"/>
        <w:gridCol w:w="1209"/>
        <w:gridCol w:w="2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732" w:type="dxa"/>
            <w:vAlign w:val="center"/>
          </w:tcPr>
          <w:p>
            <w:pPr>
              <w:jc w:val="center"/>
              <w:rPr>
                <w:rFonts w:ascii="宋体" w:hAnsi="宋体" w:cs="宋体"/>
                <w:szCs w:val="21"/>
              </w:rPr>
            </w:pPr>
            <w:r>
              <w:rPr>
                <w:rFonts w:hint="eastAsia" w:ascii="宋体" w:hAnsi="宋体" w:cs="宋体"/>
                <w:szCs w:val="21"/>
              </w:rPr>
              <w:t>序号</w:t>
            </w:r>
          </w:p>
        </w:tc>
        <w:tc>
          <w:tcPr>
            <w:tcW w:w="2133" w:type="dxa"/>
            <w:vAlign w:val="center"/>
          </w:tcPr>
          <w:p>
            <w:pPr>
              <w:jc w:val="center"/>
              <w:rPr>
                <w:rFonts w:ascii="宋体" w:hAnsi="宋体" w:cs="宋体"/>
                <w:szCs w:val="21"/>
              </w:rPr>
            </w:pPr>
            <w:r>
              <w:rPr>
                <w:rFonts w:hint="eastAsia" w:ascii="宋体" w:hAnsi="宋体" w:cs="宋体"/>
                <w:szCs w:val="21"/>
              </w:rPr>
              <w:t>股东名称</w:t>
            </w:r>
          </w:p>
        </w:tc>
        <w:tc>
          <w:tcPr>
            <w:tcW w:w="2261" w:type="dxa"/>
            <w:vAlign w:val="center"/>
          </w:tcPr>
          <w:p>
            <w:pPr>
              <w:jc w:val="center"/>
              <w:rPr>
                <w:rFonts w:ascii="宋体" w:hAnsi="宋体" w:cs="宋体"/>
                <w:szCs w:val="21"/>
              </w:rPr>
            </w:pPr>
            <w:r>
              <w:rPr>
                <w:rFonts w:hint="eastAsia" w:ascii="宋体" w:hAnsi="宋体" w:cs="宋体"/>
                <w:szCs w:val="21"/>
              </w:rPr>
              <w:t>认缴出资额（万元）</w:t>
            </w:r>
          </w:p>
        </w:tc>
        <w:tc>
          <w:tcPr>
            <w:tcW w:w="1209" w:type="dxa"/>
            <w:vAlign w:val="center"/>
          </w:tcPr>
          <w:p>
            <w:pPr>
              <w:jc w:val="center"/>
              <w:rPr>
                <w:rFonts w:ascii="宋体" w:hAnsi="宋体" w:cs="宋体"/>
                <w:szCs w:val="21"/>
              </w:rPr>
            </w:pPr>
            <w:r>
              <w:rPr>
                <w:rFonts w:hint="eastAsia" w:ascii="宋体" w:hAnsi="宋体" w:cs="宋体"/>
                <w:szCs w:val="21"/>
              </w:rPr>
              <w:t>股权比例</w:t>
            </w:r>
          </w:p>
        </w:tc>
        <w:tc>
          <w:tcPr>
            <w:tcW w:w="2760" w:type="dxa"/>
            <w:vAlign w:val="center"/>
          </w:tcPr>
          <w:p>
            <w:pPr>
              <w:jc w:val="center"/>
              <w:rPr>
                <w:rFonts w:ascii="宋体" w:hAnsi="宋体" w:cs="宋体"/>
                <w:szCs w:val="21"/>
              </w:rPr>
            </w:pPr>
            <w:r>
              <w:rPr>
                <w:rFonts w:hint="eastAsia" w:ascii="宋体" w:hAnsi="宋体" w:cs="宋体"/>
                <w:szCs w:val="21"/>
              </w:rPr>
              <w:t>股东性质说明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732" w:type="dxa"/>
            <w:vAlign w:val="center"/>
          </w:tcPr>
          <w:p>
            <w:pPr>
              <w:jc w:val="center"/>
              <w:rPr>
                <w:rFonts w:ascii="宋体" w:hAnsi="宋体" w:cs="宋体"/>
                <w:szCs w:val="21"/>
              </w:rPr>
            </w:pPr>
            <w:r>
              <w:rPr>
                <w:rFonts w:hint="eastAsia" w:ascii="宋体" w:hAnsi="宋体" w:cs="宋体"/>
                <w:szCs w:val="21"/>
              </w:rPr>
              <w:t>1</w:t>
            </w:r>
          </w:p>
        </w:tc>
        <w:tc>
          <w:tcPr>
            <w:tcW w:w="2133"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w:t>
            </w:r>
          </w:p>
        </w:tc>
        <w:tc>
          <w:tcPr>
            <w:tcW w:w="2261"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w:t>
            </w:r>
          </w:p>
        </w:tc>
        <w:tc>
          <w:tcPr>
            <w:tcW w:w="1209" w:type="dxa"/>
            <w:vAlign w:val="center"/>
          </w:tcPr>
          <w:p>
            <w:pPr>
              <w:jc w:val="center"/>
              <w:rPr>
                <w:rFonts w:hint="eastAsia" w:ascii="宋体" w:hAnsi="宋体" w:cs="宋体" w:eastAsiaTheme="minorEastAsia"/>
                <w:szCs w:val="21"/>
                <w:lang w:val="en-US" w:eastAsia="zh-CN"/>
              </w:rPr>
            </w:pPr>
            <w:r>
              <w:rPr>
                <w:rFonts w:hint="eastAsia" w:ascii="宋体" w:hAnsi="宋体" w:cs="宋体"/>
                <w:szCs w:val="21"/>
                <w:lang w:val="en-US" w:eastAsia="zh-CN"/>
              </w:rPr>
              <w:t>/</w:t>
            </w:r>
          </w:p>
        </w:tc>
        <w:tc>
          <w:tcPr>
            <w:tcW w:w="2760"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产业基金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0" w:hRule="atLeast"/>
        </w:trPr>
        <w:tc>
          <w:tcPr>
            <w:tcW w:w="732" w:type="dxa"/>
            <w:vAlign w:val="center"/>
          </w:tcPr>
          <w:p>
            <w:pPr>
              <w:jc w:val="center"/>
              <w:rPr>
                <w:rFonts w:ascii="宋体" w:hAnsi="宋体" w:cs="宋体"/>
                <w:szCs w:val="21"/>
              </w:rPr>
            </w:pPr>
            <w:r>
              <w:rPr>
                <w:rFonts w:hint="eastAsia" w:ascii="宋体" w:hAnsi="宋体" w:cs="宋体"/>
                <w:szCs w:val="21"/>
              </w:rPr>
              <w:t>2</w:t>
            </w:r>
          </w:p>
        </w:tc>
        <w:tc>
          <w:tcPr>
            <w:tcW w:w="2133" w:type="dxa"/>
            <w:vAlign w:val="center"/>
          </w:tcPr>
          <w:p>
            <w:pPr>
              <w:jc w:val="center"/>
              <w:rPr>
                <w:rFonts w:hint="eastAsia" w:ascii="宋体" w:hAnsi="宋体" w:cs="宋体" w:eastAsiaTheme="minorEastAsia"/>
                <w:szCs w:val="21"/>
                <w:lang w:val="en-US" w:eastAsia="zh-CN"/>
              </w:rPr>
            </w:pPr>
            <w:r>
              <w:rPr>
                <w:rFonts w:hint="eastAsia" w:ascii="宋体" w:hAnsi="宋体" w:cs="宋体"/>
                <w:szCs w:val="21"/>
                <w:lang w:val="en-US" w:eastAsia="zh-CN"/>
              </w:rPr>
              <w:t>/</w:t>
            </w:r>
          </w:p>
        </w:tc>
        <w:tc>
          <w:tcPr>
            <w:tcW w:w="2261"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w:t>
            </w:r>
          </w:p>
        </w:tc>
        <w:tc>
          <w:tcPr>
            <w:tcW w:w="1209" w:type="dxa"/>
            <w:vAlign w:val="center"/>
          </w:tcPr>
          <w:p>
            <w:pPr>
              <w:jc w:val="center"/>
              <w:rPr>
                <w:rFonts w:hint="eastAsia" w:ascii="宋体" w:hAnsi="宋体" w:cs="宋体" w:eastAsiaTheme="minorEastAsia"/>
                <w:szCs w:val="21"/>
                <w:lang w:val="en-US" w:eastAsia="zh-CN"/>
              </w:rPr>
            </w:pPr>
            <w:r>
              <w:rPr>
                <w:rFonts w:hint="eastAsia" w:ascii="宋体" w:hAnsi="宋体" w:cs="宋体"/>
                <w:szCs w:val="21"/>
                <w:lang w:val="en-US" w:eastAsia="zh-CN"/>
              </w:rPr>
              <w:t>/</w:t>
            </w:r>
          </w:p>
        </w:tc>
        <w:tc>
          <w:tcPr>
            <w:tcW w:w="2760"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自然人股东</w:t>
            </w:r>
          </w:p>
        </w:tc>
      </w:tr>
    </w:tbl>
    <w:p>
      <w:pPr>
        <w:numPr>
          <w:ilvl w:val="0"/>
          <w:numId w:val="2"/>
        </w:numPr>
        <w:tabs>
          <w:tab w:val="left" w:pos="3060"/>
        </w:tabs>
        <w:spacing w:line="560" w:lineRule="exact"/>
        <w:rPr>
          <w:rFonts w:ascii="仿宋" w:hAnsi="仿宋" w:eastAsia="仿宋" w:cs="仿宋"/>
          <w:sz w:val="28"/>
          <w:szCs w:val="28"/>
        </w:rPr>
      </w:pPr>
      <w:r>
        <w:rPr>
          <w:rFonts w:hint="eastAsia" w:ascii="仿宋" w:hAnsi="仿宋" w:eastAsia="仿宋" w:cs="仿宋"/>
          <w:sz w:val="28"/>
          <w:szCs w:val="28"/>
        </w:rPr>
        <w:t>核心产品及应用</w:t>
      </w:r>
    </w:p>
    <w:p>
      <w:pPr>
        <w:tabs>
          <w:tab w:val="left" w:pos="3060"/>
        </w:tabs>
        <w:spacing w:line="560" w:lineRule="exact"/>
        <w:ind w:firstLine="560" w:firstLineChars="200"/>
        <w:rPr>
          <w:rFonts w:ascii="仿宋" w:hAnsi="仿宋" w:eastAsia="仿宋" w:cs="仿宋"/>
          <w:sz w:val="28"/>
          <w:szCs w:val="28"/>
        </w:rPr>
      </w:pPr>
      <w:r>
        <w:rPr>
          <w:rFonts w:hint="eastAsia" w:ascii="仿宋" w:hAnsi="仿宋" w:eastAsia="仿宋" w:cs="仿宋"/>
          <w:sz w:val="28"/>
          <w:szCs w:val="28"/>
          <w:lang w:val="en-US" w:eastAsia="zh-CN"/>
        </w:rPr>
        <w:t>XX</w:t>
      </w:r>
      <w:r>
        <w:rPr>
          <w:rFonts w:hint="eastAsia" w:ascii="仿宋" w:hAnsi="仿宋" w:eastAsia="仿宋" w:cs="仿宋"/>
          <w:sz w:val="28"/>
          <w:szCs w:val="28"/>
        </w:rPr>
        <w:t>目前</w:t>
      </w:r>
      <w:r>
        <w:rPr>
          <w:rFonts w:hint="eastAsia" w:ascii="仿宋" w:hAnsi="仿宋" w:eastAsia="仿宋" w:cs="仿宋"/>
          <w:sz w:val="28"/>
          <w:szCs w:val="28"/>
          <w:lang w:val="en-US" w:eastAsia="zh-CN"/>
        </w:rPr>
        <w:t>的核心产品为</w:t>
      </w:r>
      <w:r>
        <w:rPr>
          <w:rFonts w:hint="eastAsia" w:ascii="仿宋" w:hAnsi="仿宋" w:eastAsia="仿宋" w:cs="仿宋"/>
          <w:sz w:val="28"/>
          <w:szCs w:val="28"/>
        </w:rPr>
        <w:t>创新型磷酸铁锂电池正极材料，采用第</w:t>
      </w:r>
      <w:r>
        <w:rPr>
          <w:rFonts w:hint="eastAsia" w:ascii="仿宋" w:hAnsi="仿宋" w:eastAsia="仿宋" w:cs="仿宋"/>
          <w:sz w:val="28"/>
          <w:szCs w:val="28"/>
          <w:lang w:val="en-US" w:eastAsia="zh-CN"/>
        </w:rPr>
        <w:t>三</w:t>
      </w:r>
      <w:r>
        <w:rPr>
          <w:rFonts w:hint="eastAsia" w:ascii="仿宋" w:hAnsi="仿宋" w:eastAsia="仿宋" w:cs="仿宋"/>
          <w:sz w:val="28"/>
          <w:szCs w:val="28"/>
        </w:rPr>
        <w:t>代绿色一步法磷酸铁锂工艺，通过对无机化学与材料合成机理的深入研究，直接采用高纯铁粉、磷酸和碳酸锂为原料，一步法合成纳米磷酸铁锂，具有产线固定投资小，原材料最简化，工艺流程短，无固废与废水，能耗低，材料性能好，高性价比（</w:t>
      </w:r>
      <w:r>
        <w:rPr>
          <w:rFonts w:hint="eastAsia" w:ascii="仿宋" w:hAnsi="仿宋" w:eastAsia="仿宋" w:cs="仿宋"/>
          <w:sz w:val="28"/>
          <w:szCs w:val="28"/>
          <w:lang w:val="en-US" w:eastAsia="zh-CN"/>
        </w:rPr>
        <w:t>非锂</w:t>
      </w:r>
      <w:r>
        <w:rPr>
          <w:rFonts w:hint="eastAsia" w:ascii="仿宋" w:hAnsi="仿宋" w:eastAsia="仿宋" w:cs="仿宋"/>
          <w:sz w:val="28"/>
          <w:szCs w:val="28"/>
        </w:rPr>
        <w:t>成本相比磷酸铁工艺降低</w:t>
      </w:r>
      <w:r>
        <w:rPr>
          <w:rFonts w:hint="eastAsia" w:ascii="仿宋" w:hAnsi="仿宋" w:eastAsia="仿宋" w:cs="仿宋"/>
          <w:sz w:val="28"/>
          <w:szCs w:val="28"/>
          <w:lang w:val="en-US" w:eastAsia="zh-CN"/>
        </w:rPr>
        <w:t>3</w:t>
      </w:r>
      <w:r>
        <w:rPr>
          <w:rFonts w:hint="eastAsia" w:ascii="仿宋" w:hAnsi="仿宋" w:eastAsia="仿宋" w:cs="仿宋"/>
          <w:sz w:val="28"/>
          <w:szCs w:val="28"/>
        </w:rPr>
        <w:t>0%）的显著综合优势</w:t>
      </w:r>
      <w:r>
        <w:rPr>
          <w:rFonts w:hint="eastAsia" w:ascii="仿宋" w:hAnsi="仿宋" w:eastAsia="仿宋" w:cs="仿宋"/>
          <w:sz w:val="28"/>
          <w:szCs w:val="28"/>
          <w:lang w:eastAsia="zh-CN"/>
        </w:rPr>
        <w:t>，</w:t>
      </w:r>
      <w:r>
        <w:rPr>
          <w:rFonts w:hint="eastAsia" w:ascii="仿宋" w:hAnsi="仿宋" w:eastAsia="仿宋" w:cs="仿宋"/>
          <w:sz w:val="28"/>
          <w:szCs w:val="28"/>
          <w:lang w:val="en-US" w:eastAsia="zh-CN"/>
        </w:rPr>
        <w:t>且</w:t>
      </w:r>
      <w:r>
        <w:rPr>
          <w:rFonts w:hint="eastAsia" w:ascii="仿宋" w:hAnsi="仿宋" w:eastAsia="仿宋" w:cs="仿宋"/>
          <w:sz w:val="28"/>
          <w:szCs w:val="28"/>
        </w:rPr>
        <w:t>可以合成出不同压实密度、克容量、倍率性能的多种牌号磷酸铁锂，分别适用于电动汽车、储能、启停电源等不同要求的场景。</w:t>
      </w:r>
    </w:p>
    <w:p>
      <w:pPr>
        <w:numPr>
          <w:ilvl w:val="0"/>
          <w:numId w:val="2"/>
        </w:numPr>
        <w:tabs>
          <w:tab w:val="left" w:pos="3060"/>
        </w:tabs>
        <w:spacing w:line="560" w:lineRule="exact"/>
        <w:rPr>
          <w:rFonts w:ascii="仿宋" w:hAnsi="仿宋" w:eastAsia="仿宋" w:cs="仿宋"/>
          <w:sz w:val="28"/>
          <w:szCs w:val="28"/>
        </w:rPr>
      </w:pPr>
      <w:r>
        <w:rPr>
          <w:rFonts w:hint="eastAsia" w:ascii="仿宋" w:hAnsi="仿宋" w:eastAsia="仿宋" w:cs="仿宋"/>
          <w:sz w:val="28"/>
          <w:szCs w:val="28"/>
        </w:rPr>
        <w:t>融资历史及估值</w:t>
      </w:r>
    </w:p>
    <w:tbl>
      <w:tblPr>
        <w:tblStyle w:val="4"/>
        <w:tblW w:w="9178" w:type="dxa"/>
        <w:tblInd w:w="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10"/>
        <w:gridCol w:w="2031"/>
        <w:gridCol w:w="2285"/>
        <w:gridCol w:w="1776"/>
        <w:gridCol w:w="17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310" w:type="dxa"/>
            <w:vAlign w:val="center"/>
          </w:tcPr>
          <w:p>
            <w:pPr>
              <w:jc w:val="center"/>
              <w:rPr>
                <w:rFonts w:ascii="宋体" w:hAnsi="宋体" w:cs="宋体"/>
                <w:szCs w:val="21"/>
              </w:rPr>
            </w:pPr>
            <w:r>
              <w:rPr>
                <w:rFonts w:hint="eastAsia" w:ascii="宋体" w:hAnsi="宋体" w:cs="宋体"/>
                <w:szCs w:val="21"/>
              </w:rPr>
              <w:t>轮次</w:t>
            </w:r>
          </w:p>
        </w:tc>
        <w:tc>
          <w:tcPr>
            <w:tcW w:w="2031" w:type="dxa"/>
            <w:vAlign w:val="center"/>
          </w:tcPr>
          <w:p>
            <w:pPr>
              <w:jc w:val="center"/>
              <w:rPr>
                <w:rFonts w:ascii="宋体" w:hAnsi="宋体" w:cs="宋体"/>
                <w:szCs w:val="21"/>
              </w:rPr>
            </w:pPr>
            <w:r>
              <w:rPr>
                <w:rFonts w:hint="eastAsia" w:ascii="宋体" w:hAnsi="宋体" w:cs="宋体"/>
                <w:szCs w:val="21"/>
              </w:rPr>
              <w:t>完成时间</w:t>
            </w:r>
          </w:p>
        </w:tc>
        <w:tc>
          <w:tcPr>
            <w:tcW w:w="2285" w:type="dxa"/>
            <w:vAlign w:val="center"/>
          </w:tcPr>
          <w:p>
            <w:pPr>
              <w:jc w:val="center"/>
              <w:rPr>
                <w:rFonts w:ascii="宋体" w:hAnsi="宋体" w:cs="宋体"/>
                <w:szCs w:val="21"/>
              </w:rPr>
            </w:pPr>
            <w:r>
              <w:rPr>
                <w:rFonts w:hint="eastAsia" w:ascii="宋体" w:hAnsi="宋体" w:cs="宋体"/>
                <w:szCs w:val="21"/>
              </w:rPr>
              <w:t>投资人/机构</w:t>
            </w:r>
          </w:p>
        </w:tc>
        <w:tc>
          <w:tcPr>
            <w:tcW w:w="1776" w:type="dxa"/>
            <w:vAlign w:val="center"/>
          </w:tcPr>
          <w:p>
            <w:pPr>
              <w:jc w:val="center"/>
              <w:rPr>
                <w:rFonts w:ascii="宋体" w:hAnsi="宋体" w:cs="宋体"/>
                <w:szCs w:val="21"/>
              </w:rPr>
            </w:pPr>
            <w:r>
              <w:rPr>
                <w:rFonts w:hint="eastAsia" w:ascii="宋体" w:hAnsi="宋体" w:cs="宋体"/>
                <w:szCs w:val="21"/>
              </w:rPr>
              <w:t>投资金额（万元）</w:t>
            </w:r>
          </w:p>
        </w:tc>
        <w:tc>
          <w:tcPr>
            <w:tcW w:w="1776" w:type="dxa"/>
            <w:vAlign w:val="center"/>
          </w:tcPr>
          <w:p>
            <w:pPr>
              <w:jc w:val="center"/>
              <w:rPr>
                <w:rFonts w:ascii="宋体" w:hAnsi="宋体" w:cs="宋体"/>
                <w:szCs w:val="21"/>
              </w:rPr>
            </w:pPr>
            <w:r>
              <w:rPr>
                <w:rFonts w:hint="eastAsia" w:ascii="宋体" w:hAnsi="宋体" w:cs="宋体"/>
                <w:szCs w:val="21"/>
              </w:rPr>
              <w:t>投后估值（万元）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310" w:type="dxa"/>
            <w:vAlign w:val="center"/>
          </w:tcPr>
          <w:p>
            <w:pPr>
              <w:jc w:val="center"/>
              <w:rPr>
                <w:rFonts w:hint="eastAsia" w:ascii="宋体" w:hAnsi="宋体" w:cs="宋体" w:eastAsiaTheme="minorEastAsia"/>
                <w:szCs w:val="21"/>
                <w:lang w:val="en-US" w:eastAsia="zh-CN"/>
              </w:rPr>
            </w:pPr>
            <w:r>
              <w:rPr>
                <w:rFonts w:hint="eastAsia" w:ascii="宋体" w:hAnsi="宋体" w:cs="宋体"/>
                <w:szCs w:val="21"/>
                <w:lang w:val="en-US" w:eastAsia="zh-CN"/>
              </w:rPr>
              <w:t>天使轮</w:t>
            </w:r>
          </w:p>
        </w:tc>
        <w:tc>
          <w:tcPr>
            <w:tcW w:w="2031"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w:t>
            </w:r>
          </w:p>
        </w:tc>
        <w:tc>
          <w:tcPr>
            <w:tcW w:w="2285"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w:t>
            </w:r>
          </w:p>
        </w:tc>
        <w:tc>
          <w:tcPr>
            <w:tcW w:w="1776"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500</w:t>
            </w:r>
          </w:p>
        </w:tc>
        <w:tc>
          <w:tcPr>
            <w:tcW w:w="1776"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3333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1310"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PreA轮</w:t>
            </w:r>
          </w:p>
        </w:tc>
        <w:tc>
          <w:tcPr>
            <w:tcW w:w="2031"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w:t>
            </w:r>
          </w:p>
        </w:tc>
        <w:tc>
          <w:tcPr>
            <w:tcW w:w="2285"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w:t>
            </w:r>
          </w:p>
        </w:tc>
        <w:tc>
          <w:tcPr>
            <w:tcW w:w="1776"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1000</w:t>
            </w:r>
          </w:p>
        </w:tc>
        <w:tc>
          <w:tcPr>
            <w:tcW w:w="1776"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4333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1310"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A轮</w:t>
            </w:r>
          </w:p>
        </w:tc>
        <w:tc>
          <w:tcPr>
            <w:tcW w:w="2031"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w:t>
            </w:r>
          </w:p>
        </w:tc>
        <w:tc>
          <w:tcPr>
            <w:tcW w:w="2285" w:type="dxa"/>
            <w:vAlign w:val="center"/>
          </w:tcPr>
          <w:p>
            <w:pPr>
              <w:jc w:val="center"/>
              <w:rPr>
                <w:rFonts w:hint="eastAsia" w:ascii="宋体" w:hAnsi="宋体" w:cs="宋体" w:eastAsiaTheme="minorEastAsia"/>
                <w:szCs w:val="21"/>
                <w:lang w:val="en-US" w:eastAsia="zh-CN"/>
              </w:rPr>
            </w:pPr>
            <w:r>
              <w:rPr>
                <w:rFonts w:hint="eastAsia" w:ascii="宋体" w:hAnsi="宋体" w:cs="宋体"/>
                <w:szCs w:val="21"/>
                <w:lang w:val="en-US" w:eastAsia="zh-CN"/>
              </w:rPr>
              <w:t>/</w:t>
            </w:r>
          </w:p>
        </w:tc>
        <w:tc>
          <w:tcPr>
            <w:tcW w:w="1776"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1000</w:t>
            </w:r>
          </w:p>
        </w:tc>
        <w:tc>
          <w:tcPr>
            <w:tcW w:w="1776" w:type="dxa"/>
            <w:vAlign w:val="center"/>
          </w:tcPr>
          <w:p>
            <w:pPr>
              <w:jc w:val="center"/>
              <w:rPr>
                <w:rFonts w:hint="default" w:ascii="宋体" w:hAnsi="宋体" w:cs="宋体" w:eastAsiaTheme="minorEastAsia"/>
                <w:szCs w:val="21"/>
                <w:lang w:val="en-US" w:eastAsia="zh-CN"/>
              </w:rPr>
            </w:pPr>
            <w:r>
              <w:rPr>
                <w:rFonts w:hint="eastAsia" w:ascii="宋体" w:hAnsi="宋体" w:cs="宋体"/>
                <w:szCs w:val="21"/>
                <w:lang w:val="en-US" w:eastAsia="zh-CN"/>
              </w:rPr>
              <w:t>20000</w:t>
            </w:r>
          </w:p>
        </w:tc>
      </w:tr>
    </w:tbl>
    <w:p>
      <w:pPr>
        <w:tabs>
          <w:tab w:val="left" w:pos="3060"/>
        </w:tabs>
        <w:spacing w:line="360" w:lineRule="auto"/>
        <w:rPr>
          <w:rFonts w:ascii="仿宋" w:hAnsi="仿宋" w:eastAsia="仿宋" w:cs="仿宋"/>
          <w:b/>
          <w:bCs/>
          <w:sz w:val="28"/>
          <w:szCs w:val="28"/>
        </w:rPr>
      </w:pPr>
    </w:p>
    <w:p>
      <w:pPr>
        <w:numPr>
          <w:ilvl w:val="0"/>
          <w:numId w:val="1"/>
        </w:numPr>
        <w:tabs>
          <w:tab w:val="left" w:pos="3060"/>
        </w:tabs>
        <w:spacing w:line="560" w:lineRule="exact"/>
        <w:rPr>
          <w:rFonts w:ascii="仿宋" w:hAnsi="仿宋" w:eastAsia="仿宋" w:cs="仿宋"/>
          <w:b/>
          <w:bCs/>
          <w:sz w:val="28"/>
          <w:szCs w:val="28"/>
        </w:rPr>
      </w:pPr>
      <w:r>
        <w:rPr>
          <w:rFonts w:hint="eastAsia" w:ascii="仿宋" w:hAnsi="仿宋" w:eastAsia="仿宋" w:cs="仿宋"/>
          <w:b/>
          <w:bCs/>
          <w:sz w:val="28"/>
          <w:szCs w:val="28"/>
        </w:rPr>
        <w:t>行业概述</w:t>
      </w:r>
    </w:p>
    <w:p>
      <w:pPr>
        <w:numPr>
          <w:ilvl w:val="0"/>
          <w:numId w:val="3"/>
        </w:numPr>
        <w:tabs>
          <w:tab w:val="left" w:pos="3060"/>
        </w:tabs>
        <w:spacing w:line="560" w:lineRule="exact"/>
        <w:rPr>
          <w:rFonts w:ascii="仿宋" w:hAnsi="仿宋" w:eastAsia="仿宋" w:cs="仿宋"/>
          <w:sz w:val="28"/>
          <w:szCs w:val="28"/>
        </w:rPr>
      </w:pPr>
      <w:r>
        <w:rPr>
          <w:rFonts w:hint="eastAsia" w:ascii="仿宋" w:hAnsi="仿宋" w:eastAsia="仿宋" w:cs="仿宋"/>
          <w:sz w:val="28"/>
          <w:szCs w:val="28"/>
        </w:rPr>
        <w:t>行业相关政策与景气度</w:t>
      </w:r>
    </w:p>
    <w:p>
      <w:pPr>
        <w:numPr>
          <w:ilvl w:val="0"/>
          <w:numId w:val="0"/>
        </w:numPr>
        <w:tabs>
          <w:tab w:val="left" w:pos="3060"/>
        </w:tabs>
        <w:spacing w:line="560" w:lineRule="exact"/>
        <w:ind w:firstLine="560" w:firstLineChars="200"/>
        <w:rPr>
          <w:rFonts w:hint="eastAsia" w:ascii="仿宋" w:hAnsi="仿宋" w:eastAsia="仿宋" w:cs="仿宋"/>
          <w:sz w:val="28"/>
          <w:szCs w:val="28"/>
        </w:rPr>
      </w:pPr>
      <w:r>
        <w:rPr>
          <w:rFonts w:hint="eastAsia" w:ascii="仿宋" w:hAnsi="仿宋" w:eastAsia="仿宋" w:cs="仿宋"/>
          <w:sz w:val="28"/>
          <w:szCs w:val="28"/>
        </w:rPr>
        <w:t>2021年是“十四五”开局之年，中国的新能源产业迎来了前所未有的发展空间。习近平主席在2020年9月和12月两次表态，定下了中国二氧化碳排放2030年前达到峰值、2060年前实现碳中和，以及2030年非化石能源占一次能源消费比重达到25%、风电、太阳能发电装机达到12亿千瓦以上的新目标。“十四五”规划中的碳达峰、碳中和，对风电、光伏、新能源汽车的发展都有极大的促进作用，从而对储能电池和动力电池会有越来越大的需求。</w:t>
      </w:r>
    </w:p>
    <w:p>
      <w:pPr>
        <w:numPr>
          <w:ilvl w:val="0"/>
          <w:numId w:val="3"/>
        </w:numPr>
        <w:tabs>
          <w:tab w:val="left" w:pos="3060"/>
        </w:tabs>
        <w:spacing w:line="560" w:lineRule="exact"/>
        <w:rPr>
          <w:rFonts w:ascii="仿宋" w:hAnsi="仿宋" w:eastAsia="仿宋" w:cs="仿宋"/>
          <w:sz w:val="28"/>
          <w:szCs w:val="28"/>
        </w:rPr>
      </w:pPr>
      <w:r>
        <w:rPr>
          <w:rFonts w:hint="eastAsia" w:ascii="仿宋" w:hAnsi="仿宋" w:eastAsia="仿宋" w:cs="仿宋"/>
          <w:sz w:val="28"/>
          <w:szCs w:val="28"/>
        </w:rPr>
        <w:t>市场规模及发展趋势</w:t>
      </w:r>
    </w:p>
    <w:p>
      <w:pPr>
        <w:numPr>
          <w:ilvl w:val="0"/>
          <w:numId w:val="0"/>
        </w:numPr>
        <w:tabs>
          <w:tab w:val="left" w:pos="3060"/>
        </w:tabs>
        <w:spacing w:line="560" w:lineRule="exact"/>
        <w:ind w:firstLine="560" w:firstLineChars="200"/>
        <w:rPr>
          <w:rFonts w:ascii="仿宋" w:hAnsi="仿宋" w:eastAsia="仿宋" w:cs="仿宋"/>
          <w:sz w:val="28"/>
          <w:szCs w:val="28"/>
        </w:rPr>
      </w:pPr>
      <w:r>
        <w:rPr>
          <w:rFonts w:hint="eastAsia" w:ascii="仿宋" w:hAnsi="仿宋" w:eastAsia="仿宋" w:cs="仿宋"/>
          <w:sz w:val="28"/>
          <w:szCs w:val="28"/>
        </w:rPr>
        <w:t>2021 年以来，《关于加快推动新型储能发展的指导意见》、《关于鼓励可再生能源发电企业自建或购买调峰能力增加并网规模的通知》等支持政策陆续发布，提出到2025 年，实现新型储能从商业化初期向规模化发展转变，装机规模达 3,000 万千瓦以上，到 2030 年，实现新型储能全面市场化发展。未来我国锂电池正极材料行业发展将逐渐规范化、标准化，随着新能源汽车、储能等领域鼓励政策的陆续实施，我国锂电池产业链需求将进一步提高，锂电池正极材料行业发展前景广阔。</w:t>
      </w:r>
    </w:p>
    <w:p>
      <w:pPr>
        <w:numPr>
          <w:ilvl w:val="0"/>
          <w:numId w:val="3"/>
        </w:numPr>
        <w:tabs>
          <w:tab w:val="left" w:pos="3060"/>
        </w:tabs>
        <w:spacing w:line="560" w:lineRule="exact"/>
        <w:rPr>
          <w:rFonts w:ascii="仿宋" w:hAnsi="仿宋" w:eastAsia="仿宋" w:cs="仿宋"/>
          <w:sz w:val="28"/>
          <w:szCs w:val="28"/>
        </w:rPr>
      </w:pPr>
      <w:r>
        <w:rPr>
          <w:rFonts w:hint="eastAsia" w:ascii="仿宋" w:hAnsi="仿宋" w:eastAsia="仿宋" w:cs="仿宋"/>
          <w:sz w:val="28"/>
          <w:szCs w:val="28"/>
        </w:rPr>
        <w:t>产业链情况及公司所处位置</w:t>
      </w:r>
    </w:p>
    <w:p>
      <w:pPr>
        <w:numPr>
          <w:ilvl w:val="0"/>
          <w:numId w:val="0"/>
        </w:numPr>
        <w:tabs>
          <w:tab w:val="left" w:pos="3060"/>
        </w:tabs>
        <w:spacing w:line="560" w:lineRule="exact"/>
        <w:ind w:firstLine="560" w:firstLineChars="200"/>
        <w:rPr>
          <w:rFonts w:hint="default" w:ascii="仿宋" w:hAnsi="仿宋" w:eastAsia="仿宋" w:cs="仿宋"/>
          <w:sz w:val="28"/>
          <w:szCs w:val="28"/>
          <w:lang w:val="en-US" w:eastAsia="zh-CN"/>
        </w:rPr>
      </w:pPr>
      <w:r>
        <w:rPr>
          <w:rFonts w:hint="default" w:ascii="仿宋" w:hAnsi="仿宋" w:eastAsia="仿宋" w:cs="仿宋"/>
          <w:sz w:val="28"/>
          <w:szCs w:val="28"/>
          <w:lang w:val="en-US" w:eastAsia="zh-CN"/>
        </w:rPr>
        <w:t>在锂电池正极材料产业链中，上游环节为正极原材料（包括锂、钴、镍等矿物原材料）、辅材（如导电剂、粘结剂等）和正极材料制造设备；</w:t>
      </w:r>
    </w:p>
    <w:p>
      <w:pPr>
        <w:numPr>
          <w:ilvl w:val="0"/>
          <w:numId w:val="0"/>
        </w:numPr>
        <w:tabs>
          <w:tab w:val="left" w:pos="3060"/>
        </w:tabs>
        <w:spacing w:line="560" w:lineRule="exact"/>
        <w:ind w:firstLine="560" w:firstLineChars="200"/>
        <w:rPr>
          <w:rFonts w:hint="default" w:ascii="仿宋" w:hAnsi="仿宋" w:eastAsia="仿宋" w:cs="仿宋"/>
          <w:sz w:val="28"/>
          <w:szCs w:val="28"/>
          <w:lang w:val="en-US" w:eastAsia="zh-CN"/>
        </w:rPr>
      </w:pPr>
      <w:r>
        <w:rPr>
          <w:rFonts w:hint="default" w:ascii="仿宋" w:hAnsi="仿宋" w:eastAsia="仿宋" w:cs="仿宋"/>
          <w:sz w:val="28"/>
          <w:szCs w:val="28"/>
          <w:lang w:val="en-US" w:eastAsia="zh-CN"/>
        </w:rPr>
        <w:t>中游环节为正极材料的加工与制造。锂电池正极材料是锂电池电化学性能的决定性因素，对电池的能量密度及安全性能起主导作用，占锂离子电池总成本的30%-40%。目前，全球主流的锂电池正极材料包括钴酸锂、锰酸锂、磷酸铁锂和三元材料。</w:t>
      </w:r>
    </w:p>
    <w:p>
      <w:pPr>
        <w:numPr>
          <w:ilvl w:val="0"/>
          <w:numId w:val="0"/>
        </w:numPr>
        <w:tabs>
          <w:tab w:val="left" w:pos="3060"/>
        </w:tabs>
        <w:spacing w:line="560" w:lineRule="exact"/>
        <w:ind w:firstLine="560" w:firstLineChars="200"/>
        <w:rPr>
          <w:rFonts w:hint="default" w:ascii="仿宋" w:hAnsi="仿宋" w:eastAsia="仿宋" w:cs="仿宋"/>
          <w:sz w:val="28"/>
          <w:szCs w:val="28"/>
          <w:lang w:val="en-US" w:eastAsia="zh-CN"/>
        </w:rPr>
      </w:pPr>
      <w:r>
        <w:rPr>
          <w:rFonts w:hint="default" w:ascii="仿宋" w:hAnsi="仿宋" w:eastAsia="仿宋" w:cs="仿宋"/>
          <w:sz w:val="28"/>
          <w:szCs w:val="28"/>
          <w:lang w:val="en-US" w:eastAsia="zh-CN"/>
        </w:rPr>
        <w:t>下游环节为锂电池及其应用行业，包括以电动汽车为代表的动力锂电池领域、智能手机为代表的3C锂电池领域以及通信基站为代表的储能锂电池等三大领域。</w:t>
      </w:r>
    </w:p>
    <w:p>
      <w:pPr>
        <w:numPr>
          <w:ilvl w:val="0"/>
          <w:numId w:val="0"/>
        </w:numPr>
        <w:tabs>
          <w:tab w:val="left" w:pos="3060"/>
        </w:tabs>
        <w:spacing w:line="240" w:lineRule="auto"/>
        <w:rPr>
          <w:rFonts w:ascii="仿宋" w:hAnsi="仿宋" w:eastAsia="仿宋" w:cs="仿宋"/>
          <w:sz w:val="28"/>
          <w:szCs w:val="28"/>
        </w:rPr>
      </w:pPr>
      <w:r>
        <w:rPr>
          <w:rFonts w:hint="default" w:ascii="微软雅黑" w:hAnsi="微软雅黑" w:eastAsia="微软雅黑" w:cs="微软雅黑"/>
          <w:kern w:val="0"/>
          <w:sz w:val="28"/>
          <w:szCs w:val="28"/>
          <w:lang w:val="en-US" w:eastAsia="zh-CN" w:bidi="ar"/>
        </w:rPr>
        <w:drawing>
          <wp:inline distT="0" distB="0" distL="114300" distR="114300">
            <wp:extent cx="5274310" cy="3247390"/>
            <wp:effectExtent l="0" t="0" r="2540" b="10160"/>
            <wp:docPr id="2" name="图片 2" descr="14779984346875424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4779984346875424293"/>
                    <pic:cNvPicPr>
                      <a:picLocks noChangeAspect="1"/>
                    </pic:cNvPicPr>
                  </pic:nvPicPr>
                  <pic:blipFill>
                    <a:blip r:embed="rId4"/>
                    <a:stretch>
                      <a:fillRect/>
                    </a:stretch>
                  </pic:blipFill>
                  <pic:spPr>
                    <a:xfrm>
                      <a:off x="0" y="0"/>
                      <a:ext cx="5274310" cy="3247390"/>
                    </a:xfrm>
                    <a:prstGeom prst="rect">
                      <a:avLst/>
                    </a:prstGeom>
                  </pic:spPr>
                </pic:pic>
              </a:graphicData>
            </a:graphic>
          </wp:inline>
        </w:drawing>
      </w:r>
    </w:p>
    <w:p>
      <w:pPr>
        <w:numPr>
          <w:ilvl w:val="0"/>
          <w:numId w:val="3"/>
        </w:numPr>
        <w:tabs>
          <w:tab w:val="left" w:pos="3060"/>
        </w:tabs>
        <w:spacing w:line="560" w:lineRule="exact"/>
        <w:rPr>
          <w:rFonts w:ascii="仿宋" w:hAnsi="仿宋" w:eastAsia="仿宋" w:cs="仿宋"/>
          <w:sz w:val="28"/>
          <w:szCs w:val="28"/>
        </w:rPr>
      </w:pPr>
      <w:r>
        <w:rPr>
          <w:rFonts w:hint="eastAsia" w:ascii="仿宋" w:hAnsi="仿宋" w:eastAsia="仿宋" w:cs="仿宋"/>
          <w:sz w:val="28"/>
          <w:szCs w:val="28"/>
        </w:rPr>
        <w:t>近年来行业内股权融资情况</w:t>
      </w:r>
    </w:p>
    <w:p>
      <w:pPr>
        <w:keepNext w:val="0"/>
        <w:keepLines w:val="0"/>
        <w:pageBreakBefore w:val="0"/>
        <w:widowControl w:val="0"/>
        <w:numPr>
          <w:ilvl w:val="0"/>
          <w:numId w:val="0"/>
        </w:numPr>
        <w:tabs>
          <w:tab w:val="left" w:pos="3060"/>
        </w:tabs>
        <w:kinsoku/>
        <w:wordWrap/>
        <w:overflowPunct/>
        <w:topLinePunct w:val="0"/>
        <w:autoSpaceDE/>
        <w:autoSpaceDN/>
        <w:bidi w:val="0"/>
        <w:adjustRightInd/>
        <w:snapToGrid/>
        <w:spacing w:line="560" w:lineRule="exact"/>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1、2024年5月22日，常州锂源新能源科技有限公司获得A轮融资，金额2.85亿元，投资方：中石油昆仑资本 （一家新能源材料供应商，主要提供磷酸铁锂正极材料）</w:t>
      </w:r>
    </w:p>
    <w:p>
      <w:pPr>
        <w:keepNext w:val="0"/>
        <w:keepLines w:val="0"/>
        <w:pageBreakBefore w:val="0"/>
        <w:widowControl w:val="0"/>
        <w:numPr>
          <w:ilvl w:val="0"/>
          <w:numId w:val="0"/>
        </w:numPr>
        <w:tabs>
          <w:tab w:val="left" w:pos="3060"/>
        </w:tabs>
        <w:kinsoku/>
        <w:wordWrap/>
        <w:overflowPunct/>
        <w:topLinePunct w:val="0"/>
        <w:autoSpaceDE/>
        <w:autoSpaceDN/>
        <w:bidi w:val="0"/>
        <w:adjustRightInd/>
        <w:snapToGrid/>
        <w:spacing w:line="560" w:lineRule="exact"/>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2、2024年5月24日，瑞固（衢州）新材料科技有限公司获得天使轮融资，金额1亿元，投资方：紫金港资本、成铭资本（领投）、龙游县产业基金（一期全固态电解质量产线的建成，将成为国内第一批落地的硫化物固态电解质生产项目）</w:t>
      </w:r>
    </w:p>
    <w:p>
      <w:pPr>
        <w:keepNext w:val="0"/>
        <w:keepLines w:val="0"/>
        <w:pageBreakBefore w:val="0"/>
        <w:widowControl w:val="0"/>
        <w:numPr>
          <w:ilvl w:val="0"/>
          <w:numId w:val="0"/>
        </w:numPr>
        <w:tabs>
          <w:tab w:val="left" w:pos="3060"/>
        </w:tabs>
        <w:kinsoku/>
        <w:wordWrap/>
        <w:overflowPunct/>
        <w:topLinePunct w:val="0"/>
        <w:autoSpaceDE/>
        <w:autoSpaceDN/>
        <w:bidi w:val="0"/>
        <w:adjustRightInd/>
        <w:snapToGrid/>
        <w:spacing w:line="560" w:lineRule="exact"/>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3、2024年5月27日，安徽宸昌新材料有限公司获得B轮融资，金额近亿元，投资方：五源资本（领投）、中科创星、合肥创新投（一家锂电池添加剂生产商，专注于新型电解质锂盐/钠盐及添加剂的研发、制造和销售，主要产品包括LiFSI、NaFSI、LiODFB和LiBOB等。公司位于安徽宣城）</w:t>
      </w:r>
    </w:p>
    <w:p>
      <w:pPr>
        <w:numPr>
          <w:ilvl w:val="0"/>
          <w:numId w:val="1"/>
        </w:numPr>
        <w:tabs>
          <w:tab w:val="left" w:pos="3060"/>
        </w:tabs>
        <w:spacing w:line="560" w:lineRule="exact"/>
        <w:rPr>
          <w:rFonts w:ascii="仿宋" w:hAnsi="仿宋" w:eastAsia="仿宋" w:cs="仿宋"/>
          <w:b/>
          <w:bCs/>
          <w:sz w:val="28"/>
          <w:szCs w:val="28"/>
        </w:rPr>
      </w:pPr>
      <w:r>
        <w:rPr>
          <w:rFonts w:hint="eastAsia" w:ascii="仿宋" w:hAnsi="仿宋" w:eastAsia="仿宋" w:cs="仿宋"/>
          <w:b/>
          <w:bCs/>
          <w:sz w:val="28"/>
          <w:szCs w:val="28"/>
        </w:rPr>
        <w:t>市场竞争情况</w:t>
      </w:r>
    </w:p>
    <w:p>
      <w:pPr>
        <w:numPr>
          <w:ilvl w:val="0"/>
          <w:numId w:val="4"/>
        </w:numPr>
        <w:tabs>
          <w:tab w:val="left" w:pos="3060"/>
        </w:tabs>
        <w:spacing w:line="560" w:lineRule="exact"/>
        <w:rPr>
          <w:rFonts w:ascii="仿宋" w:hAnsi="仿宋" w:eastAsia="仿宋" w:cs="仿宋"/>
          <w:sz w:val="28"/>
          <w:szCs w:val="28"/>
        </w:rPr>
      </w:pPr>
      <w:r>
        <w:rPr>
          <w:rFonts w:hint="eastAsia" w:ascii="仿宋" w:hAnsi="仿宋" w:eastAsia="仿宋" w:cs="仿宋"/>
          <w:sz w:val="28"/>
          <w:szCs w:val="28"/>
        </w:rPr>
        <w:t>行业准入壁垒</w:t>
      </w:r>
    </w:p>
    <w:p>
      <w:pPr>
        <w:numPr>
          <w:ilvl w:val="0"/>
          <w:numId w:val="0"/>
        </w:numPr>
        <w:tabs>
          <w:tab w:val="left" w:pos="3060"/>
        </w:tabs>
        <w:spacing w:line="560" w:lineRule="exact"/>
        <w:rPr>
          <w:rFonts w:hint="eastAsia" w:ascii="仿宋" w:hAnsi="仿宋" w:eastAsia="仿宋" w:cs="仿宋"/>
          <w:b/>
          <w:bCs/>
          <w:sz w:val="28"/>
          <w:szCs w:val="28"/>
        </w:rPr>
      </w:pPr>
      <w:r>
        <w:rPr>
          <w:rFonts w:hint="eastAsia" w:ascii="仿宋" w:hAnsi="仿宋" w:eastAsia="仿宋" w:cs="仿宋"/>
          <w:b/>
          <w:bCs/>
          <w:sz w:val="28"/>
          <w:szCs w:val="28"/>
          <w:lang w:val="en-US" w:eastAsia="zh-CN"/>
        </w:rPr>
        <w:t>1、</w:t>
      </w:r>
      <w:r>
        <w:rPr>
          <w:rFonts w:hint="eastAsia" w:ascii="仿宋" w:hAnsi="仿宋" w:eastAsia="仿宋" w:cs="仿宋"/>
          <w:b/>
          <w:bCs/>
          <w:sz w:val="28"/>
          <w:szCs w:val="28"/>
        </w:rPr>
        <w:t>技术工艺壁垒</w:t>
      </w:r>
    </w:p>
    <w:p>
      <w:pPr>
        <w:numPr>
          <w:ilvl w:val="0"/>
          <w:numId w:val="0"/>
        </w:numPr>
        <w:tabs>
          <w:tab w:val="left" w:pos="3060"/>
        </w:tabs>
        <w:spacing w:line="560" w:lineRule="exact"/>
        <w:ind w:firstLine="560" w:firstLineChars="200"/>
        <w:rPr>
          <w:rFonts w:hint="eastAsia" w:ascii="仿宋" w:hAnsi="仿宋" w:eastAsia="仿宋" w:cs="仿宋"/>
          <w:sz w:val="28"/>
          <w:szCs w:val="28"/>
        </w:rPr>
      </w:pPr>
      <w:r>
        <w:rPr>
          <w:rFonts w:hint="eastAsia" w:ascii="仿宋" w:hAnsi="仿宋" w:eastAsia="仿宋" w:cs="仿宋"/>
          <w:sz w:val="28"/>
          <w:szCs w:val="28"/>
        </w:rPr>
        <w:t>锂离子储能电池的生产工艺复杂，过程控制严格，原材料的选择、机器设备的调试以及生产流程的设置等均需多年的技术经验积累，加之近年来储能锂离子电池不断向高安全性、长循环寿命的方向发展，技术和工艺壁垒不断提高。行业新进入者短期内往往无法突破关键技术，也难以优化工艺流程，从而面临一定的技术工艺壁垒。</w:t>
      </w:r>
    </w:p>
    <w:p>
      <w:pPr>
        <w:numPr>
          <w:ilvl w:val="0"/>
          <w:numId w:val="5"/>
        </w:numPr>
        <w:tabs>
          <w:tab w:val="left" w:pos="3060"/>
        </w:tabs>
        <w:spacing w:line="560" w:lineRule="exact"/>
        <w:rPr>
          <w:rFonts w:hint="eastAsia" w:ascii="仿宋" w:hAnsi="仿宋" w:eastAsia="仿宋" w:cs="仿宋"/>
          <w:b/>
          <w:bCs/>
          <w:sz w:val="28"/>
          <w:szCs w:val="28"/>
        </w:rPr>
      </w:pPr>
      <w:r>
        <w:rPr>
          <w:rFonts w:hint="eastAsia" w:ascii="仿宋" w:hAnsi="仿宋" w:eastAsia="仿宋" w:cs="仿宋"/>
          <w:b/>
          <w:bCs/>
          <w:sz w:val="28"/>
          <w:szCs w:val="28"/>
        </w:rPr>
        <w:t>客户资源壁垒</w:t>
      </w:r>
    </w:p>
    <w:p>
      <w:pPr>
        <w:numPr>
          <w:ilvl w:val="0"/>
          <w:numId w:val="0"/>
        </w:numPr>
        <w:tabs>
          <w:tab w:val="left" w:pos="3060"/>
        </w:tabs>
        <w:spacing w:line="560" w:lineRule="exact"/>
        <w:ind w:firstLine="560" w:firstLineChars="200"/>
        <w:rPr>
          <w:rFonts w:hint="eastAsia" w:ascii="仿宋" w:hAnsi="仿宋" w:eastAsia="仿宋" w:cs="仿宋"/>
          <w:sz w:val="28"/>
          <w:szCs w:val="28"/>
        </w:rPr>
      </w:pPr>
      <w:r>
        <w:rPr>
          <w:rFonts w:hint="eastAsia" w:ascii="仿宋" w:hAnsi="仿宋" w:eastAsia="仿宋" w:cs="仿宋"/>
          <w:sz w:val="28"/>
          <w:szCs w:val="28"/>
        </w:rPr>
        <w:t>储能电池的下游应用领域主要包括通信基站、数据中心、电力系统等涉及国计民生的重要领域，对电池质量要求较高。通信基站领域的主要客户为中国移动、中国联通、中国电信及中国铁塔等大型通信运营商或通信基础设施服务提供商，数据中心领域的客户主要包括阿里巴巴、京东、百度、万国数据、秦淮数据等大型科技公司，电力储能领域的客户主要为国网、南网等电力公司。此类客户大多采取严格的供应商认证机制，需要对供应商的技术能力、商务能力、物流能力、质量管理、财务稳定性、社会责任、环保能力等进行严格认证，只有通过严格的供应商资质认证、具备专业服务能力、拥有稳定产品性能和强大品牌信誉的企业才有可能通过招投标等方式取得业务机会，行业新进入者往往难以短时间内具备上述全部条件，从而难以获取业务机会。</w:t>
      </w:r>
    </w:p>
    <w:p>
      <w:pPr>
        <w:numPr>
          <w:ilvl w:val="0"/>
          <w:numId w:val="5"/>
        </w:numPr>
        <w:tabs>
          <w:tab w:val="left" w:pos="3060"/>
        </w:tabs>
        <w:spacing w:line="560" w:lineRule="exact"/>
        <w:ind w:left="0" w:leftChars="0" w:firstLine="0" w:firstLineChars="0"/>
        <w:rPr>
          <w:rFonts w:hint="eastAsia" w:ascii="仿宋" w:hAnsi="仿宋" w:eastAsia="仿宋" w:cs="仿宋"/>
          <w:b/>
          <w:bCs/>
          <w:sz w:val="28"/>
          <w:szCs w:val="28"/>
        </w:rPr>
      </w:pPr>
      <w:r>
        <w:rPr>
          <w:rFonts w:hint="eastAsia" w:ascii="仿宋" w:hAnsi="仿宋" w:eastAsia="仿宋" w:cs="仿宋"/>
          <w:b/>
          <w:bCs/>
          <w:sz w:val="28"/>
          <w:szCs w:val="28"/>
        </w:rPr>
        <w:t>资金壁垒</w:t>
      </w:r>
    </w:p>
    <w:p>
      <w:pPr>
        <w:numPr>
          <w:ilvl w:val="0"/>
          <w:numId w:val="0"/>
        </w:numPr>
        <w:tabs>
          <w:tab w:val="left" w:pos="3060"/>
        </w:tabs>
        <w:spacing w:line="560" w:lineRule="exact"/>
        <w:ind w:leftChars="0" w:firstLine="560" w:firstLineChars="200"/>
        <w:rPr>
          <w:rFonts w:hint="eastAsia" w:ascii="仿宋" w:hAnsi="仿宋" w:eastAsia="仿宋" w:cs="仿宋"/>
          <w:sz w:val="28"/>
          <w:szCs w:val="28"/>
        </w:rPr>
      </w:pPr>
      <w:r>
        <w:rPr>
          <w:rFonts w:hint="eastAsia" w:ascii="仿宋" w:hAnsi="仿宋" w:eastAsia="仿宋" w:cs="仿宋"/>
          <w:sz w:val="28"/>
          <w:szCs w:val="28"/>
        </w:rPr>
        <w:t>锂离子电池行业属于资金密集型行业，厂房建设、设备购置等均需大量的资金投入。此外，锂离子电池行业仍处于技术持续迭代的阶段，需要持续的大额研发投入，其日常经营也需要大量的流动资金支持。因此，行业新进入企业面临较高的资金壁垒。</w:t>
      </w:r>
    </w:p>
    <w:p>
      <w:pPr>
        <w:numPr>
          <w:ilvl w:val="0"/>
          <w:numId w:val="5"/>
        </w:numPr>
        <w:tabs>
          <w:tab w:val="left" w:pos="3060"/>
        </w:tabs>
        <w:spacing w:line="560" w:lineRule="exact"/>
        <w:ind w:left="0" w:leftChars="0" w:firstLine="0" w:firstLineChars="0"/>
        <w:rPr>
          <w:rFonts w:hint="eastAsia" w:ascii="仿宋" w:hAnsi="仿宋" w:eastAsia="仿宋" w:cs="仿宋"/>
          <w:b/>
          <w:bCs/>
          <w:sz w:val="28"/>
          <w:szCs w:val="28"/>
        </w:rPr>
      </w:pPr>
      <w:r>
        <w:rPr>
          <w:rFonts w:hint="eastAsia" w:ascii="仿宋" w:hAnsi="仿宋" w:eastAsia="仿宋" w:cs="仿宋"/>
          <w:b/>
          <w:bCs/>
          <w:sz w:val="28"/>
          <w:szCs w:val="28"/>
        </w:rPr>
        <w:t>人才壁垒</w:t>
      </w:r>
    </w:p>
    <w:p>
      <w:pPr>
        <w:numPr>
          <w:ilvl w:val="0"/>
          <w:numId w:val="0"/>
        </w:numPr>
        <w:tabs>
          <w:tab w:val="left" w:pos="3060"/>
        </w:tabs>
        <w:spacing w:line="560" w:lineRule="exact"/>
        <w:ind w:leftChars="0" w:firstLine="560" w:firstLineChars="200"/>
        <w:rPr>
          <w:rFonts w:ascii="仿宋" w:hAnsi="仿宋" w:eastAsia="仿宋" w:cs="仿宋"/>
          <w:sz w:val="28"/>
          <w:szCs w:val="28"/>
        </w:rPr>
      </w:pPr>
      <w:r>
        <w:rPr>
          <w:rFonts w:hint="eastAsia" w:ascii="仿宋" w:hAnsi="仿宋" w:eastAsia="仿宋" w:cs="仿宋"/>
          <w:sz w:val="28"/>
          <w:szCs w:val="28"/>
        </w:rPr>
        <w:t>储能电池行业属于人才密集型行业，具有以电化学为核心、多学科交叉的特点，需要大量兼备高水平专业技术和行业经验的复合型人才。对于行业新进入企业而言，核心技术人员的培育或引进需要付出大量的时间和资金成本。因此，行业内核心技术人才专业水平领先、核心技术团队长期稳定的企业已经形成较高的人才壁垒。</w:t>
      </w:r>
    </w:p>
    <w:p>
      <w:pPr>
        <w:numPr>
          <w:ilvl w:val="0"/>
          <w:numId w:val="4"/>
        </w:numPr>
        <w:tabs>
          <w:tab w:val="left" w:pos="3060"/>
        </w:tabs>
        <w:spacing w:line="560" w:lineRule="exact"/>
        <w:rPr>
          <w:rFonts w:ascii="仿宋" w:hAnsi="仿宋" w:eastAsia="仿宋" w:cs="仿宋"/>
          <w:sz w:val="28"/>
          <w:szCs w:val="28"/>
        </w:rPr>
      </w:pPr>
      <w:r>
        <w:rPr>
          <w:rFonts w:hint="eastAsia" w:ascii="仿宋" w:hAnsi="仿宋" w:eastAsia="仿宋" w:cs="仿宋"/>
          <w:sz w:val="28"/>
          <w:szCs w:val="28"/>
        </w:rPr>
        <w:t>市场竞争格局、可比公司情况</w:t>
      </w:r>
      <w:r>
        <w:rPr>
          <w:rFonts w:hint="eastAsia" w:ascii="仿宋" w:hAnsi="仿宋" w:eastAsia="仿宋" w:cs="仿宋"/>
          <w:sz w:val="28"/>
          <w:szCs w:val="28"/>
          <w:lang w:eastAsia="zh-CN"/>
        </w:rPr>
        <w:t>（</w:t>
      </w:r>
      <w:r>
        <w:rPr>
          <w:rFonts w:hint="eastAsia" w:ascii="仿宋" w:hAnsi="仿宋" w:eastAsia="仿宋" w:cs="仿宋"/>
          <w:sz w:val="28"/>
          <w:szCs w:val="28"/>
          <w:lang w:val="en-US" w:eastAsia="zh-CN"/>
        </w:rPr>
        <w:t>包括上市或非上市公司</w:t>
      </w:r>
      <w:r>
        <w:rPr>
          <w:rFonts w:hint="eastAsia" w:ascii="仿宋" w:hAnsi="仿宋" w:eastAsia="仿宋" w:cs="仿宋"/>
          <w:sz w:val="28"/>
          <w:szCs w:val="28"/>
          <w:lang w:eastAsia="zh-CN"/>
        </w:rPr>
        <w:t>）</w:t>
      </w:r>
    </w:p>
    <w:p>
      <w:pPr>
        <w:numPr>
          <w:ilvl w:val="0"/>
          <w:numId w:val="0"/>
        </w:numPr>
        <w:tabs>
          <w:tab w:val="left" w:pos="3060"/>
        </w:tabs>
        <w:spacing w:line="560" w:lineRule="exact"/>
        <w:ind w:leftChars="0" w:firstLine="560" w:firstLineChars="200"/>
        <w:rPr>
          <w:rFonts w:hint="eastAsia" w:ascii="仿宋" w:hAnsi="仿宋" w:eastAsia="仿宋" w:cs="仿宋"/>
          <w:sz w:val="28"/>
          <w:szCs w:val="28"/>
        </w:rPr>
      </w:pPr>
      <w:r>
        <w:rPr>
          <w:rFonts w:hint="eastAsia" w:ascii="仿宋" w:hAnsi="仿宋" w:eastAsia="仿宋" w:cs="仿宋"/>
          <w:sz w:val="28"/>
          <w:szCs w:val="28"/>
          <w:lang w:val="en-US" w:eastAsia="zh-CN"/>
        </w:rPr>
        <w:t>2023年国内磷酸铁锂产量同比增长50.5%，与2022年全年132.3%的增速相比出现明显下滑。增速不高的原因主要是因为市场刚需不佳，叠加电池企业、车企等去库操作，需求下滑严重。磷酸铁锂市场呈现出强者恒强的态势，湖南裕能、德方纳米继续霸榜Top2，市占率约45%；湖北万润、融通高科、常州锂源依然占据着Top3-5的位置，三企业市占率合计超过20%；友山科技凭借着中创新航等客户的支持，市占率快速提升，并且有望进一步提升；金堂时代、山东丰元分别依靠宁德时代、比亚迪，市占率也提升明显。</w:t>
      </w:r>
    </w:p>
    <w:p>
      <w:pPr>
        <w:numPr>
          <w:ilvl w:val="0"/>
          <w:numId w:val="4"/>
        </w:numPr>
        <w:tabs>
          <w:tab w:val="left" w:pos="3060"/>
        </w:tabs>
        <w:spacing w:line="560" w:lineRule="exact"/>
        <w:rPr>
          <w:rFonts w:ascii="仿宋" w:hAnsi="仿宋" w:eastAsia="仿宋" w:cs="仿宋"/>
          <w:sz w:val="28"/>
          <w:szCs w:val="28"/>
        </w:rPr>
      </w:pPr>
      <w:r>
        <w:rPr>
          <w:rFonts w:hint="eastAsia" w:ascii="仿宋" w:hAnsi="仿宋" w:eastAsia="仿宋" w:cs="仿宋"/>
          <w:sz w:val="28"/>
          <w:szCs w:val="28"/>
        </w:rPr>
        <w:t>公司竞争优势</w:t>
      </w:r>
    </w:p>
    <w:p>
      <w:pPr>
        <w:keepNext w:val="0"/>
        <w:keepLines w:val="0"/>
        <w:pageBreakBefore w:val="0"/>
        <w:widowControl w:val="0"/>
        <w:numPr>
          <w:ilvl w:val="0"/>
          <w:numId w:val="0"/>
        </w:numPr>
        <w:tabs>
          <w:tab w:val="left" w:pos="3060"/>
        </w:tabs>
        <w:kinsoku/>
        <w:wordWrap/>
        <w:overflowPunct/>
        <w:topLinePunct w:val="0"/>
        <w:autoSpaceDE/>
        <w:autoSpaceDN/>
        <w:bidi w:val="0"/>
        <w:adjustRightInd/>
        <w:snapToGrid/>
        <w:spacing w:line="560" w:lineRule="exact"/>
        <w:textAlignment w:val="auto"/>
        <w:rPr>
          <w:rFonts w:hint="eastAsia" w:ascii="仿宋" w:hAnsi="仿宋" w:eastAsia="仿宋" w:cs="仿宋"/>
          <w:b/>
          <w:bCs/>
          <w:sz w:val="28"/>
          <w:szCs w:val="28"/>
          <w:lang w:val="en-US" w:eastAsia="zh-CN"/>
        </w:rPr>
      </w:pPr>
      <w:r>
        <w:rPr>
          <w:rFonts w:hint="eastAsia" w:ascii="仿宋" w:hAnsi="仿宋" w:eastAsia="仿宋" w:cs="仿宋"/>
          <w:b/>
          <w:bCs/>
          <w:sz w:val="28"/>
          <w:szCs w:val="28"/>
          <w:lang w:val="en-US" w:eastAsia="zh-CN"/>
        </w:rPr>
        <w:t>1、核心工艺– 创新第三代绿色一步法工艺</w:t>
      </w:r>
    </w:p>
    <w:p>
      <w:pPr>
        <w:keepNext w:val="0"/>
        <w:keepLines w:val="0"/>
        <w:pageBreakBefore w:val="0"/>
        <w:widowControl w:val="0"/>
        <w:numPr>
          <w:ilvl w:val="0"/>
          <w:numId w:val="0"/>
        </w:numPr>
        <w:tabs>
          <w:tab w:val="left" w:pos="3060"/>
        </w:tabs>
        <w:kinsoku/>
        <w:wordWrap/>
        <w:overflowPunct/>
        <w:topLinePunct w:val="0"/>
        <w:autoSpaceDE/>
        <w:autoSpaceDN/>
        <w:bidi w:val="0"/>
        <w:adjustRightInd/>
        <w:snapToGrid/>
        <w:spacing w:line="560" w:lineRule="exact"/>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XX企业采用第三代绿色一步法磷酸铁锂工艺，通过对无机化学与材料合成机理的深入研究，直接采用高纯铁粉、磷酸和碳酸锂为原料，一步法合成纳米磷酸铁锂，具有产线固定投资小，原材料最简化，工艺流程短，无固废与废水，能耗低，材料性能好，高性价比（非锂成本相比磷酸铁工艺降低30%）的显著综合优势。通过一步法工艺参数的调整，可以合成出不同压实密度、克容量、倍率性能的多种牌号磷酸铁锂，分别适用于电动汽车、储能、启停电源等不同要求的场景。</w:t>
      </w:r>
    </w:p>
    <w:p>
      <w:pPr>
        <w:keepNext w:val="0"/>
        <w:keepLines w:val="0"/>
        <w:pageBreakBefore w:val="0"/>
        <w:widowControl w:val="0"/>
        <w:numPr>
          <w:ilvl w:val="0"/>
          <w:numId w:val="0"/>
        </w:numPr>
        <w:tabs>
          <w:tab w:val="left" w:pos="3060"/>
        </w:tabs>
        <w:kinsoku/>
        <w:wordWrap/>
        <w:overflowPunct/>
        <w:topLinePunct w:val="0"/>
        <w:autoSpaceDE/>
        <w:autoSpaceDN/>
        <w:bidi w:val="0"/>
        <w:adjustRightInd/>
        <w:snapToGrid/>
        <w:spacing w:line="560" w:lineRule="exact"/>
        <w:textAlignment w:val="auto"/>
        <w:rPr>
          <w:rFonts w:hint="eastAsia" w:ascii="仿宋" w:hAnsi="仿宋" w:eastAsia="仿宋" w:cs="仿宋"/>
          <w:b/>
          <w:bCs/>
          <w:sz w:val="28"/>
          <w:szCs w:val="28"/>
          <w:lang w:val="en-US" w:eastAsia="zh-CN"/>
        </w:rPr>
      </w:pPr>
      <w:r>
        <w:rPr>
          <w:rFonts w:hint="eastAsia" w:ascii="仿宋" w:hAnsi="仿宋" w:eastAsia="仿宋" w:cs="仿宋"/>
          <w:b/>
          <w:bCs/>
          <w:sz w:val="28"/>
          <w:szCs w:val="28"/>
          <w:lang w:val="en-US" w:eastAsia="zh-CN"/>
        </w:rPr>
        <w:t>2、产品性能优势 – 大于等于行业主流产品</w:t>
      </w:r>
    </w:p>
    <w:p>
      <w:pPr>
        <w:keepNext w:val="0"/>
        <w:keepLines w:val="0"/>
        <w:pageBreakBefore w:val="0"/>
        <w:widowControl w:val="0"/>
        <w:numPr>
          <w:ilvl w:val="0"/>
          <w:numId w:val="0"/>
        </w:numPr>
        <w:tabs>
          <w:tab w:val="left" w:pos="3060"/>
        </w:tabs>
        <w:kinsoku/>
        <w:wordWrap/>
        <w:overflowPunct/>
        <w:topLinePunct w:val="0"/>
        <w:autoSpaceDE/>
        <w:autoSpaceDN/>
        <w:bidi w:val="0"/>
        <w:adjustRightInd/>
        <w:snapToGrid/>
        <w:spacing w:line="560" w:lineRule="exact"/>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LF-1: 综合型磷酸铁锂，粉末压实大于2.55g/cm3；；磁性物质、金属杂志含量低、碳包覆完 全、减少与电解液的副反应、在低容量衰减的同时保持畅销循环；</w:t>
      </w:r>
    </w:p>
    <w:p>
      <w:pPr>
        <w:keepNext w:val="0"/>
        <w:keepLines w:val="0"/>
        <w:pageBreakBefore w:val="0"/>
        <w:widowControl w:val="0"/>
        <w:numPr>
          <w:ilvl w:val="0"/>
          <w:numId w:val="0"/>
        </w:numPr>
        <w:tabs>
          <w:tab w:val="left" w:pos="3060"/>
        </w:tabs>
        <w:kinsoku/>
        <w:wordWrap/>
        <w:overflowPunct/>
        <w:topLinePunct w:val="0"/>
        <w:autoSpaceDE/>
        <w:autoSpaceDN/>
        <w:bidi w:val="0"/>
        <w:adjustRightInd/>
        <w:snapToGrid/>
        <w:spacing w:line="560" w:lineRule="exact"/>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LF-2：高压实磷酸铁锂，粉末压实大于 2.65g/cm3；粒径空隙优化，莫里定律分布，三维 紧密填充；本型号适合运用在动力电池领域, 属于行业头部水平。</w:t>
      </w:r>
    </w:p>
    <w:p>
      <w:pPr>
        <w:keepNext w:val="0"/>
        <w:keepLines w:val="0"/>
        <w:pageBreakBefore w:val="0"/>
        <w:widowControl w:val="0"/>
        <w:numPr>
          <w:ilvl w:val="0"/>
          <w:numId w:val="0"/>
        </w:numPr>
        <w:tabs>
          <w:tab w:val="left" w:pos="3060"/>
        </w:tabs>
        <w:kinsoku/>
        <w:wordWrap/>
        <w:overflowPunct/>
        <w:topLinePunct w:val="0"/>
        <w:autoSpaceDE/>
        <w:autoSpaceDN/>
        <w:bidi w:val="0"/>
        <w:adjustRightInd/>
        <w:snapToGrid/>
        <w:spacing w:line="560" w:lineRule="exact"/>
        <w:textAlignment w:val="auto"/>
        <w:rPr>
          <w:rFonts w:hint="eastAsia" w:ascii="仿宋" w:hAnsi="仿宋" w:eastAsia="仿宋" w:cs="仿宋"/>
          <w:b/>
          <w:bCs/>
          <w:sz w:val="28"/>
          <w:szCs w:val="28"/>
          <w:lang w:val="en-US" w:eastAsia="zh-CN"/>
        </w:rPr>
      </w:pPr>
      <w:r>
        <w:rPr>
          <w:rFonts w:hint="eastAsia" w:ascii="仿宋" w:hAnsi="仿宋" w:eastAsia="仿宋" w:cs="仿宋"/>
          <w:b/>
          <w:bCs/>
          <w:sz w:val="28"/>
          <w:szCs w:val="28"/>
          <w:lang w:val="en-US" w:eastAsia="zh-CN"/>
        </w:rPr>
        <w:t>3、成本与安环优势 – 投资及生产成本低、安全环保</w:t>
      </w:r>
    </w:p>
    <w:p>
      <w:pPr>
        <w:keepNext w:val="0"/>
        <w:keepLines w:val="0"/>
        <w:pageBreakBefore w:val="0"/>
        <w:widowControl w:val="0"/>
        <w:numPr>
          <w:ilvl w:val="0"/>
          <w:numId w:val="0"/>
        </w:numPr>
        <w:tabs>
          <w:tab w:val="left" w:pos="3060"/>
        </w:tabs>
        <w:kinsoku/>
        <w:wordWrap/>
        <w:overflowPunct/>
        <w:topLinePunct w:val="0"/>
        <w:autoSpaceDE/>
        <w:autoSpaceDN/>
        <w:bidi w:val="0"/>
        <w:adjustRightInd/>
        <w:snapToGrid/>
        <w:spacing w:line="560" w:lineRule="exact"/>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成本优势：本项目产品的全流程生产成本（扣除锂源成本）较目前主流工艺降低约 30%， 全流程单位产能固定投资降低 40%。</w:t>
      </w:r>
    </w:p>
    <w:p>
      <w:pPr>
        <w:keepNext w:val="0"/>
        <w:keepLines w:val="0"/>
        <w:pageBreakBefore w:val="0"/>
        <w:widowControl w:val="0"/>
        <w:numPr>
          <w:ilvl w:val="0"/>
          <w:numId w:val="0"/>
        </w:numPr>
        <w:tabs>
          <w:tab w:val="left" w:pos="3060"/>
        </w:tabs>
        <w:kinsoku/>
        <w:wordWrap/>
        <w:overflowPunct/>
        <w:topLinePunct w:val="0"/>
        <w:autoSpaceDE/>
        <w:autoSpaceDN/>
        <w:bidi w:val="0"/>
        <w:adjustRightInd/>
        <w:snapToGrid/>
        <w:spacing w:line="560" w:lineRule="exact"/>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安全环保与能耗优势：本项目主要原材料不涉及危化品，生产过程无废水、废气、固废污 染排放，能耗明显降低。大大降低了项目立项与复制扩产审批的难度。</w:t>
      </w:r>
    </w:p>
    <w:p>
      <w:pPr>
        <w:keepNext w:val="0"/>
        <w:keepLines w:val="0"/>
        <w:pageBreakBefore w:val="0"/>
        <w:widowControl w:val="0"/>
        <w:numPr>
          <w:ilvl w:val="0"/>
          <w:numId w:val="0"/>
        </w:numPr>
        <w:tabs>
          <w:tab w:val="left" w:pos="3060"/>
        </w:tabs>
        <w:kinsoku/>
        <w:wordWrap/>
        <w:overflowPunct/>
        <w:topLinePunct w:val="0"/>
        <w:autoSpaceDE/>
        <w:autoSpaceDN/>
        <w:bidi w:val="0"/>
        <w:adjustRightInd/>
        <w:snapToGrid/>
        <w:spacing w:line="560" w:lineRule="exact"/>
        <w:textAlignment w:val="auto"/>
        <w:rPr>
          <w:rFonts w:hint="eastAsia" w:ascii="仿宋" w:hAnsi="仿宋" w:eastAsia="仿宋" w:cs="仿宋"/>
          <w:b/>
          <w:bCs/>
          <w:sz w:val="28"/>
          <w:szCs w:val="28"/>
          <w:lang w:val="en-US" w:eastAsia="zh-CN"/>
        </w:rPr>
      </w:pPr>
      <w:r>
        <w:rPr>
          <w:rFonts w:hint="eastAsia" w:ascii="仿宋" w:hAnsi="仿宋" w:eastAsia="仿宋" w:cs="仿宋"/>
          <w:b/>
          <w:bCs/>
          <w:sz w:val="28"/>
          <w:szCs w:val="28"/>
          <w:lang w:val="en-US" w:eastAsia="zh-CN"/>
        </w:rPr>
        <w:t>4、平台工艺优势 – 绿色一步法适用于磷酸盐系产品材料</w:t>
      </w:r>
    </w:p>
    <w:p>
      <w:pPr>
        <w:keepNext w:val="0"/>
        <w:keepLines w:val="0"/>
        <w:pageBreakBefore w:val="0"/>
        <w:widowControl w:val="0"/>
        <w:numPr>
          <w:ilvl w:val="0"/>
          <w:numId w:val="0"/>
        </w:numPr>
        <w:tabs>
          <w:tab w:val="left" w:pos="3060"/>
        </w:tabs>
        <w:kinsoku/>
        <w:wordWrap/>
        <w:overflowPunct/>
        <w:topLinePunct w:val="0"/>
        <w:autoSpaceDE/>
        <w:autoSpaceDN/>
        <w:bidi w:val="0"/>
        <w:adjustRightInd/>
        <w:snapToGrid/>
        <w:spacing w:line="560" w:lineRule="exact"/>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本平台工艺亦适用于磷酸锰铁锂等新型高能量密度磷酸盐系锂离子正极材料。</w:t>
      </w:r>
    </w:p>
    <w:p>
      <w:pPr>
        <w:numPr>
          <w:ilvl w:val="0"/>
          <w:numId w:val="1"/>
        </w:numPr>
        <w:tabs>
          <w:tab w:val="left" w:pos="3060"/>
        </w:tabs>
        <w:spacing w:line="360" w:lineRule="auto"/>
        <w:rPr>
          <w:rFonts w:ascii="仿宋" w:hAnsi="仿宋" w:eastAsia="仿宋" w:cs="仿宋"/>
          <w:b/>
          <w:bCs/>
          <w:sz w:val="28"/>
          <w:szCs w:val="28"/>
        </w:rPr>
      </w:pPr>
      <w:r>
        <w:rPr>
          <w:rFonts w:hint="eastAsia" w:ascii="仿宋" w:hAnsi="仿宋" w:eastAsia="仿宋" w:cs="仿宋"/>
          <w:b/>
          <w:bCs/>
          <w:sz w:val="28"/>
          <w:szCs w:val="28"/>
          <w:lang w:val="en-US" w:eastAsia="zh-CN"/>
        </w:rPr>
        <w:t>业务评价</w:t>
      </w:r>
    </w:p>
    <w:p>
      <w:pPr>
        <w:tabs>
          <w:tab w:val="left" w:pos="3060"/>
        </w:tabs>
        <w:spacing w:line="240" w:lineRule="auto"/>
        <w:ind w:firstLine="560" w:firstLineChars="200"/>
        <w:rPr>
          <w:rFonts w:hint="eastAsia" w:ascii="仿宋" w:hAnsi="仿宋" w:eastAsia="仿宋" w:cs="仿宋"/>
          <w:sz w:val="28"/>
          <w:szCs w:val="28"/>
          <w:lang w:eastAsia="zh-CN"/>
        </w:rPr>
      </w:pPr>
      <w:r>
        <w:rPr>
          <w:rFonts w:hint="eastAsia" w:ascii="仿宋" w:hAnsi="仿宋" w:eastAsia="仿宋" w:cs="仿宋"/>
          <w:sz w:val="28"/>
          <w:szCs w:val="28"/>
        </w:rPr>
        <w:t>锂电池正极材料主要分为钴酸锂、锰酸锂、磷酸铁锂、三元正极材料等，</w:t>
      </w:r>
      <w:r>
        <w:rPr>
          <w:rFonts w:hint="eastAsia" w:ascii="仿宋" w:hAnsi="仿宋" w:eastAsia="仿宋" w:cs="仿宋"/>
          <w:sz w:val="28"/>
          <w:szCs w:val="28"/>
          <w:lang w:val="en-US" w:eastAsia="zh-CN"/>
        </w:rPr>
        <w:t>XX公司</w:t>
      </w:r>
      <w:r>
        <w:rPr>
          <w:rFonts w:hint="eastAsia" w:ascii="仿宋" w:hAnsi="仿宋" w:eastAsia="仿宋" w:cs="仿宋"/>
          <w:sz w:val="28"/>
          <w:szCs w:val="28"/>
        </w:rPr>
        <w:t>所在的磷酸铁锂行业出现的较晚，磷酸铁锂的出现是锂电池正极材料的一项重大突破，低廉的价格、环境友好、较高的安全性能、较好的高温性能，使其已形成了较广泛的市场应用</w:t>
      </w:r>
      <w:r>
        <w:rPr>
          <w:rFonts w:hint="eastAsia" w:ascii="仿宋" w:hAnsi="仿宋" w:eastAsia="仿宋" w:cs="仿宋"/>
          <w:sz w:val="28"/>
          <w:szCs w:val="28"/>
          <w:lang w:eastAsia="zh-CN"/>
        </w:rPr>
        <w:t>。</w:t>
      </w:r>
    </w:p>
    <w:p>
      <w:pPr>
        <w:tabs>
          <w:tab w:val="left" w:pos="3060"/>
        </w:tabs>
        <w:spacing w:line="240" w:lineRule="auto"/>
        <w:ind w:firstLine="560" w:firstLineChars="200"/>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截止至当前，XX公司并无正式销售，从财务报表来看，前期研发投入较高，企业产品科技属性较强，目前已有小部分销售订单，预计今年财务报表可以体现，另外，预期下半年将与宁德时代合作，销售额预计为2000万元。</w:t>
      </w:r>
    </w:p>
    <w:p>
      <w:pPr>
        <w:keepNext w:val="0"/>
        <w:keepLines w:val="0"/>
        <w:pageBreakBefore w:val="0"/>
        <w:widowControl w:val="0"/>
        <w:kinsoku/>
        <w:wordWrap/>
        <w:overflowPunct/>
        <w:topLinePunct w:val="0"/>
        <w:autoSpaceDE/>
        <w:autoSpaceDN/>
        <w:bidi w:val="0"/>
        <w:adjustRightInd/>
        <w:snapToGrid/>
        <w:spacing w:line="300" w:lineRule="auto"/>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企业预期今年9-11月进行B轮融资，预期金额为10000万元，投后估值预计为60000元。</w:t>
      </w:r>
    </w:p>
    <w:p>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976DB0"/>
    <w:multiLevelType w:val="singleLevel"/>
    <w:tmpl w:val="9A976DB0"/>
    <w:lvl w:ilvl="0" w:tentative="0">
      <w:start w:val="1"/>
      <w:numFmt w:val="chineseCounting"/>
      <w:suff w:val="nothing"/>
      <w:lvlText w:val="（%1）"/>
      <w:lvlJc w:val="left"/>
      <w:rPr>
        <w:rFonts w:hint="eastAsia"/>
      </w:rPr>
    </w:lvl>
  </w:abstractNum>
  <w:abstractNum w:abstractNumId="1">
    <w:nsid w:val="CA4A2BE3"/>
    <w:multiLevelType w:val="singleLevel"/>
    <w:tmpl w:val="CA4A2BE3"/>
    <w:lvl w:ilvl="0" w:tentative="0">
      <w:start w:val="2"/>
      <w:numFmt w:val="chineseCounting"/>
      <w:suff w:val="nothing"/>
      <w:lvlText w:val="（%1）"/>
      <w:lvlJc w:val="left"/>
      <w:rPr>
        <w:rFonts w:hint="eastAsia"/>
      </w:rPr>
    </w:lvl>
  </w:abstractNum>
  <w:abstractNum w:abstractNumId="2">
    <w:nsid w:val="E384521C"/>
    <w:multiLevelType w:val="singleLevel"/>
    <w:tmpl w:val="E384521C"/>
    <w:lvl w:ilvl="0" w:tentative="0">
      <w:start w:val="2"/>
      <w:numFmt w:val="decimal"/>
      <w:suff w:val="nothing"/>
      <w:lvlText w:val="%1、"/>
      <w:lvlJc w:val="left"/>
    </w:lvl>
  </w:abstractNum>
  <w:abstractNum w:abstractNumId="3">
    <w:nsid w:val="07D9DCE6"/>
    <w:multiLevelType w:val="singleLevel"/>
    <w:tmpl w:val="07D9DCE6"/>
    <w:lvl w:ilvl="0" w:tentative="0">
      <w:start w:val="1"/>
      <w:numFmt w:val="chineseCounting"/>
      <w:suff w:val="nothing"/>
      <w:lvlText w:val="（%1）"/>
      <w:lvlJc w:val="left"/>
      <w:rPr>
        <w:rFonts w:hint="eastAsia"/>
      </w:rPr>
    </w:lvl>
  </w:abstractNum>
  <w:abstractNum w:abstractNumId="4">
    <w:nsid w:val="5BFA8135"/>
    <w:multiLevelType w:val="singleLevel"/>
    <w:tmpl w:val="5BFA8135"/>
    <w:lvl w:ilvl="0" w:tentative="0">
      <w:start w:val="1"/>
      <w:numFmt w:val="chineseCounting"/>
      <w:suff w:val="nothing"/>
      <w:lvlText w:val="%1、"/>
      <w:lvlJc w:val="left"/>
      <w:rPr>
        <w:rFonts w:hint="eastAsia"/>
      </w:r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312B3E"/>
    <w:rsid w:val="00AB41B3"/>
    <w:rsid w:val="00BF5CFC"/>
    <w:rsid w:val="00EB0753"/>
    <w:rsid w:val="05DF66A5"/>
    <w:rsid w:val="05E921FB"/>
    <w:rsid w:val="07592F20"/>
    <w:rsid w:val="096720C5"/>
    <w:rsid w:val="0E4F02BF"/>
    <w:rsid w:val="0E8B7F32"/>
    <w:rsid w:val="10C15D06"/>
    <w:rsid w:val="13215879"/>
    <w:rsid w:val="13632018"/>
    <w:rsid w:val="152F4EB3"/>
    <w:rsid w:val="18AD20A1"/>
    <w:rsid w:val="19115836"/>
    <w:rsid w:val="19795A39"/>
    <w:rsid w:val="198E4704"/>
    <w:rsid w:val="1C5D17AD"/>
    <w:rsid w:val="1D0D15D8"/>
    <w:rsid w:val="1DD42F04"/>
    <w:rsid w:val="1E450FA3"/>
    <w:rsid w:val="20480CC0"/>
    <w:rsid w:val="24365BAC"/>
    <w:rsid w:val="257E67FC"/>
    <w:rsid w:val="26667FAF"/>
    <w:rsid w:val="274F22B4"/>
    <w:rsid w:val="27F04A69"/>
    <w:rsid w:val="283B715E"/>
    <w:rsid w:val="2964235A"/>
    <w:rsid w:val="2A07052B"/>
    <w:rsid w:val="2CF2728A"/>
    <w:rsid w:val="2DFD7248"/>
    <w:rsid w:val="2F671132"/>
    <w:rsid w:val="31E61BCB"/>
    <w:rsid w:val="32FD3651"/>
    <w:rsid w:val="330E3E3A"/>
    <w:rsid w:val="3C0A2339"/>
    <w:rsid w:val="3CEA2618"/>
    <w:rsid w:val="3D9176D9"/>
    <w:rsid w:val="3FCE187A"/>
    <w:rsid w:val="401D063D"/>
    <w:rsid w:val="42CF5E4A"/>
    <w:rsid w:val="43467477"/>
    <w:rsid w:val="43D56472"/>
    <w:rsid w:val="44C53727"/>
    <w:rsid w:val="460044FA"/>
    <w:rsid w:val="4786687A"/>
    <w:rsid w:val="49927DEC"/>
    <w:rsid w:val="4DF347AD"/>
    <w:rsid w:val="4E87210F"/>
    <w:rsid w:val="55D4363B"/>
    <w:rsid w:val="579222F7"/>
    <w:rsid w:val="58F14271"/>
    <w:rsid w:val="5A4F2C9C"/>
    <w:rsid w:val="5A950927"/>
    <w:rsid w:val="5ADD7833"/>
    <w:rsid w:val="5BF33138"/>
    <w:rsid w:val="5D28023B"/>
    <w:rsid w:val="5D281314"/>
    <w:rsid w:val="5DCA4D0D"/>
    <w:rsid w:val="60425605"/>
    <w:rsid w:val="6249189E"/>
    <w:rsid w:val="64E47D01"/>
    <w:rsid w:val="65D50D70"/>
    <w:rsid w:val="6861013C"/>
    <w:rsid w:val="6C193DA7"/>
    <w:rsid w:val="6C8F128C"/>
    <w:rsid w:val="6E4C5DBA"/>
    <w:rsid w:val="70014AFF"/>
    <w:rsid w:val="703E10B0"/>
    <w:rsid w:val="76475857"/>
    <w:rsid w:val="764E2842"/>
    <w:rsid w:val="79197574"/>
    <w:rsid w:val="7EF56F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6">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pPr>
    <w:rPr>
      <w:sz w:val="18"/>
    </w:rPr>
  </w:style>
  <w:style w:type="paragraph" w:styleId="3">
    <w:name w:val="header"/>
    <w:basedOn w:val="1"/>
    <w:link w:val="9"/>
    <w:qFormat/>
    <w:uiPriority w:val="0"/>
    <w:pPr>
      <w:tabs>
        <w:tab w:val="center" w:pos="4153"/>
        <w:tab w:val="right" w:pos="8306"/>
      </w:tabs>
      <w:snapToGrid w:val="0"/>
      <w:jc w:val="center"/>
    </w:pPr>
    <w:rPr>
      <w:sz w:val="18"/>
      <w:szCs w:val="18"/>
    </w:rPr>
  </w:style>
  <w:style w:type="table" w:styleId="5">
    <w:name w:val="Table Gri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
    <w:name w:val="Strong"/>
    <w:basedOn w:val="6"/>
    <w:qFormat/>
    <w:uiPriority w:val="0"/>
    <w:rPr>
      <w:b/>
      <w:bCs/>
    </w:rPr>
  </w:style>
  <w:style w:type="character" w:styleId="8">
    <w:name w:val="page number"/>
    <w:basedOn w:val="6"/>
    <w:qFormat/>
    <w:uiPriority w:val="0"/>
  </w:style>
  <w:style w:type="character" w:customStyle="1" w:styleId="9">
    <w:name w:val="页眉 字符"/>
    <w:basedOn w:val="6"/>
    <w:link w:val="3"/>
    <w:qFormat/>
    <w:uiPriority w:val="0"/>
    <w:rPr>
      <w:kern w:val="2"/>
      <w:sz w:val="18"/>
      <w:szCs w:val="18"/>
    </w:rPr>
  </w:style>
  <w:style w:type="paragraph" w:customStyle="1" w:styleId="10">
    <w:name w:val="Revision"/>
    <w:hidden/>
    <w:unhideWhenUsed/>
    <w:qFormat/>
    <w:uiPriority w:val="99"/>
    <w:rPr>
      <w:rFonts w:asciiTheme="minorHAnsi" w:hAnsiTheme="minorHAnsi" w:eastAsiaTheme="minorEastAsia" w:cstheme="minorBidi"/>
      <w:kern w:val="2"/>
      <w:sz w:val="21"/>
      <w:szCs w:val="24"/>
      <w:lang w:val="en-US" w:eastAsia="zh-CN" w:bidi="ar-SA"/>
    </w:rPr>
  </w:style>
  <w:style w:type="paragraph" w:styleId="11">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87</Words>
  <Characters>496</Characters>
  <Lines>4</Lines>
  <Paragraphs>1</Paragraphs>
  <TotalTime>12</TotalTime>
  <ScaleCrop>false</ScaleCrop>
  <LinksUpToDate>false</LinksUpToDate>
  <CharactersWithSpaces>582</CharactersWithSpaces>
  <Application>WPS Office_11.8.2.9075_F1E327BC-269C-435d-A152-05C5408002CA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2023-10-13T06:55:00Z</dcterms:created>
  <dc:creator>srcb_haibo</dc:creator>
  <cp:lastModifiedBy>template-win10-2022</cp:lastModifiedBy>
  <dcterms:modified xsi:type="dcterms:W3CDTF">2026-08-18T03:02:30Z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2052-11.8.2.9075</vt:lpwstr>
  </property>
</Properties>
</file>