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56"/>
        </w:rPr>
        <w:t>UK CBAM PLATFORM</w:t>
      </w:r>
    </w:p>
    <w:p>
      <w:pPr>
        <w:jc w:val="center"/>
      </w:pPr>
      <w:r>
        <w:rPr>
          <w:b/>
          <w:sz w:val="34"/>
        </w:rPr>
        <w:t>Prioritised Product Requirements &amp; Build Specification</w:t>
      </w:r>
    </w:p>
    <w:p>
      <w:pPr>
        <w:jc w:val="center"/>
      </w:pPr>
      <w:r>
        <w:rPr>
          <w:sz w:val="20"/>
        </w:rPr>
        <w:t>Merged from the 29 September 2026 Team Handbook + September 2026 UK regulatory research</w:t>
      </w:r>
    </w:p>
    <w:p>
      <w:pPr>
        <w:spacing w:after="600"/>
      </w:pPr>
    </w:p>
    <w:tbl>
      <w:tblPr>
        <w:tblStyle w:val="TableGrid"/>
        <w:tblW w:type="auto" w:w="0"/>
        <w:tblLook w:firstColumn="1" w:firstRow="1" w:lastColumn="0" w:lastRow="0" w:noHBand="0" w:noVBand="1" w:val="04A0"/>
      </w:tblPr>
      <w:tblGrid>
        <w:gridCol w:w="10224"/>
      </w:tblGrid>
      <w:tr>
        <w:tc>
          <w:tcPr>
            <w:tcW w:type="dxa" w:w="10224"/>
            <w:shd w:fill="FCE4D6"/>
          </w:tcPr>
          <w:p>
            <w:pPr>
              <w:spacing w:after="0"/>
            </w:pPr>
            <w:r/>
            <w:r>
              <w:rPr>
                <w:b/>
                <w:sz w:val="17"/>
              </w:rPr>
              <w:t xml:space="preserve">Critical regulatory correction: </w:t>
            </w:r>
            <w:r>
              <w:rPr>
                <w:sz w:val="17"/>
              </w:rPr>
              <w:t>The handbook describes HMRC registration as opening in Q4 2026. Current HMRC guidance says the CBAM registration service opens on 1 January 2028. The product therefore needs a pre-registration compliance mode from 1 January 2027: capture imports, threshold events and evidence before the registration service is available.</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
              <w:rPr>
                <w:b/>
                <w:sz w:val="17"/>
              </w:rPr>
              <w:t xml:space="preserve">Important product interpretation: </w:t>
            </w:r>
            <w:r>
              <w:rPr>
                <w:sz w:val="17"/>
              </w:rPr>
              <w:t>The handbook's Day 7 / 14 / 21 / 28 supplier chase is a product workflow/SLA, not the legal test for whether the importer must use defaults. Legal default use is driven by the emissions-data rules and evidencing requirements.</w:t>
            </w:r>
          </w:p>
        </w:tc>
      </w:tr>
    </w:tbl>
    <w:p>
      <w:pPr>
        <w:spacing w:after="40"/>
      </w:pPr>
    </w:p>
    <w:p>
      <w:pPr>
        <w:spacing w:before="800"/>
        <w:jc w:val="center"/>
      </w:pPr>
      <w:r>
        <w:rPr>
          <w:sz w:val="18"/>
        </w:rPr>
        <w:t>Document status: Development baseline</w:t>
        <w:br/>
        <w:t>Version: 1.0</w:t>
        <w:br/>
        <w:t>Date: 30 September 2026</w:t>
      </w:r>
    </w:p>
    <w:p>
      <w:r>
        <w:br w:type="page"/>
      </w:r>
    </w:p>
    <w:p>
      <w:pPr>
        <w:pStyle w:val="Heading1"/>
        <w:keepNext/>
      </w:pPr>
      <w:r>
        <w:t>1. Executive summary</w:t>
      </w:r>
    </w:p>
    <w:p>
      <w:pPr>
        <w:spacing w:after="100" w:line="252" w:lineRule="auto"/>
      </w:pPr>
      <w:r>
        <w:t>The uploaded Team Handbook is a strong kickoff document: it defines the end-to-end operating journey from UK imports through supplier emissions collection, validation, Carbon Price Relief (CPR), calculation, return approval, filing and evidence retention. It also deliberately separates the delivery into R1 Data Machine, R2 Validation &amp; Intelligence and R3 Calculation &amp; Filing. (Handbook, pp. 1–6)</w:t>
      </w:r>
    </w:p>
    <w:p>
      <w:pPr>
        <w:spacing w:after="100" w:line="252" w:lineRule="auto"/>
      </w:pPr>
      <w:r>
        <w:t>This merged specification keeps that structure, but converts the handbook into implementable requirements and adds the regulatory/product gaps identified during the review. The application should be built as a compliance workflow platform, not as a standalone emissions calculator.</w:t>
      </w:r>
    </w:p>
    <w:tbl>
      <w:tblPr>
        <w:tblStyle w:val="TableGrid"/>
        <w:tblW w:type="auto" w:w="0"/>
        <w:tblLook w:firstColumn="1" w:firstRow="1" w:lastColumn="0" w:lastRow="0" w:noHBand="0" w:noVBand="1" w:val="04A0"/>
      </w:tblPr>
      <w:tblGrid>
        <w:gridCol w:w="10224"/>
      </w:tblGrid>
      <w:tr>
        <w:tc>
          <w:tcPr>
            <w:tcW w:type="dxa" w:w="10224"/>
            <w:shd w:fill="D9EAF7"/>
          </w:tcPr>
          <w:p>
            <w:pPr>
              <w:spacing w:after="0"/>
            </w:pPr>
            <w:r/>
            <w:r>
              <w:rPr>
                <w:b/>
                <w:sz w:val="17"/>
              </w:rPr>
              <w:t xml:space="preserve">Central engineering principle: </w:t>
            </w:r>
            <w:r>
              <w:rPr>
                <w:sz w:val="17"/>
              </w:rPr>
              <w:t>Law is data, not code. Commodity codes, defaults, rates, validation rules, deadlines, qualifying carbon-price schemes and other regulatory reference data must be versioned, effective-dated, source-linked and changeable without redeploying the application.</w:t>
            </w:r>
          </w:p>
        </w:tc>
      </w:tr>
    </w:tbl>
    <w:p>
      <w:pPr>
        <w:spacing w:after="40"/>
      </w:pPr>
    </w:p>
    <w:p>
      <w:pPr>
        <w:pStyle w:val="Heading1"/>
        <w:keepNext/>
      </w:pPr>
      <w:r>
        <w:t>2. Source baseline and what changed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Area</w:t>
            </w:r>
          </w:p>
        </w:tc>
        <w:tc>
          <w:tcPr>
            <w:tcW w:type="dxa" w:w="3408"/>
            <w:vAlign w:val="center"/>
            <w:shd w:fill="17365D"/>
          </w:tcPr>
          <w:p>
            <w:pPr>
              <w:spacing w:after="0"/>
            </w:pPr>
            <w:r/>
            <w:r>
              <w:rPr>
                <w:b/>
                <w:color w:val="FFFFFF"/>
                <w:sz w:val="14"/>
              </w:rPr>
              <w:t>Handbook baseline</w:t>
            </w:r>
          </w:p>
        </w:tc>
        <w:tc>
          <w:tcPr>
            <w:tcW w:type="dxa" w:w="3408"/>
            <w:vAlign w:val="center"/>
            <w:shd w:fill="17365D"/>
          </w:tcPr>
          <w:p>
            <w:pPr>
              <w:spacing w:after="0"/>
            </w:pPr>
            <w:r/>
            <w:r>
              <w:rPr>
                <w:b/>
                <w:color w:val="FFFFFF"/>
                <w:sz w:val="14"/>
              </w:rPr>
              <w:t>Merged requirement</w:t>
            </w:r>
          </w:p>
        </w:tc>
      </w:tr>
      <w:tr>
        <w:tc>
          <w:tcPr>
            <w:tcW w:type="dxa" w:w="3408"/>
            <w:vAlign w:val="center"/>
            <w:shd w:fill="EAF1F8"/>
          </w:tcPr>
          <w:p>
            <w:pPr>
              <w:spacing w:after="0"/>
            </w:pPr>
            <w:r/>
            <w:r>
              <w:rPr>
                <w:b w:val="0"/>
                <w:sz w:val="14"/>
              </w:rPr>
              <w:t>Product scope</w:t>
            </w:r>
          </w:p>
        </w:tc>
        <w:tc>
          <w:tcPr>
            <w:tcW w:type="dxa" w:w="3408"/>
            <w:vAlign w:val="center"/>
          </w:tcPr>
          <w:p>
            <w:pPr>
              <w:spacing w:after="0"/>
            </w:pPr>
            <w:r/>
            <w:r>
              <w:rPr>
                <w:b w:val="0"/>
                <w:sz w:val="14"/>
              </w:rPr>
              <w:t>Customs data → threshold → supplier outreach → validation → CPR → calculation → return → evidence.</w:t>
            </w:r>
          </w:p>
        </w:tc>
        <w:tc>
          <w:tcPr>
            <w:tcW w:type="dxa" w:w="3408"/>
            <w:vAlign w:val="center"/>
          </w:tcPr>
          <w:p>
            <w:pPr>
              <w:spacing w:after="0"/>
            </w:pPr>
            <w:r/>
            <w:r>
              <w:rPr>
                <w:b w:val="0"/>
                <w:sz w:val="14"/>
              </w:rPr>
              <w:t>Retain the lifecycle and make each stage a separately auditable module.</w:t>
            </w:r>
          </w:p>
        </w:tc>
      </w:tr>
      <w:tr>
        <w:tc>
          <w:tcPr>
            <w:tcW w:type="dxa" w:w="3408"/>
            <w:vAlign w:val="center"/>
            <w:shd w:fill="EAF1F8"/>
          </w:tcPr>
          <w:p>
            <w:pPr>
              <w:spacing w:after="0"/>
            </w:pPr>
            <w:r/>
            <w:r>
              <w:rPr>
                <w:b w:val="0"/>
                <w:sz w:val="14"/>
              </w:rPr>
              <w:t>Registration</w:t>
            </w:r>
          </w:p>
        </w:tc>
        <w:tc>
          <w:tcPr>
            <w:tcW w:type="dxa" w:w="3408"/>
            <w:vAlign w:val="center"/>
          </w:tcPr>
          <w:p>
            <w:pPr>
              <w:spacing w:after="0"/>
            </w:pPr>
            <w:r/>
            <w:r>
              <w:rPr>
                <w:b w:val="0"/>
                <w:sz w:val="14"/>
              </w:rPr>
              <w:t>Q4 2026 portal assumption. (p. 4)</w:t>
            </w:r>
          </w:p>
        </w:tc>
        <w:tc>
          <w:tcPr>
            <w:tcW w:type="dxa" w:w="3408"/>
            <w:vAlign w:val="center"/>
          </w:tcPr>
          <w:p>
            <w:pPr>
              <w:spacing w:after="0"/>
            </w:pPr>
            <w:r/>
            <w:r>
              <w:rPr>
                <w:b w:val="0"/>
                <w:sz w:val="14"/>
              </w:rPr>
              <w:t>Replace with current HMRC position: registration service opens 1 Jan 2028; pre-registration record-keeping begins 1 Jan 2027.</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£50k; rolling 12-month + forward 30-day. (pp. 1–2)</w:t>
            </w:r>
          </w:p>
        </w:tc>
        <w:tc>
          <w:tcPr>
            <w:tcW w:type="dxa" w:w="3408"/>
            <w:vAlign w:val="center"/>
          </w:tcPr>
          <w:p>
            <w:pPr>
              <w:spacing w:after="0"/>
            </w:pPr>
            <w:r/>
            <w:r>
              <w:rPr>
                <w:b w:val="0"/>
                <w:sz w:val="14"/>
              </w:rPr>
              <w:t>Implement legal cadence precisely: forward test can run daily; backward test runs on the first day of each month. Daily recalculation may run operationally as a superset.</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Presented near scope/registration workflow.</w:t>
            </w:r>
          </w:p>
        </w:tc>
        <w:tc>
          <w:tcPr>
            <w:tcW w:type="dxa" w:w="3408"/>
            <w:vAlign w:val="center"/>
          </w:tcPr>
          <w:p>
            <w:pPr>
              <w:spacing w:after="0"/>
            </w:pPr>
            <w:r/>
            <w:r>
              <w:rPr>
                <w:b w:val="0"/>
                <w:sz w:val="14"/>
              </w:rPr>
              <w:t>Model tax-point lifecycle; do not use a permanent generic exemption flag.</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Handbook uses CO2 language and Scope 1.</w:t>
            </w:r>
          </w:p>
        </w:tc>
        <w:tc>
          <w:tcPr>
            <w:tcW w:type="dxa" w:w="3408"/>
            <w:vAlign w:val="center"/>
          </w:tcPr>
          <w:p>
            <w:pPr>
              <w:spacing w:after="0"/>
            </w:pPr>
            <w:r/>
            <w:r>
              <w:rPr>
                <w:b w:val="0"/>
                <w:sz w:val="14"/>
              </w:rPr>
              <w:t>Store CO2e; keep emission scope separate from source/provenance. Precursor emissions are upstream direct emissions, not a third scope category.</w:t>
            </w:r>
          </w:p>
        </w:tc>
      </w:tr>
      <w:tr>
        <w:tc>
          <w:tcPr>
            <w:tcW w:type="dxa" w:w="3408"/>
            <w:vAlign w:val="center"/>
            <w:shd w:fill="EAF1F8"/>
          </w:tcPr>
          <w:p>
            <w:pPr>
              <w:spacing w:after="0"/>
            </w:pPr>
            <w:r/>
            <w:r>
              <w:rPr>
                <w:b w:val="0"/>
                <w:sz w:val="14"/>
              </w:rPr>
              <w:t>Defaults</w:t>
            </w:r>
          </w:p>
        </w:tc>
        <w:tc>
          <w:tcPr>
            <w:tcW w:type="dxa" w:w="3408"/>
            <w:vAlign w:val="center"/>
          </w:tcPr>
          <w:p>
            <w:pPr>
              <w:spacing w:after="0"/>
            </w:pPr>
            <w:r/>
            <w:r>
              <w:rPr>
                <w:b w:val="0"/>
                <w:sz w:val="14"/>
              </w:rPr>
              <w:t>Default values used where supplier data is missing.</w:t>
            </w:r>
          </w:p>
        </w:tc>
        <w:tc>
          <w:tcPr>
            <w:tcW w:type="dxa" w:w="3408"/>
            <w:vAlign w:val="center"/>
          </w:tcPr>
          <w:p>
            <w:pPr>
              <w:spacing w:after="0"/>
            </w:pPr>
            <w:r/>
            <w:r>
              <w:rPr>
                <w:b w:val="0"/>
                <w:sz w:val="14"/>
              </w:rPr>
              <w:t>Implement legal default-selection rules, including cases where defaults are mandatory and the restriction on mixing actual/default data across final goods and precursors.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Evidence + independent verification.</w:t>
            </w:r>
          </w:p>
        </w:tc>
        <w:tc>
          <w:tcPr>
            <w:tcW w:type="dxa" w:w="3408"/>
            <w:vAlign w:val="center"/>
          </w:tcPr>
          <w:p>
            <w:pPr>
              <w:spacing w:after="0"/>
            </w:pPr>
            <w:r/>
            <w:r>
              <w:rPr>
                <w:b w:val="0"/>
                <w:sz w:val="14"/>
              </w:rPr>
              <w:t>Add scheme-by-scheme CPR calculation, previous-quarter FX, two-year verification-form rule, free-allocation/threshold/compensation treatment and cap at liability.</w:t>
            </w:r>
          </w:p>
        </w:tc>
      </w:tr>
      <w:tr>
        <w:tc>
          <w:tcPr>
            <w:tcW w:type="dxa" w:w="3408"/>
            <w:vAlign w:val="center"/>
            <w:shd w:fill="EAF1F8"/>
          </w:tcPr>
          <w:p>
            <w:pPr>
              <w:spacing w:after="0"/>
            </w:pPr>
            <w:r/>
            <w:r>
              <w:rPr>
                <w:b w:val="0"/>
                <w:sz w:val="14"/>
              </w:rPr>
              <w:t>Governance</w:t>
            </w:r>
          </w:p>
        </w:tc>
        <w:tc>
          <w:tcPr>
            <w:tcW w:type="dxa" w:w="3408"/>
            <w:vAlign w:val="center"/>
          </w:tcPr>
          <w:p>
            <w:pPr>
              <w:spacing w:after="0"/>
            </w:pPr>
            <w:r/>
            <w:r>
              <w:rPr>
                <w:b w:val="0"/>
                <w:sz w:val="14"/>
              </w:rPr>
              <w:t>Human approval / SAO wording.</w:t>
            </w:r>
          </w:p>
        </w:tc>
        <w:tc>
          <w:tcPr>
            <w:tcW w:type="dxa" w:w="3408"/>
            <w:vAlign w:val="center"/>
          </w:tcPr>
          <w:p>
            <w:pPr>
              <w:spacing w:after="0"/>
            </w:pPr>
            <w:r/>
            <w:r>
              <w:rPr>
                <w:b w:val="0"/>
                <w:sz w:val="14"/>
              </w:rPr>
              <w:t>Keep the handbook approver workflow, but make the statutory approver role configurable until tax advisers confirm the CBAM-specific governance interpretation.</w:t>
            </w:r>
          </w:p>
        </w:tc>
      </w:tr>
      <w:tr>
        <w:tc>
          <w:tcPr>
            <w:tcW w:type="dxa" w:w="3408"/>
            <w:vAlign w:val="center"/>
            <w:shd w:fill="EAF1F8"/>
          </w:tcPr>
          <w:p>
            <w:pPr>
              <w:spacing w:after="0"/>
            </w:pPr>
            <w:r/>
            <w:r>
              <w:rPr>
                <w:b w:val="0"/>
                <w:sz w:val="14"/>
              </w:rPr>
              <w:t>Planning</w:t>
            </w:r>
          </w:p>
        </w:tc>
        <w:tc>
          <w:tcPr>
            <w:tcW w:type="dxa" w:w="3408"/>
            <w:vAlign w:val="center"/>
          </w:tcPr>
          <w:p>
            <w:pPr>
              <w:spacing w:after="0"/>
            </w:pPr>
            <w:r/>
            <w:r>
              <w:rPr>
                <w:b w:val="0"/>
                <w:sz w:val="14"/>
              </w:rPr>
              <w:t>R1/R2/R3 and weekly R1 gates.</w:t>
            </w:r>
          </w:p>
        </w:tc>
        <w:tc>
          <w:tcPr>
            <w:tcW w:type="dxa" w:w="3408"/>
            <w:vAlign w:val="center"/>
          </w:tcPr>
          <w:p>
            <w:pPr>
              <w:spacing w:after="0"/>
            </w:pPr>
            <w:r/>
            <w:r>
              <w:rPr>
                <w:b w:val="0"/>
                <w:sz w:val="14"/>
              </w:rPr>
              <w:t>Preserve gates and explicitly tag every capability R1/R2/R3; do not pull calculation/filing work forward into R1.</w:t>
            </w:r>
          </w:p>
        </w:tc>
      </w:tr>
    </w:tbl>
    <w:p>
      <w:pPr>
        <w:spacing w:after="40"/>
      </w:pPr>
    </w:p>
    <w:p>
      <w:pPr>
        <w:pStyle w:val="Heading1"/>
        <w:keepNext/>
      </w:pPr>
      <w:r>
        <w:t>3. Current regulatory baseline (30 Sep 2026)</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Rule / date</w:t>
            </w:r>
          </w:p>
        </w:tc>
        <w:tc>
          <w:tcPr>
            <w:tcW w:type="dxa" w:w="3408"/>
            <w:vAlign w:val="center"/>
            <w:shd w:fill="17365D"/>
          </w:tcPr>
          <w:p>
            <w:pPr>
              <w:spacing w:after="0"/>
            </w:pPr>
            <w:r/>
            <w:r>
              <w:rPr>
                <w:b/>
                <w:color w:val="FFFFFF"/>
                <w:sz w:val="14"/>
              </w:rPr>
              <w:t>Current position used for product design</w:t>
            </w:r>
          </w:p>
        </w:tc>
        <w:tc>
          <w:tcPr>
            <w:tcW w:type="dxa" w:w="3408"/>
            <w:vAlign w:val="center"/>
            <w:shd w:fill="17365D"/>
          </w:tcPr>
          <w:p>
            <w:pPr>
              <w:spacing w:after="0"/>
            </w:pPr>
            <w:r/>
            <w:r>
              <w:rPr>
                <w:b/>
                <w:color w:val="FFFFFF"/>
                <w:sz w:val="14"/>
              </w:rPr>
              <w:t>Product implication</w:t>
            </w:r>
          </w:p>
        </w:tc>
      </w:tr>
      <w:tr>
        <w:tc>
          <w:tcPr>
            <w:tcW w:type="dxa" w:w="3408"/>
            <w:vAlign w:val="center"/>
            <w:shd w:fill="EAF1F8"/>
          </w:tcPr>
          <w:p>
            <w:pPr>
              <w:spacing w:after="0"/>
            </w:pPr>
            <w:r/>
            <w:r>
              <w:rPr>
                <w:b w:val="0"/>
                <w:sz w:val="14"/>
              </w:rPr>
              <w:t>CBAM start</w:t>
            </w:r>
          </w:p>
        </w:tc>
        <w:tc>
          <w:tcPr>
            <w:tcW w:type="dxa" w:w="3408"/>
            <w:vAlign w:val="center"/>
          </w:tcPr>
          <w:p>
            <w:pPr>
              <w:spacing w:after="0"/>
            </w:pPr>
            <w:r/>
            <w:r>
              <w:rPr>
                <w:b w:val="0"/>
                <w:sz w:val="14"/>
              </w:rPr>
              <w:t>1 January 2027</w:t>
            </w:r>
          </w:p>
        </w:tc>
        <w:tc>
          <w:tcPr>
            <w:tcW w:type="dxa" w:w="3408"/>
            <w:vAlign w:val="center"/>
          </w:tcPr>
          <w:p>
            <w:pPr>
              <w:spacing w:after="0"/>
            </w:pPr>
            <w:r/>
            <w:r>
              <w:rPr>
                <w:b w:val="0"/>
                <w:sz w:val="14"/>
              </w:rPr>
              <w:t>System must be operational before this date.</w:t>
            </w:r>
          </w:p>
        </w:tc>
      </w:tr>
      <w:tr>
        <w:tc>
          <w:tcPr>
            <w:tcW w:type="dxa" w:w="3408"/>
            <w:vAlign w:val="center"/>
            <w:shd w:fill="EAF1F8"/>
          </w:tcPr>
          <w:p>
            <w:pPr>
              <w:spacing w:after="0"/>
            </w:pPr>
            <w:r/>
            <w:r>
              <w:rPr>
                <w:b w:val="0"/>
                <w:sz w:val="14"/>
              </w:rPr>
              <w:t>Initial sectors</w:t>
            </w:r>
          </w:p>
        </w:tc>
        <w:tc>
          <w:tcPr>
            <w:tcW w:type="dxa" w:w="3408"/>
            <w:vAlign w:val="center"/>
          </w:tcPr>
          <w:p>
            <w:pPr>
              <w:spacing w:after="0"/>
            </w:pPr>
            <w:r/>
            <w:r>
              <w:rPr>
                <w:b w:val="0"/>
                <w:sz w:val="14"/>
              </w:rPr>
              <w:t>Aluminium, cement, fertiliser, hydrogen, iron &amp; steel</w:t>
            </w:r>
          </w:p>
        </w:tc>
        <w:tc>
          <w:tcPr>
            <w:tcW w:type="dxa" w:w="3408"/>
            <w:vAlign w:val="center"/>
          </w:tcPr>
          <w:p>
            <w:pPr>
              <w:spacing w:after="0"/>
            </w:pPr>
            <w:r/>
            <w:r>
              <w:rPr>
                <w:b w:val="0"/>
                <w:sz w:val="14"/>
              </w:rPr>
              <w:t>Scope engine is commodity-code driven; sector is derived/reference data.</w:t>
            </w:r>
          </w:p>
        </w:tc>
      </w:tr>
      <w:tr>
        <w:tc>
          <w:tcPr>
            <w:tcW w:type="dxa" w:w="3408"/>
            <w:vAlign w:val="center"/>
            <w:shd w:fill="EAF1F8"/>
          </w:tcPr>
          <w:p>
            <w:pPr>
              <w:spacing w:after="0"/>
            </w:pPr>
            <w:r/>
            <w:r>
              <w:rPr>
                <w:b w:val="0"/>
                <w:sz w:val="14"/>
              </w:rPr>
              <w:t>Registration threshold</w:t>
            </w:r>
          </w:p>
        </w:tc>
        <w:tc>
          <w:tcPr>
            <w:tcW w:type="dxa" w:w="3408"/>
            <w:vAlign w:val="center"/>
          </w:tcPr>
          <w:p>
            <w:pPr>
              <w:spacing w:after="0"/>
            </w:pPr>
            <w:r/>
            <w:r>
              <w:rPr>
                <w:b w:val="0"/>
                <w:sz w:val="14"/>
              </w:rPr>
              <w:t>£50,000</w:t>
            </w:r>
          </w:p>
        </w:tc>
        <w:tc>
          <w:tcPr>
            <w:tcW w:type="dxa" w:w="3408"/>
            <w:vAlign w:val="center"/>
          </w:tcPr>
          <w:p>
            <w:pPr>
              <w:spacing w:after="0"/>
            </w:pPr>
            <w:r/>
            <w:r>
              <w:rPr>
                <w:b w:val="0"/>
                <w:sz w:val="14"/>
              </w:rPr>
              <w:t>Maintain legal threshold events and the earliest trigger date.</w:t>
            </w:r>
          </w:p>
        </w:tc>
      </w:tr>
      <w:tr>
        <w:tc>
          <w:tcPr>
            <w:tcW w:type="dxa" w:w="3408"/>
            <w:vAlign w:val="center"/>
            <w:shd w:fill="EAF1F8"/>
          </w:tcPr>
          <w:p>
            <w:pPr>
              <w:spacing w:after="0"/>
            </w:pPr>
            <w:r/>
            <w:r>
              <w:rPr>
                <w:b w:val="0"/>
                <w:sz w:val="14"/>
              </w:rPr>
              <w:t>Forward test</w:t>
            </w:r>
          </w:p>
        </w:tc>
        <w:tc>
          <w:tcPr>
            <w:tcW w:type="dxa" w:w="3408"/>
            <w:vAlign w:val="center"/>
          </w:tcPr>
          <w:p>
            <w:pPr>
              <w:spacing w:after="0"/>
            </w:pPr>
            <w:r/>
            <w:r>
              <w:rPr>
                <w:b w:val="0"/>
                <w:sz w:val="14"/>
              </w:rPr>
              <w:t>Expected £50,000 or more in the next 30 days; can be relevant on any day</w:t>
            </w:r>
          </w:p>
        </w:tc>
        <w:tc>
          <w:tcPr>
            <w:tcW w:type="dxa" w:w="3408"/>
            <w:vAlign w:val="center"/>
          </w:tcPr>
          <w:p>
            <w:pPr>
              <w:spacing w:after="0"/>
            </w:pPr>
            <w:r/>
            <w:r>
              <w:rPr>
                <w:b w:val="0"/>
                <w:sz w:val="14"/>
              </w:rPr>
              <w:t>Daily projection/monitoring workflow.</w:t>
            </w:r>
          </w:p>
        </w:tc>
      </w:tr>
      <w:tr>
        <w:tc>
          <w:tcPr>
            <w:tcW w:type="dxa" w:w="3408"/>
            <w:vAlign w:val="center"/>
            <w:shd w:fill="EAF1F8"/>
          </w:tcPr>
          <w:p>
            <w:pPr>
              <w:spacing w:after="0"/>
            </w:pPr>
            <w:r/>
            <w:r>
              <w:rPr>
                <w:b w:val="0"/>
                <w:sz w:val="14"/>
              </w:rPr>
              <w:t>Backward test</w:t>
            </w:r>
          </w:p>
        </w:tc>
        <w:tc>
          <w:tcPr>
            <w:tcW w:type="dxa" w:w="3408"/>
            <w:vAlign w:val="center"/>
          </w:tcPr>
          <w:p>
            <w:pPr>
              <w:spacing w:after="0"/>
            </w:pPr>
            <w:r/>
            <w:r>
              <w:rPr>
                <w:b w:val="0"/>
                <w:sz w:val="14"/>
              </w:rPr>
              <w:t>£50,000 or more in prior 12 months; checked on the first day of each month</w:t>
            </w:r>
          </w:p>
        </w:tc>
        <w:tc>
          <w:tcPr>
            <w:tcW w:type="dxa" w:w="3408"/>
            <w:vAlign w:val="center"/>
          </w:tcPr>
          <w:p>
            <w:pPr>
              <w:spacing w:after="0"/>
            </w:pPr>
            <w:r/>
            <w:r>
              <w:rPr>
                <w:b w:val="0"/>
                <w:sz w:val="14"/>
              </w:rPr>
              <w:t>Monthly scheduled legal test; retain the test snapshot.</w:t>
            </w:r>
          </w:p>
        </w:tc>
      </w:tr>
      <w:tr>
        <w:tc>
          <w:tcPr>
            <w:tcW w:type="dxa" w:w="3408"/>
            <w:vAlign w:val="center"/>
            <w:shd w:fill="EAF1F8"/>
          </w:tcPr>
          <w:p>
            <w:pPr>
              <w:spacing w:after="0"/>
            </w:pPr>
            <w:r/>
            <w:r>
              <w:rPr>
                <w:b w:val="0"/>
                <w:sz w:val="14"/>
              </w:rPr>
              <w:t>First accounting period</w:t>
            </w:r>
          </w:p>
        </w:tc>
        <w:tc>
          <w:tcPr>
            <w:tcW w:type="dxa" w:w="3408"/>
            <w:vAlign w:val="center"/>
          </w:tcPr>
          <w:p>
            <w:pPr>
              <w:spacing w:after="0"/>
            </w:pPr>
            <w:r/>
            <w:r>
              <w:rPr>
                <w:b w:val="0"/>
                <w:sz w:val="14"/>
              </w:rPr>
              <w:t>Calendar year 2027</w:t>
            </w:r>
          </w:p>
        </w:tc>
        <w:tc>
          <w:tcPr>
            <w:tcW w:type="dxa" w:w="3408"/>
            <w:vAlign w:val="center"/>
          </w:tcPr>
          <w:p>
            <w:pPr>
              <w:spacing w:after="0"/>
            </w:pPr>
            <w:r/>
            <w:r>
              <w:rPr>
                <w:b w:val="0"/>
                <w:sz w:val="14"/>
              </w:rPr>
              <w:t>Quartering/reporting logic must distinguish first year from later quarters.</w:t>
            </w:r>
          </w:p>
        </w:tc>
      </w:tr>
      <w:tr>
        <w:tc>
          <w:tcPr>
            <w:tcW w:type="dxa" w:w="3408"/>
            <w:vAlign w:val="center"/>
            <w:shd w:fill="EAF1F8"/>
          </w:tcPr>
          <w:p>
            <w:pPr>
              <w:spacing w:after="0"/>
            </w:pPr>
            <w:r/>
            <w:r>
              <w:rPr>
                <w:b w:val="0"/>
                <w:sz w:val="14"/>
              </w:rPr>
              <w:t>First return/payment</w:t>
            </w:r>
          </w:p>
        </w:tc>
        <w:tc>
          <w:tcPr>
            <w:tcW w:type="dxa" w:w="3408"/>
            <w:vAlign w:val="center"/>
          </w:tcPr>
          <w:p>
            <w:pPr>
              <w:spacing w:after="0"/>
            </w:pPr>
            <w:r/>
            <w:r>
              <w:rPr>
                <w:b w:val="0"/>
                <w:sz w:val="14"/>
              </w:rPr>
              <w:t>31 May 2028</w:t>
            </w:r>
          </w:p>
        </w:tc>
        <w:tc>
          <w:tcPr>
            <w:tcW w:type="dxa" w:w="3408"/>
            <w:vAlign w:val="center"/>
          </w:tcPr>
          <w:p>
            <w:pPr>
              <w:spacing w:after="0"/>
            </w:pPr>
            <w:r/>
            <w:r>
              <w:rPr>
                <w:b w:val="0"/>
                <w:sz w:val="14"/>
              </w:rPr>
              <w:t>Deadline engine and reminders.</w:t>
            </w:r>
          </w:p>
        </w:tc>
      </w:tr>
      <w:tr>
        <w:tc>
          <w:tcPr>
            <w:tcW w:type="dxa" w:w="3408"/>
            <w:vAlign w:val="center"/>
            <w:shd w:fill="EAF1F8"/>
          </w:tcPr>
          <w:p>
            <w:pPr>
              <w:spacing w:after="0"/>
            </w:pPr>
            <w:r/>
            <w:r>
              <w:rPr>
                <w:b w:val="0"/>
                <w:sz w:val="14"/>
              </w:rPr>
              <w:t>Registration service</w:t>
            </w:r>
          </w:p>
        </w:tc>
        <w:tc>
          <w:tcPr>
            <w:tcW w:type="dxa" w:w="3408"/>
            <w:vAlign w:val="center"/>
          </w:tcPr>
          <w:p>
            <w:pPr>
              <w:spacing w:after="0"/>
            </w:pPr>
            <w:r/>
            <w:r>
              <w:rPr>
                <w:b w:val="0"/>
                <w:sz w:val="14"/>
              </w:rPr>
              <w:t>HMRC says service opens 1 Jan 2028</w:t>
            </w:r>
          </w:p>
        </w:tc>
        <w:tc>
          <w:tcPr>
            <w:tcW w:type="dxa" w:w="3408"/>
            <w:vAlign w:val="center"/>
          </w:tcPr>
          <w:p>
            <w:pPr>
              <w:spacing w:after="0"/>
            </w:pPr>
            <w:r/>
            <w:r>
              <w:rPr>
                <w:b w:val="0"/>
                <w:sz w:val="14"/>
              </w:rPr>
              <w:t>Pre-registration compliance mode is mandatory product scope.</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Initial UK scope is direct emissions, including relevant precursor emissions; indirect emissions delayed until 2029 at earliest</w:t>
            </w:r>
          </w:p>
        </w:tc>
        <w:tc>
          <w:tcPr>
            <w:tcW w:type="dxa" w:w="3408"/>
            <w:vAlign w:val="center"/>
          </w:tcPr>
          <w:p>
            <w:pPr>
              <w:spacing w:after="0"/>
            </w:pPr>
            <w:r/>
            <w:r>
              <w:rPr>
                <w:b w:val="0"/>
                <w:sz w:val="14"/>
              </w:rPr>
              <w:t>Data model must support direct now and future indirect without misclassifying precursors.</w:t>
            </w:r>
          </w:p>
        </w:tc>
      </w:tr>
      <w:tr>
        <w:tc>
          <w:tcPr>
            <w:tcW w:type="dxa" w:w="3408"/>
            <w:vAlign w:val="center"/>
            <w:shd w:fill="EAF1F8"/>
          </w:tcPr>
          <w:p>
            <w:pPr>
              <w:spacing w:after="0"/>
            </w:pPr>
            <w:r/>
            <w:r>
              <w:rPr>
                <w:b w:val="0"/>
                <w:sz w:val="14"/>
              </w:rPr>
              <w:t>Actual/default data</w:t>
            </w:r>
          </w:p>
        </w:tc>
        <w:tc>
          <w:tcPr>
            <w:tcW w:type="dxa" w:w="3408"/>
            <w:vAlign w:val="center"/>
          </w:tcPr>
          <w:p>
            <w:pPr>
              <w:spacing w:after="0"/>
            </w:pPr>
            <w:r/>
            <w:r>
              <w:rPr>
                <w:b w:val="0"/>
                <w:sz w:val="14"/>
              </w:rPr>
              <w:t>Actual data requires verification evidence; defaults apply where actual data is unavailable or cannot be evidenced as verified</w:t>
            </w:r>
          </w:p>
        </w:tc>
        <w:tc>
          <w:tcPr>
            <w:tcW w:type="dxa" w:w="3408"/>
            <w:vAlign w:val="center"/>
          </w:tcPr>
          <w:p>
            <w:pPr>
              <w:spacing w:after="0"/>
            </w:pPr>
            <w:r/>
            <w:r>
              <w:rPr>
                <w:b w:val="0"/>
                <w:sz w:val="14"/>
              </w:rPr>
              <w:t>Selection logic must be deterministic and audit-able.</w:t>
            </w:r>
          </w:p>
        </w:tc>
      </w:tr>
      <w:tr>
        <w:tc>
          <w:tcPr>
            <w:tcW w:type="dxa" w:w="3408"/>
            <w:vAlign w:val="center"/>
            <w:shd w:fill="EAF1F8"/>
          </w:tcPr>
          <w:p>
            <w:pPr>
              <w:spacing w:after="0"/>
            </w:pPr>
            <w:r/>
            <w:r>
              <w:rPr>
                <w:b w:val="0"/>
                <w:sz w:val="14"/>
              </w:rPr>
              <w:t>Records</w:t>
            </w:r>
          </w:p>
        </w:tc>
        <w:tc>
          <w:tcPr>
            <w:tcW w:type="dxa" w:w="3408"/>
            <w:vAlign w:val="center"/>
          </w:tcPr>
          <w:p>
            <w:pPr>
              <w:spacing w:after="0"/>
            </w:pPr>
            <w:r/>
            <w:r>
              <w:rPr>
                <w:b w:val="0"/>
                <w:sz w:val="14"/>
              </w:rPr>
              <w:t>Six-year retention; net mass in kg; up to six decimal places for relevant weight records</w:t>
            </w:r>
          </w:p>
        </w:tc>
        <w:tc>
          <w:tcPr>
            <w:tcW w:type="dxa" w:w="3408"/>
            <w:vAlign w:val="center"/>
          </w:tcPr>
          <w:p>
            <w:pPr>
              <w:spacing w:after="0"/>
            </w:pPr>
            <w:r/>
            <w:r>
              <w:rPr>
                <w:b w:val="0"/>
                <w:sz w:val="14"/>
              </w:rPr>
              <w:t>Evidence archive and immutable audit history.</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Calculated separately for each qualifying carbon-price scheme and cannot exceed CBAM liability</w:t>
            </w:r>
          </w:p>
        </w:tc>
        <w:tc>
          <w:tcPr>
            <w:tcW w:type="dxa" w:w="3408"/>
            <w:vAlign w:val="center"/>
          </w:tcPr>
          <w:p>
            <w:pPr>
              <w:spacing w:after="0"/>
            </w:pPr>
            <w:r/>
            <w:r>
              <w:rPr>
                <w:b w:val="0"/>
                <w:sz w:val="14"/>
              </w:rPr>
              <w:t>Dedicated CPR engine and scheme evidence model.</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Nil returns can still be required; amendments are controlled and time-limited</w:t>
            </w:r>
          </w:p>
        </w:tc>
        <w:tc>
          <w:tcPr>
            <w:tcW w:type="dxa" w:w="3408"/>
            <w:vAlign w:val="center"/>
          </w:tcPr>
          <w:p>
            <w:pPr>
              <w:spacing w:after="0"/>
            </w:pPr>
            <w:r/>
            <w:r>
              <w:rPr>
                <w:b w:val="0"/>
                <w:sz w:val="14"/>
              </w:rPr>
              <w:t>Return lifecycle must support NIL, AMENDMENT and historical versions.</w:t>
            </w:r>
          </w:p>
        </w:tc>
      </w:tr>
      <w:tr>
        <w:tc>
          <w:tcPr>
            <w:tcW w:type="dxa" w:w="3408"/>
            <w:vAlign w:val="center"/>
            <w:shd w:fill="EAF1F8"/>
          </w:tcPr>
          <w:p>
            <w:pPr>
              <w:spacing w:after="0"/>
            </w:pPr>
            <w:r/>
            <w:r>
              <w:rPr>
                <w:b w:val="0"/>
                <w:sz w:val="14"/>
              </w:rPr>
              <w:t>Penalties / assessments</w:t>
            </w:r>
          </w:p>
        </w:tc>
        <w:tc>
          <w:tcPr>
            <w:tcW w:type="dxa" w:w="3408"/>
            <w:vAlign w:val="center"/>
          </w:tcPr>
          <w:p>
            <w:pPr>
              <w:spacing w:after="0"/>
            </w:pPr>
            <w:r/>
            <w:r>
              <w:rPr>
                <w:b w:val="0"/>
                <w:sz w:val="14"/>
              </w:rPr>
              <w:t>HMRC has penalty and assessment powers</w:t>
            </w:r>
          </w:p>
        </w:tc>
        <w:tc>
          <w:tcPr>
            <w:tcW w:type="dxa" w:w="3408"/>
            <w:vAlign w:val="center"/>
          </w:tcPr>
          <w:p>
            <w:pPr>
              <w:spacing w:after="0"/>
            </w:pPr>
            <w:r/>
            <w:r>
              <w:rPr>
                <w:b w:val="0"/>
                <w:sz w:val="14"/>
              </w:rPr>
              <w:t>Compliance exception, penalty and interest tracking required.</w:t>
            </w:r>
          </w:p>
        </w:tc>
      </w:tr>
    </w:tbl>
    <w:p>
      <w:pPr>
        <w:spacing w:after="40"/>
      </w:pPr>
    </w:p>
    <w:p>
      <w:pPr>
        <w:spacing w:after="100" w:line="252" w:lineRule="auto"/>
      </w:pPr>
      <w:r>
        <w:t>Regulatory research basis: HMRC/GOV.UK policy summary and published guidance, Finance Act 2026, and the Carbon Border Adjustment Mechanism (Emissions and Verification) Regulations 2026. The Emissions &amp; Verification Regulations were made on 8 September 2026 and laid on 9 September 2026; the handbook's statement that they were still a draft should therefore be removed from the active requirements baseline.</w:t>
      </w:r>
    </w:p>
    <w:p>
      <w:pPr>
        <w:pStyle w:val="Heading1"/>
        <w:keepNext/>
      </w:pPr>
      <w:r>
        <w:t>4. Product and architecture principles</w:t>
      </w:r>
    </w:p>
    <w:p>
      <w:pPr>
        <w:pStyle w:val="ListBullet"/>
        <w:spacing w:after="40"/>
      </w:pPr>
      <w:r>
        <w:t>Compliance first: every user-facing result must be reproducible from source evidence, regulatory reference data and a deterministic calculation trail.</w:t>
      </w:r>
    </w:p>
    <w:p>
      <w:pPr>
        <w:pStyle w:val="ListBullet"/>
        <w:spacing w:after="40"/>
      </w:pPr>
      <w:r>
        <w:t>Law is data, not code: all regulatory reference tables are versioned and effective-dated.</w:t>
      </w:r>
    </w:p>
    <w:p>
      <w:pPr>
        <w:pStyle w:val="ListBullet"/>
        <w:spacing w:after="40"/>
      </w:pPr>
      <w:r>
        <w:t>Tax point first: the system determines when the legal CBAM tax point occurs before deciding reporting period or threshold contribution.</w:t>
      </w:r>
    </w:p>
    <w:p>
      <w:pPr>
        <w:pStyle w:val="ListBullet"/>
        <w:spacing w:after="40"/>
      </w:pPr>
      <w:r>
        <w:t>Source → normalised → derived: do not overwrite source facts with calculated values.</w:t>
      </w:r>
    </w:p>
    <w:p>
      <w:pPr>
        <w:pStyle w:val="ListBullet"/>
        <w:spacing w:after="40"/>
      </w:pPr>
      <w:r>
        <w:t>Human review is explicit: extraction and rules can flag; authorised users approve or reject. No silent auto-file.</w:t>
      </w:r>
    </w:p>
    <w:p>
      <w:pPr>
        <w:pStyle w:val="ListBullet"/>
        <w:spacing w:after="40"/>
      </w:pPr>
      <w:r>
        <w:t>Multi-client by design: all business records are tenant-scoped; supplier data can be shared only where explicitly authorised.</w:t>
      </w:r>
    </w:p>
    <w:p>
      <w:pPr>
        <w:pStyle w:val="ListBullet"/>
        <w:spacing w:after="40"/>
      </w:pPr>
      <w:r>
        <w:t>British English in user-facing UI, dates such as 14 March 2027, and GBP formatting consistent with the handbook.</w:t>
      </w:r>
    </w:p>
    <w:p>
      <w:pPr>
        <w:pStyle w:val="ListBullet"/>
        <w:spacing w:after="40"/>
      </w:pPr>
      <w:r>
        <w:t>Configuration over constants: thresholds, rates, defaults, validation tolerances, reminder schedules and qualifying schemes live in reference/configuration data.</w:t>
      </w:r>
    </w:p>
    <w:p>
      <w:pPr>
        <w:pStyle w:val="ListBullet"/>
        <w:spacing w:after="40"/>
      </w:pPr>
      <w:r>
        <w:t>Keep R1 narrow: the first release proves the data machine; R2 proves evidence/validation; R3 proves calculation and filing.</w:t>
      </w:r>
    </w:p>
    <w:p>
      <w:pPr>
        <w:pStyle w:val="Heading1"/>
        <w:keepNext/>
      </w:pPr>
      <w:r>
        <w:t>5. R1 — Data Machine (target: 1 Dec 2026)</w:t>
      </w:r>
    </w:p>
    <w:p>
      <w:pPr>
        <w:spacing w:after="100" w:line="252" w:lineRule="auto"/>
      </w:pPr>
      <w:r>
        <w:t>R1 is the operational foundation. It should ingest import data, establish scope, monitor thresholds, maintain client/supplier/installations, start outreach, capture documents and provide the operational dashboard. It should not calculate the final CBAM tax or build the final filing engine.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
              <w:rPr>
                <w:b/>
                <w:color w:val="FFFFFF"/>
                <w:sz w:val="14"/>
              </w:rPr>
              <w:t>ID</w:t>
            </w:r>
          </w:p>
        </w:tc>
        <w:tc>
          <w:tcPr>
            <w:tcW w:type="dxa" w:w="2045"/>
            <w:vAlign w:val="center"/>
            <w:shd w:fill="17365D"/>
          </w:tcPr>
          <w:p>
            <w:pPr>
              <w:spacing w:after="0"/>
            </w:pPr>
            <w:r/>
            <w:r>
              <w:rPr>
                <w:b/>
                <w:color w:val="FFFFFF"/>
                <w:sz w:val="14"/>
              </w:rPr>
              <w:t>Requirement</w:t>
            </w:r>
          </w:p>
        </w:tc>
        <w:tc>
          <w:tcPr>
            <w:tcW w:type="dxa" w:w="2045"/>
            <w:vAlign w:val="center"/>
            <w:shd w:fill="17365D"/>
          </w:tcPr>
          <w:p>
            <w:pPr>
              <w:spacing w:after="0"/>
            </w:pPr>
            <w:r/>
            <w:r>
              <w:rPr>
                <w:b/>
                <w:color w:val="FFFFFF"/>
                <w:sz w:val="14"/>
              </w:rPr>
              <w:t>Release / Priority</w:t>
            </w:r>
          </w:p>
        </w:tc>
        <w:tc>
          <w:tcPr>
            <w:tcW w:type="dxa" w:w="2045"/>
            <w:vAlign w:val="center"/>
            <w:shd w:fill="17365D"/>
          </w:tcPr>
          <w:p>
            <w:pPr>
              <w:spacing w:after="0"/>
            </w:pPr>
            <w:r/>
            <w:r>
              <w:rPr>
                <w:b/>
                <w:color w:val="FFFFFF"/>
                <w:sz w:val="14"/>
              </w:rPr>
              <w:t>What the system must do</w:t>
            </w:r>
          </w:p>
        </w:tc>
        <w:tc>
          <w:tcPr>
            <w:tcW w:type="dxa" w:w="2045"/>
            <w:vAlign w:val="center"/>
            <w:shd w:fill="17365D"/>
          </w:tcPr>
          <w:p>
            <w:pPr>
              <w:spacing w:after="0"/>
            </w:pPr>
            <w:r/>
            <w:r>
              <w:rPr>
                <w:b/>
                <w:color w:val="FFFFFF"/>
                <w:sz w:val="14"/>
              </w:rPr>
              <w:t>Acceptance / evidence</w:t>
            </w:r>
          </w:p>
        </w:tc>
      </w:tr>
      <w:tr>
        <w:tc>
          <w:tcPr>
            <w:tcW w:type="dxa" w:w="2045"/>
            <w:vAlign w:val="center"/>
            <w:shd w:fill="EAF1F8"/>
          </w:tcPr>
          <w:p>
            <w:pPr>
              <w:spacing w:after="0"/>
            </w:pPr>
            <w:r/>
            <w:r>
              <w:rPr>
                <w:b w:val="0"/>
                <w:sz w:val="14"/>
              </w:rPr>
              <w:t>R1-001</w:t>
            </w:r>
          </w:p>
        </w:tc>
        <w:tc>
          <w:tcPr>
            <w:tcW w:type="dxa" w:w="2045"/>
            <w:vAlign w:val="center"/>
          </w:tcPr>
          <w:p>
            <w:pPr>
              <w:spacing w:after="0"/>
            </w:pPr>
            <w:r/>
            <w:r>
              <w:rPr>
                <w:b w:val="0"/>
                <w:sz w:val="14"/>
              </w:rPr>
              <w:t>Organisation / tenant setup</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isolated client/organisation records, business contacts, GB/XI EORI, VAT status, UK jurisdiction markers, operating address and user memberships.</w:t>
            </w:r>
          </w:p>
        </w:tc>
        <w:tc>
          <w:tcPr>
            <w:tcW w:type="dxa" w:w="2045"/>
            <w:vAlign w:val="center"/>
          </w:tcPr>
          <w:p>
            <w:pPr>
              <w:spacing w:after="0"/>
            </w:pPr>
            <w:r/>
            <w:r>
              <w:rPr>
                <w:b w:val="0"/>
                <w:sz w:val="14"/>
              </w:rPr>
              <w:t>A test tenant cannot read another tenant's imports, suppliers, documents, tasks or audit events.</w:t>
            </w:r>
          </w:p>
        </w:tc>
      </w:tr>
      <w:tr>
        <w:tc>
          <w:tcPr>
            <w:tcW w:type="dxa" w:w="2045"/>
            <w:vAlign w:val="center"/>
            <w:shd w:fill="EAF1F8"/>
          </w:tcPr>
          <w:p>
            <w:pPr>
              <w:spacing w:after="0"/>
            </w:pPr>
            <w:r/>
            <w:r>
              <w:rPr>
                <w:b w:val="0"/>
                <w:sz w:val="14"/>
              </w:rPr>
              <w:t>R1-002</w:t>
            </w:r>
          </w:p>
        </w:tc>
        <w:tc>
          <w:tcPr>
            <w:tcW w:type="dxa" w:w="2045"/>
            <w:vAlign w:val="center"/>
          </w:tcPr>
          <w:p>
            <w:pPr>
              <w:spacing w:after="0"/>
            </w:pPr>
            <w:r/>
            <w:r>
              <w:rPr>
                <w:b w:val="0"/>
                <w:sz w:val="14"/>
              </w:rPr>
              <w:t>Role and permission model</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Implement platform admin, operations user, client admin, reviewer, approver, supplier user and tax-agent-capable roles as configurable permissions.</w:t>
            </w:r>
          </w:p>
        </w:tc>
        <w:tc>
          <w:tcPr>
            <w:tcW w:type="dxa" w:w="2045"/>
            <w:vAlign w:val="center"/>
          </w:tcPr>
          <w:p>
            <w:pPr>
              <w:spacing w:after="0"/>
            </w:pPr>
            <w:r/>
            <w:r>
              <w:rPr>
                <w:b w:val="0"/>
                <w:sz w:val="14"/>
              </w:rPr>
              <w:t>Permission matrix tests show least-privilege access for every role.</w:t>
            </w:r>
          </w:p>
        </w:tc>
      </w:tr>
      <w:tr>
        <w:tc>
          <w:tcPr>
            <w:tcW w:type="dxa" w:w="2045"/>
            <w:vAlign w:val="center"/>
            <w:shd w:fill="EAF1F8"/>
          </w:tcPr>
          <w:p>
            <w:pPr>
              <w:spacing w:after="0"/>
            </w:pPr>
            <w:r/>
            <w:r>
              <w:rPr>
                <w:b w:val="0"/>
                <w:sz w:val="14"/>
              </w:rPr>
              <w:t>R1-003</w:t>
            </w:r>
          </w:p>
        </w:tc>
        <w:tc>
          <w:tcPr>
            <w:tcW w:type="dxa" w:w="2045"/>
            <w:vAlign w:val="center"/>
          </w:tcPr>
          <w:p>
            <w:pPr>
              <w:spacing w:after="0"/>
            </w:pPr>
            <w:r/>
            <w:r>
              <w:rPr>
                <w:b w:val="0"/>
                <w:sz w:val="14"/>
              </w:rPr>
              <w:t>CDS import pipeline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Import a real/sample CDS export, preserve source rows, validate schema, reject malformed rows with actionable errors and make re-import idempotent.</w:t>
            </w:r>
          </w:p>
        </w:tc>
        <w:tc>
          <w:tcPr>
            <w:tcW w:type="dxa" w:w="2045"/>
            <w:vAlign w:val="center"/>
          </w:tcPr>
          <w:p>
            <w:pPr>
              <w:spacing w:after="0"/>
            </w:pPr>
            <w:r/>
            <w:r>
              <w:rPr>
                <w:b w:val="0"/>
                <w:sz w:val="14"/>
              </w:rPr>
              <w:t>Same source file can be replayed without duplicate business records.</w:t>
            </w:r>
          </w:p>
        </w:tc>
      </w:tr>
      <w:tr>
        <w:tc>
          <w:tcPr>
            <w:tcW w:type="dxa" w:w="2045"/>
            <w:vAlign w:val="center"/>
            <w:shd w:fill="EAF1F8"/>
          </w:tcPr>
          <w:p>
            <w:pPr>
              <w:spacing w:after="0"/>
            </w:pPr>
            <w:r/>
            <w:r>
              <w:rPr>
                <w:b w:val="0"/>
                <w:sz w:val="14"/>
              </w:rPr>
              <w:t>R1-004</w:t>
            </w:r>
          </w:p>
        </w:tc>
        <w:tc>
          <w:tcPr>
            <w:tcW w:type="dxa" w:w="2045"/>
            <w:vAlign w:val="center"/>
          </w:tcPr>
          <w:p>
            <w:pPr>
              <w:spacing w:after="0"/>
            </w:pPr>
            <w:r/>
            <w:r>
              <w:rPr>
                <w:b w:val="0"/>
                <w:sz w:val="14"/>
              </w:rPr>
              <w:t>Manual import entry</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Allow authorised users to create or correct an import when no CDS feed is available, with reason and audit event.</w:t>
            </w:r>
          </w:p>
        </w:tc>
        <w:tc>
          <w:tcPr>
            <w:tcW w:type="dxa" w:w="2045"/>
            <w:vAlign w:val="center"/>
          </w:tcPr>
          <w:p>
            <w:pPr>
              <w:spacing w:after="0"/>
            </w:pPr>
            <w:r/>
            <w:r>
              <w:rPr>
                <w:b w:val="0"/>
                <w:sz w:val="14"/>
              </w:rPr>
              <w:t>Manual entry has the same downstream fields and validations as imported data.</w:t>
            </w:r>
          </w:p>
        </w:tc>
      </w:tr>
      <w:tr>
        <w:tc>
          <w:tcPr>
            <w:tcW w:type="dxa" w:w="2045"/>
            <w:vAlign w:val="center"/>
            <w:shd w:fill="EAF1F8"/>
          </w:tcPr>
          <w:p>
            <w:pPr>
              <w:spacing w:after="0"/>
            </w:pPr>
            <w:r/>
            <w:r>
              <w:rPr>
                <w:b w:val="0"/>
                <w:sz w:val="14"/>
              </w:rPr>
              <w:t>R1-005</w:t>
            </w:r>
          </w:p>
        </w:tc>
        <w:tc>
          <w:tcPr>
            <w:tcW w:type="dxa" w:w="2045"/>
            <w:vAlign w:val="center"/>
          </w:tcPr>
          <w:p>
            <w:pPr>
              <w:spacing w:after="0"/>
            </w:pPr>
            <w:r/>
            <w:r>
              <w:rPr>
                <w:b w:val="0"/>
                <w:sz w:val="14"/>
              </w:rPr>
              <w:t>Import line ledger</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Store declaration, line, tax point, commodity code, description, quantity/weight, customs value, origin, importer/declarant relationships and source reference.</w:t>
            </w:r>
          </w:p>
        </w:tc>
        <w:tc>
          <w:tcPr>
            <w:tcW w:type="dxa" w:w="2045"/>
            <w:vAlign w:val="center"/>
          </w:tcPr>
          <w:p>
            <w:pPr>
              <w:spacing w:after="0"/>
            </w:pPr>
            <w:r/>
            <w:r>
              <w:rPr>
                <w:b w:val="0"/>
                <w:sz w:val="14"/>
              </w:rPr>
              <w:t>Each in-scope line can be traced back to the exact source row/document.</w:t>
            </w:r>
          </w:p>
        </w:tc>
      </w:tr>
      <w:tr>
        <w:tc>
          <w:tcPr>
            <w:tcW w:type="dxa" w:w="2045"/>
            <w:vAlign w:val="center"/>
            <w:shd w:fill="EAF1F8"/>
          </w:tcPr>
          <w:p>
            <w:pPr>
              <w:spacing w:after="0"/>
            </w:pPr>
            <w:r/>
            <w:r>
              <w:rPr>
                <w:b w:val="0"/>
                <w:sz w:val="14"/>
              </w:rPr>
              <w:t>R1-006</w:t>
            </w:r>
          </w:p>
        </w:tc>
        <w:tc>
          <w:tcPr>
            <w:tcW w:type="dxa" w:w="2045"/>
            <w:vAlign w:val="center"/>
          </w:tcPr>
          <w:p>
            <w:pPr>
              <w:spacing w:after="0"/>
            </w:pPr>
            <w:r/>
            <w:r>
              <w:rPr>
                <w:b w:val="0"/>
                <w:sz w:val="14"/>
              </w:rPr>
              <w:t>Importer vs declarant</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Represent importer, declarant, customs agent/broker and acting-on-behalf-of relationships separately.</w:t>
            </w:r>
          </w:p>
        </w:tc>
        <w:tc>
          <w:tcPr>
            <w:tcW w:type="dxa" w:w="2045"/>
            <w:vAlign w:val="center"/>
          </w:tcPr>
          <w:p>
            <w:pPr>
              <w:spacing w:after="0"/>
            </w:pPr>
            <w:r/>
            <w:r>
              <w:rPr>
                <w:b w:val="0"/>
                <w:sz w:val="14"/>
              </w:rPr>
              <w:t>Test case with freight forwarder as declarant retains importer as liable person where applicable.</w:t>
            </w:r>
          </w:p>
        </w:tc>
      </w:tr>
      <w:tr>
        <w:tc>
          <w:tcPr>
            <w:tcW w:type="dxa" w:w="2045"/>
            <w:vAlign w:val="center"/>
            <w:shd w:fill="EAF1F8"/>
          </w:tcPr>
          <w:p>
            <w:pPr>
              <w:spacing w:after="0"/>
            </w:pPr>
            <w:r/>
            <w:r>
              <w:rPr>
                <w:b w:val="0"/>
                <w:sz w:val="14"/>
              </w:rPr>
              <w:t>R1-007</w:t>
            </w:r>
          </w:p>
        </w:tc>
        <w:tc>
          <w:tcPr>
            <w:tcW w:type="dxa" w:w="2045"/>
            <w:vAlign w:val="center"/>
          </w:tcPr>
          <w:p>
            <w:pPr>
              <w:spacing w:after="0"/>
            </w:pPr>
            <w:r/>
            <w:r>
              <w:rPr>
                <w:b w:val="0"/>
                <w:sz w:val="14"/>
              </w:rPr>
              <w:t>Commodity-code scope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Classify every import line against versioned UK CBAM commodity-code data with effective dates and exclusions.</w:t>
            </w:r>
          </w:p>
        </w:tc>
        <w:tc>
          <w:tcPr>
            <w:tcW w:type="dxa" w:w="2045"/>
            <w:vAlign w:val="center"/>
          </w:tcPr>
          <w:p>
            <w:pPr>
              <w:spacing w:after="0"/>
            </w:pPr>
            <w:r/>
            <w:r>
              <w:rPr>
                <w:b w:val="0"/>
                <w:sz w:val="14"/>
              </w:rPr>
              <w:t>Scope result includes rule version and source; code changes do not require deployment.</w:t>
            </w:r>
          </w:p>
        </w:tc>
      </w:tr>
      <w:tr>
        <w:tc>
          <w:tcPr>
            <w:tcW w:type="dxa" w:w="2045"/>
            <w:vAlign w:val="center"/>
            <w:shd w:fill="EAF1F8"/>
          </w:tcPr>
          <w:p>
            <w:pPr>
              <w:spacing w:after="0"/>
            </w:pPr>
            <w:r/>
            <w:r>
              <w:rPr>
                <w:b w:val="0"/>
                <w:sz w:val="14"/>
              </w:rPr>
              <w:t>R1-008</w:t>
            </w:r>
          </w:p>
        </w:tc>
        <w:tc>
          <w:tcPr>
            <w:tcW w:type="dxa" w:w="2045"/>
            <w:vAlign w:val="center"/>
          </w:tcPr>
          <w:p>
            <w:pPr>
              <w:spacing w:after="0"/>
            </w:pPr>
            <w:r/>
            <w:r>
              <w:rPr>
                <w:b w:val="0"/>
                <w:sz w:val="14"/>
              </w:rPr>
              <w:t>Tax-point skeleton</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Implement initial tax-point state and status model, including normal imports and a pending/special-procedure state.</w:t>
            </w:r>
          </w:p>
        </w:tc>
        <w:tc>
          <w:tcPr>
            <w:tcW w:type="dxa" w:w="2045"/>
            <w:vAlign w:val="center"/>
          </w:tcPr>
          <w:p>
            <w:pPr>
              <w:spacing w:after="0"/>
            </w:pPr>
            <w:r/>
            <w:r>
              <w:rPr>
                <w:b w:val="0"/>
                <w:sz w:val="14"/>
              </w:rPr>
              <w:t>A line cannot be assigned to a return period solely from declaration date if the tax point is unresolved.</w:t>
            </w:r>
          </w:p>
        </w:tc>
      </w:tr>
      <w:tr>
        <w:tc>
          <w:tcPr>
            <w:tcW w:type="dxa" w:w="2045"/>
            <w:vAlign w:val="center"/>
            <w:shd w:fill="EAF1F8"/>
          </w:tcPr>
          <w:p>
            <w:pPr>
              <w:spacing w:after="0"/>
            </w:pPr>
            <w:r/>
            <w:r>
              <w:rPr>
                <w:b w:val="0"/>
                <w:sz w:val="14"/>
              </w:rPr>
              <w:t>R1-009</w:t>
            </w:r>
          </w:p>
        </w:tc>
        <w:tc>
          <w:tcPr>
            <w:tcW w:type="dxa" w:w="2045"/>
            <w:vAlign w:val="center"/>
          </w:tcPr>
          <w:p>
            <w:pPr>
              <w:spacing w:after="0"/>
            </w:pPr>
            <w:r/>
            <w:r>
              <w:rPr>
                <w:b w:val="0"/>
                <w:sz w:val="14"/>
              </w:rPr>
              <w:t>Geography handling</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Store GB/XI EORI context, Northern Ireland and Crown Dependency/territory origin/entry information as first-class fields.</w:t>
            </w:r>
          </w:p>
        </w:tc>
        <w:tc>
          <w:tcPr>
            <w:tcW w:type="dxa" w:w="2045"/>
            <w:vAlign w:val="center"/>
          </w:tcPr>
          <w:p>
            <w:pPr>
              <w:spacing w:after="0"/>
            </w:pPr>
            <w:r/>
            <w:r>
              <w:rPr>
                <w:b w:val="0"/>
                <w:sz w:val="14"/>
              </w:rPr>
              <w:t>Geographic cases are visible in the import ledger and rules can act on them.</w:t>
            </w:r>
          </w:p>
        </w:tc>
      </w:tr>
      <w:tr>
        <w:tc>
          <w:tcPr>
            <w:tcW w:type="dxa" w:w="2045"/>
            <w:vAlign w:val="center"/>
            <w:shd w:fill="EAF1F8"/>
          </w:tcPr>
          <w:p>
            <w:pPr>
              <w:spacing w:after="0"/>
            </w:pPr>
            <w:r/>
            <w:r>
              <w:rPr>
                <w:b w:val="0"/>
                <w:sz w:val="14"/>
              </w:rPr>
              <w:t>R1-010</w:t>
            </w:r>
          </w:p>
        </w:tc>
        <w:tc>
          <w:tcPr>
            <w:tcW w:type="dxa" w:w="2045"/>
            <w:vAlign w:val="center"/>
          </w:tcPr>
          <w:p>
            <w:pPr>
              <w:spacing w:after="0"/>
            </w:pPr>
            <w:r/>
            <w:r>
              <w:rPr>
                <w:b w:val="0"/>
                <w:sz w:val="14"/>
              </w:rPr>
              <w:t>Customs-value basis</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Capture customs value using the same valuation basis used for customs duty and preserve the source/override reason.</w:t>
            </w:r>
          </w:p>
        </w:tc>
        <w:tc>
          <w:tcPr>
            <w:tcW w:type="dxa" w:w="2045"/>
            <w:vAlign w:val="center"/>
          </w:tcPr>
          <w:p>
            <w:pPr>
              <w:spacing w:after="0"/>
            </w:pPr>
            <w:r/>
            <w:r>
              <w:rPr>
                <w:b w:val="0"/>
                <w:sz w:val="14"/>
              </w:rPr>
              <w:t>System records how customs value was derived and blocks unauthorised overwrite.</w:t>
            </w:r>
          </w:p>
        </w:tc>
      </w:tr>
      <w:tr>
        <w:tc>
          <w:tcPr>
            <w:tcW w:type="dxa" w:w="2045"/>
            <w:vAlign w:val="center"/>
            <w:shd w:fill="EAF1F8"/>
          </w:tcPr>
          <w:p>
            <w:pPr>
              <w:spacing w:after="0"/>
            </w:pPr>
            <w:r/>
            <w:r>
              <w:rPr>
                <w:b w:val="0"/>
                <w:sz w:val="14"/>
              </w:rPr>
              <w:t>R1-011</w:t>
            </w:r>
          </w:p>
        </w:tc>
        <w:tc>
          <w:tcPr>
            <w:tcW w:type="dxa" w:w="2045"/>
            <w:vAlign w:val="center"/>
          </w:tcPr>
          <w:p>
            <w:pPr>
              <w:spacing w:after="0"/>
            </w:pPr>
            <w:r/>
            <w:r>
              <w:rPr>
                <w:b w:val="0"/>
                <w:sz w:val="14"/>
              </w:rPr>
              <w:t>Exemption / exclusion assessment</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Implement UK-origin, returned-goods, private-use and other reference exclusions where relevant; keep linked-ETS data structure empty by default.</w:t>
            </w:r>
          </w:p>
        </w:tc>
        <w:tc>
          <w:tcPr>
            <w:tcW w:type="dxa" w:w="2045"/>
            <w:vAlign w:val="center"/>
          </w:tcPr>
          <w:p>
            <w:pPr>
              <w:spacing w:after="0"/>
            </w:pPr>
            <w:r/>
            <w:r>
              <w:rPr>
                <w:b w:val="0"/>
                <w:sz w:val="14"/>
              </w:rPr>
              <w:t>Each excluded line displays reason, rule version and supporting evidence requirement.</w:t>
            </w:r>
          </w:p>
        </w:tc>
      </w:tr>
      <w:tr>
        <w:tc>
          <w:tcPr>
            <w:tcW w:type="dxa" w:w="2045"/>
            <w:vAlign w:val="center"/>
            <w:shd w:fill="EAF1F8"/>
          </w:tcPr>
          <w:p>
            <w:pPr>
              <w:spacing w:after="0"/>
            </w:pPr>
            <w:r/>
            <w:r>
              <w:rPr>
                <w:b w:val="0"/>
                <w:sz w:val="14"/>
              </w:rPr>
              <w:t>R1-012</w:t>
            </w:r>
          </w:p>
        </w:tc>
        <w:tc>
          <w:tcPr>
            <w:tcW w:type="dxa" w:w="2045"/>
            <w:vAlign w:val="center"/>
          </w:tcPr>
          <w:p>
            <w:pPr>
              <w:spacing w:after="0"/>
            </w:pPr>
            <w:r/>
            <w:r>
              <w:rPr>
                <w:b w:val="0"/>
                <w:sz w:val="14"/>
              </w:rPr>
              <w:t>Threshold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Maintain £50k threshold snapshots and events; support forward 30-day test and first-day-of-month backward test.</w:t>
            </w:r>
          </w:p>
        </w:tc>
        <w:tc>
          <w:tcPr>
            <w:tcW w:type="dxa" w:w="2045"/>
            <w:vAlign w:val="center"/>
          </w:tcPr>
          <w:p>
            <w:pPr>
              <w:spacing w:after="0"/>
            </w:pPr>
            <w:r/>
            <w:r>
              <w:rPr>
                <w:b w:val="0"/>
                <w:sz w:val="14"/>
              </w:rPr>
              <w:t>Hand-calculated scenarios from handbook pass; event shows earliest trigger date and test type.</w:t>
            </w:r>
          </w:p>
        </w:tc>
      </w:tr>
      <w:tr>
        <w:tc>
          <w:tcPr>
            <w:tcW w:type="dxa" w:w="2045"/>
            <w:vAlign w:val="center"/>
            <w:shd w:fill="EAF1F8"/>
          </w:tcPr>
          <w:p>
            <w:pPr>
              <w:spacing w:after="0"/>
            </w:pPr>
            <w:r/>
            <w:r>
              <w:rPr>
                <w:b w:val="0"/>
                <w:sz w:val="14"/>
              </w:rPr>
              <w:t>R1-013</w:t>
            </w:r>
          </w:p>
        </w:tc>
        <w:tc>
          <w:tcPr>
            <w:tcW w:type="dxa" w:w="2045"/>
            <w:vAlign w:val="center"/>
          </w:tcPr>
          <w:p>
            <w:pPr>
              <w:spacing w:after="0"/>
            </w:pPr>
            <w:r/>
            <w:r>
              <w:rPr>
                <w:b w:val="0"/>
                <w:sz w:val="14"/>
              </w:rPr>
              <w:t>Pre-registration compliance mode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From 1 Jan 2027, retain liable imports, threshold evidence, supplier/emissions evidence and trigger date even though HMRC registration service is not yet available.</w:t>
            </w:r>
          </w:p>
        </w:tc>
        <w:tc>
          <w:tcPr>
            <w:tcW w:type="dxa" w:w="2045"/>
            <w:vAlign w:val="center"/>
          </w:tcPr>
          <w:p>
            <w:pPr>
              <w:spacing w:after="0"/>
            </w:pPr>
            <w:r/>
            <w:r>
              <w:rPr>
                <w:b w:val="0"/>
                <w:sz w:val="14"/>
              </w:rPr>
              <w:t>A client can generate a registration-ready data pack before the service opens.</w:t>
            </w:r>
          </w:p>
        </w:tc>
      </w:tr>
      <w:tr>
        <w:tc>
          <w:tcPr>
            <w:tcW w:type="dxa" w:w="2045"/>
            <w:vAlign w:val="center"/>
            <w:shd w:fill="EAF1F8"/>
          </w:tcPr>
          <w:p>
            <w:pPr>
              <w:spacing w:after="0"/>
            </w:pPr>
            <w:r/>
            <w:r>
              <w:rPr>
                <w:b w:val="0"/>
                <w:sz w:val="14"/>
              </w:rPr>
              <w:t>R1-014</w:t>
            </w:r>
          </w:p>
        </w:tc>
        <w:tc>
          <w:tcPr>
            <w:tcW w:type="dxa" w:w="2045"/>
            <w:vAlign w:val="center"/>
          </w:tcPr>
          <w:p>
            <w:pPr>
              <w:spacing w:after="0"/>
            </w:pPr>
            <w:r/>
            <w:r>
              <w:rPr>
                <w:b w:val="0"/>
                <w:sz w:val="14"/>
              </w:rPr>
              <w:t>Registration readiness record</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Prepare fields needed for registration, including trigger date and estimated next-12-month weight by sector.</w:t>
            </w:r>
          </w:p>
        </w:tc>
        <w:tc>
          <w:tcPr>
            <w:tcW w:type="dxa" w:w="2045"/>
            <w:vAlign w:val="center"/>
          </w:tcPr>
          <w:p>
            <w:pPr>
              <w:spacing w:after="0"/>
            </w:pPr>
            <w:r/>
            <w:r>
              <w:rPr>
                <w:b w:val="0"/>
                <w:sz w:val="14"/>
              </w:rPr>
              <w:t>Registration readiness record is complete and exportable.</w:t>
            </w:r>
          </w:p>
        </w:tc>
      </w:tr>
      <w:tr>
        <w:tc>
          <w:tcPr>
            <w:tcW w:type="dxa" w:w="2045"/>
            <w:vAlign w:val="center"/>
            <w:shd w:fill="EAF1F8"/>
          </w:tcPr>
          <w:p>
            <w:pPr>
              <w:spacing w:after="0"/>
            </w:pPr>
            <w:r/>
            <w:r>
              <w:rPr>
                <w:b w:val="0"/>
                <w:sz w:val="14"/>
              </w:rPr>
              <w:t>R1-015</w:t>
            </w:r>
          </w:p>
        </w:tc>
        <w:tc>
          <w:tcPr>
            <w:tcW w:type="dxa" w:w="2045"/>
            <w:vAlign w:val="center"/>
          </w:tcPr>
          <w:p>
            <w:pPr>
              <w:spacing w:after="0"/>
            </w:pPr>
            <w:r/>
            <w:r>
              <w:rPr>
                <w:b w:val="0"/>
                <w:sz w:val="14"/>
              </w:rPr>
              <w:t>Supplier master</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suppliers, installations, contacts, country, product relationships, preferred language, monitoring readiness and verifier status.</w:t>
            </w:r>
          </w:p>
        </w:tc>
        <w:tc>
          <w:tcPr>
            <w:tcW w:type="dxa" w:w="2045"/>
            <w:vAlign w:val="center"/>
          </w:tcPr>
          <w:p>
            <w:pPr>
              <w:spacing w:after="0"/>
            </w:pPr>
            <w:r/>
            <w:r>
              <w:rPr>
                <w:b w:val="0"/>
                <w:sz w:val="14"/>
              </w:rPr>
              <w:t>One supplier can have multiple installations and products; data is not flattened.</w:t>
            </w:r>
          </w:p>
        </w:tc>
      </w:tr>
      <w:tr>
        <w:tc>
          <w:tcPr>
            <w:tcW w:type="dxa" w:w="2045"/>
            <w:vAlign w:val="center"/>
            <w:shd w:fill="EAF1F8"/>
          </w:tcPr>
          <w:p>
            <w:pPr>
              <w:spacing w:after="0"/>
            </w:pPr>
            <w:r/>
            <w:r>
              <w:rPr>
                <w:b w:val="0"/>
                <w:sz w:val="14"/>
              </w:rPr>
              <w:t>R1-016</w:t>
            </w:r>
          </w:p>
        </w:tc>
        <w:tc>
          <w:tcPr>
            <w:tcW w:type="dxa" w:w="2045"/>
            <w:vAlign w:val="center"/>
          </w:tcPr>
          <w:p>
            <w:pPr>
              <w:spacing w:after="0"/>
            </w:pPr>
            <w:r/>
            <w:r>
              <w:rPr>
                <w:b w:val="0"/>
                <w:sz w:val="14"/>
              </w:rPr>
              <w:t>Supplier readiness questionnaire</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Capture whether the installation has monitoring data, verifier appointed, expected data year, preferred language, EU CBAM data availability and contractual evidence owner.</w:t>
            </w:r>
          </w:p>
        </w:tc>
        <w:tc>
          <w:tcPr>
            <w:tcW w:type="dxa" w:w="2045"/>
            <w:vAlign w:val="center"/>
          </w:tcPr>
          <w:p>
            <w:pPr>
              <w:spacing w:after="0"/>
            </w:pPr>
            <w:r/>
            <w:r>
              <w:rPr>
                <w:b w:val="0"/>
                <w:sz w:val="14"/>
              </w:rPr>
              <w:t>Readiness status is visible before the first formal emissions request.</w:t>
            </w:r>
          </w:p>
        </w:tc>
      </w:tr>
      <w:tr>
        <w:tc>
          <w:tcPr>
            <w:tcW w:type="dxa" w:w="2045"/>
            <w:vAlign w:val="center"/>
            <w:shd w:fill="EAF1F8"/>
          </w:tcPr>
          <w:p>
            <w:pPr>
              <w:spacing w:after="0"/>
            </w:pPr>
            <w:r/>
            <w:r>
              <w:rPr>
                <w:b w:val="0"/>
                <w:sz w:val="14"/>
              </w:rPr>
              <w:t>R1-017</w:t>
            </w:r>
          </w:p>
        </w:tc>
        <w:tc>
          <w:tcPr>
            <w:tcW w:type="dxa" w:w="2045"/>
            <w:vAlign w:val="center"/>
          </w:tcPr>
          <w:p>
            <w:pPr>
              <w:spacing w:after="0"/>
            </w:pPr>
            <w:r/>
            <w:r>
              <w:rPr>
                <w:b w:val="0"/>
                <w:sz w:val="14"/>
              </w:rPr>
              <w:t>Supplier secure portal</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Issue expiring, tenant-scoped magic links; supplier can complete profile, form and upload documents on mobile.</w:t>
            </w:r>
          </w:p>
        </w:tc>
        <w:tc>
          <w:tcPr>
            <w:tcW w:type="dxa" w:w="2045"/>
            <w:vAlign w:val="center"/>
          </w:tcPr>
          <w:p>
            <w:pPr>
              <w:spacing w:after="0"/>
            </w:pPr>
            <w:r/>
            <w:r>
              <w:rPr>
                <w:b w:val="0"/>
                <w:sz w:val="14"/>
              </w:rPr>
              <w:t>Unauthorised user cannot access a supplier's case; link expiry and single-case scope are tested.</w:t>
            </w:r>
          </w:p>
        </w:tc>
      </w:tr>
      <w:tr>
        <w:tc>
          <w:tcPr>
            <w:tcW w:type="dxa" w:w="2045"/>
            <w:vAlign w:val="center"/>
            <w:shd w:fill="EAF1F8"/>
          </w:tcPr>
          <w:p>
            <w:pPr>
              <w:spacing w:after="0"/>
            </w:pPr>
            <w:r/>
            <w:r>
              <w:rPr>
                <w:b w:val="0"/>
                <w:sz w:val="14"/>
              </w:rPr>
              <w:t>R1-018</w:t>
            </w:r>
          </w:p>
        </w:tc>
        <w:tc>
          <w:tcPr>
            <w:tcW w:type="dxa" w:w="2045"/>
            <w:vAlign w:val="center"/>
          </w:tcPr>
          <w:p>
            <w:pPr>
              <w:spacing w:after="0"/>
            </w:pPr>
            <w:r/>
            <w:r>
              <w:rPr>
                <w:b w:val="0"/>
                <w:sz w:val="14"/>
              </w:rPr>
              <w:t>Supplier outreach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Generate multilingual outreach and reminders; configurable Day 0 / 7 / 14 / 21 / 28 workflow with escalation.</w:t>
            </w:r>
          </w:p>
        </w:tc>
        <w:tc>
          <w:tcPr>
            <w:tcW w:type="dxa" w:w="2045"/>
            <w:vAlign w:val="center"/>
          </w:tcPr>
          <w:p>
            <w:pPr>
              <w:spacing w:after="0"/>
            </w:pPr>
            <w:r/>
            <w:r>
              <w:rPr>
                <w:b w:val="0"/>
                <w:sz w:val="14"/>
              </w:rPr>
              <w:t>A supplier case automatically moves through the schedule; each send is auditable.</w:t>
            </w:r>
          </w:p>
        </w:tc>
      </w:tr>
      <w:tr>
        <w:tc>
          <w:tcPr>
            <w:tcW w:type="dxa" w:w="2045"/>
            <w:vAlign w:val="center"/>
            <w:shd w:fill="EAF1F8"/>
          </w:tcPr>
          <w:p>
            <w:pPr>
              <w:spacing w:after="0"/>
            </w:pPr>
            <w:r/>
            <w:r>
              <w:rPr>
                <w:b w:val="0"/>
                <w:sz w:val="14"/>
              </w:rPr>
              <w:t>R1-019</w:t>
            </w:r>
          </w:p>
        </w:tc>
        <w:tc>
          <w:tcPr>
            <w:tcW w:type="dxa" w:w="2045"/>
            <w:vAlign w:val="center"/>
          </w:tcPr>
          <w:p>
            <w:pPr>
              <w:spacing w:after="0"/>
            </w:pPr>
            <w:r/>
            <w:r>
              <w:rPr>
                <w:b w:val="0"/>
                <w:sz w:val="14"/>
              </w:rPr>
              <w:t>Document intake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Upload/store PDFs, Excel and images against supplier/installation/import/case; retain versions and original file.</w:t>
            </w:r>
          </w:p>
        </w:tc>
        <w:tc>
          <w:tcPr>
            <w:tcW w:type="dxa" w:w="2045"/>
            <w:vAlign w:val="center"/>
          </w:tcPr>
          <w:p>
            <w:pPr>
              <w:spacing w:after="0"/>
            </w:pPr>
            <w:r/>
            <w:r>
              <w:rPr>
                <w:b w:val="0"/>
                <w:sz w:val="14"/>
              </w:rPr>
              <w:t>Every upload has immutable source metadata and is retrievable from the case.</w:t>
            </w:r>
          </w:p>
        </w:tc>
      </w:tr>
      <w:tr>
        <w:tc>
          <w:tcPr>
            <w:tcW w:type="dxa" w:w="2045"/>
            <w:vAlign w:val="center"/>
            <w:shd w:fill="EAF1F8"/>
          </w:tcPr>
          <w:p>
            <w:pPr>
              <w:spacing w:after="0"/>
            </w:pPr>
            <w:r/>
            <w:r>
              <w:rPr>
                <w:b w:val="0"/>
                <w:sz w:val="14"/>
              </w:rPr>
              <w:t>R1-020</w:t>
            </w:r>
          </w:p>
        </w:tc>
        <w:tc>
          <w:tcPr>
            <w:tcW w:type="dxa" w:w="2045"/>
            <w:vAlign w:val="center"/>
          </w:tcPr>
          <w:p>
            <w:pPr>
              <w:spacing w:after="0"/>
            </w:pPr>
            <w:r/>
            <w:r>
              <w:rPr>
                <w:b w:val="0"/>
                <w:sz w:val="14"/>
              </w:rPr>
              <w:t>Human review queue shell</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Provide a queue for missing data, supplier exceptions and manual classifications.</w:t>
            </w:r>
          </w:p>
        </w:tc>
        <w:tc>
          <w:tcPr>
            <w:tcW w:type="dxa" w:w="2045"/>
            <w:vAlign w:val="center"/>
          </w:tcPr>
          <w:p>
            <w:pPr>
              <w:spacing w:after="0"/>
            </w:pPr>
            <w:r/>
            <w:r>
              <w:rPr>
                <w:b w:val="0"/>
                <w:sz w:val="14"/>
              </w:rPr>
              <w:t>Operations can assign, resolve and reopen a queue item with reason.</w:t>
            </w:r>
          </w:p>
        </w:tc>
      </w:tr>
      <w:tr>
        <w:tc>
          <w:tcPr>
            <w:tcW w:type="dxa" w:w="2045"/>
            <w:vAlign w:val="center"/>
            <w:shd w:fill="EAF1F8"/>
          </w:tcPr>
          <w:p>
            <w:pPr>
              <w:spacing w:after="0"/>
            </w:pPr>
            <w:r/>
            <w:r>
              <w:rPr>
                <w:b w:val="0"/>
                <w:sz w:val="14"/>
              </w:rPr>
              <w:t>R1-021</w:t>
            </w:r>
          </w:p>
        </w:tc>
        <w:tc>
          <w:tcPr>
            <w:tcW w:type="dxa" w:w="2045"/>
            <w:vAlign w:val="center"/>
          </w:tcPr>
          <w:p>
            <w:pPr>
              <w:spacing w:after="0"/>
            </w:pPr>
            <w:r/>
            <w:r>
              <w:rPr>
                <w:b w:val="0"/>
                <w:sz w:val="14"/>
              </w:rPr>
              <w:t>Operations dashboard</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Show imports, scope status, threshold status, outreach status, missing documents, upcoming deadlines and unresolved items per client.</w:t>
            </w:r>
          </w:p>
        </w:tc>
        <w:tc>
          <w:tcPr>
            <w:tcW w:type="dxa" w:w="2045"/>
            <w:vAlign w:val="center"/>
          </w:tcPr>
          <w:p>
            <w:pPr>
              <w:spacing w:after="0"/>
            </w:pPr>
            <w:r/>
            <w:r>
              <w:rPr>
                <w:b w:val="0"/>
                <w:sz w:val="14"/>
              </w:rPr>
              <w:t>A new pilot client can see its current compliance posture on one screen.</w:t>
            </w:r>
          </w:p>
        </w:tc>
      </w:tr>
      <w:tr>
        <w:tc>
          <w:tcPr>
            <w:tcW w:type="dxa" w:w="2045"/>
            <w:vAlign w:val="center"/>
            <w:shd w:fill="EAF1F8"/>
          </w:tcPr>
          <w:p>
            <w:pPr>
              <w:spacing w:after="0"/>
            </w:pPr>
            <w:r/>
            <w:r>
              <w:rPr>
                <w:b w:val="0"/>
                <w:sz w:val="14"/>
              </w:rPr>
              <w:t>R1-022</w:t>
            </w:r>
          </w:p>
        </w:tc>
        <w:tc>
          <w:tcPr>
            <w:tcW w:type="dxa" w:w="2045"/>
            <w:vAlign w:val="center"/>
          </w:tcPr>
          <w:p>
            <w:pPr>
              <w:spacing w:after="0"/>
            </w:pPr>
            <w:r/>
            <w:r>
              <w:rPr>
                <w:b w:val="0"/>
                <w:sz w:val="14"/>
              </w:rPr>
              <w:t>Task / deadline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tasks for threshold triggers, supplier follow-ups, registration readiness and missing evidence.</w:t>
            </w:r>
          </w:p>
        </w:tc>
        <w:tc>
          <w:tcPr>
            <w:tcW w:type="dxa" w:w="2045"/>
            <w:vAlign w:val="center"/>
          </w:tcPr>
          <w:p>
            <w:pPr>
              <w:spacing w:after="0"/>
            </w:pPr>
            <w:r/>
            <w:r>
              <w:rPr>
                <w:b w:val="0"/>
                <w:sz w:val="14"/>
              </w:rPr>
              <w:t>Tasks have due date, owner, status and escalation history.</w:t>
            </w:r>
          </w:p>
        </w:tc>
      </w:tr>
      <w:tr>
        <w:tc>
          <w:tcPr>
            <w:tcW w:type="dxa" w:w="2045"/>
            <w:vAlign w:val="center"/>
            <w:shd w:fill="EAF1F8"/>
          </w:tcPr>
          <w:p>
            <w:pPr>
              <w:spacing w:after="0"/>
            </w:pPr>
            <w:r/>
            <w:r>
              <w:rPr>
                <w:b w:val="0"/>
                <w:sz w:val="14"/>
              </w:rPr>
              <w:t>R1-023</w:t>
            </w:r>
          </w:p>
        </w:tc>
        <w:tc>
          <w:tcPr>
            <w:tcW w:type="dxa" w:w="2045"/>
            <w:vAlign w:val="center"/>
          </w:tcPr>
          <w:p>
            <w:pPr>
              <w:spacing w:after="0"/>
            </w:pPr>
            <w:r/>
            <w:r>
              <w:rPr>
                <w:b w:val="0"/>
                <w:sz w:val="14"/>
              </w:rPr>
              <w:t>Audit trail</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Append-only audit events for every business state change with actor, timestamp, before/after and reason where applicable.</w:t>
            </w:r>
          </w:p>
        </w:tc>
        <w:tc>
          <w:tcPr>
            <w:tcW w:type="dxa" w:w="2045"/>
            <w:vAlign w:val="center"/>
          </w:tcPr>
          <w:p>
            <w:pPr>
              <w:spacing w:after="0"/>
            </w:pPr>
            <w:r/>
            <w:r>
              <w:rPr>
                <w:b w:val="0"/>
                <w:sz w:val="14"/>
              </w:rPr>
              <w:t>Update/delete tests confirm the business audit history cannot be silently rewritten.</w:t>
            </w:r>
          </w:p>
        </w:tc>
      </w:tr>
      <w:tr>
        <w:tc>
          <w:tcPr>
            <w:tcW w:type="dxa" w:w="2045"/>
            <w:vAlign w:val="center"/>
            <w:shd w:fill="EAF1F8"/>
          </w:tcPr>
          <w:p>
            <w:pPr>
              <w:spacing w:after="0"/>
            </w:pPr>
            <w:r/>
            <w:r>
              <w:rPr>
                <w:b w:val="0"/>
                <w:sz w:val="14"/>
              </w:rPr>
              <w:t>R1-024</w:t>
            </w:r>
          </w:p>
        </w:tc>
        <w:tc>
          <w:tcPr>
            <w:tcW w:type="dxa" w:w="2045"/>
            <w:vAlign w:val="center"/>
          </w:tcPr>
          <w:p>
            <w:pPr>
              <w:spacing w:after="0"/>
            </w:pPr>
            <w:r/>
            <w:r>
              <w:rPr>
                <w:b w:val="0"/>
                <w:sz w:val="14"/>
              </w:rPr>
              <w:t>Export / evidence index</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Export import register, supplier status and evidence inventory for client review.</w:t>
            </w:r>
          </w:p>
        </w:tc>
        <w:tc>
          <w:tcPr>
            <w:tcW w:type="dxa" w:w="2045"/>
            <w:vAlign w:val="center"/>
          </w:tcPr>
          <w:p>
            <w:pPr>
              <w:spacing w:after="0"/>
            </w:pPr>
            <w:r/>
            <w:r>
              <w:rPr>
                <w:b w:val="0"/>
                <w:sz w:val="14"/>
              </w:rPr>
              <w:t>CSV/PDF export includes source identifiers and generated-at timestamp.</w:t>
            </w:r>
          </w:p>
        </w:tc>
      </w:tr>
      <w:tr>
        <w:tc>
          <w:tcPr>
            <w:tcW w:type="dxa" w:w="2045"/>
            <w:vAlign w:val="center"/>
            <w:shd w:fill="EAF1F8"/>
          </w:tcPr>
          <w:p>
            <w:pPr>
              <w:spacing w:after="0"/>
            </w:pPr>
            <w:r/>
            <w:r>
              <w:rPr>
                <w:b w:val="0"/>
                <w:sz w:val="14"/>
              </w:rPr>
              <w:t>R1-025</w:t>
            </w:r>
          </w:p>
        </w:tc>
        <w:tc>
          <w:tcPr>
            <w:tcW w:type="dxa" w:w="2045"/>
            <w:vAlign w:val="center"/>
          </w:tcPr>
          <w:p>
            <w:pPr>
              <w:spacing w:after="0"/>
            </w:pPr>
            <w:r/>
            <w:r>
              <w:rPr>
                <w:b w:val="0"/>
                <w:sz w:val="14"/>
              </w:rPr>
              <w:t>Data quality validation</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Detect missing/invalid commodity code, weight, tax point, origin, value and supplier mapping before records enter downstream workflows.</w:t>
            </w:r>
          </w:p>
        </w:tc>
        <w:tc>
          <w:tcPr>
            <w:tcW w:type="dxa" w:w="2045"/>
            <w:vAlign w:val="center"/>
          </w:tcPr>
          <w:p>
            <w:pPr>
              <w:spacing w:after="0"/>
            </w:pPr>
            <w:r/>
            <w:r>
              <w:rPr>
                <w:b w:val="0"/>
                <w:sz w:val="14"/>
              </w:rPr>
              <w:t>Bad rows appear in an actionable exception report; valid rows continue.</w:t>
            </w:r>
          </w:p>
        </w:tc>
      </w:tr>
      <w:tr>
        <w:tc>
          <w:tcPr>
            <w:tcW w:type="dxa" w:w="2045"/>
            <w:vAlign w:val="center"/>
            <w:shd w:fill="EAF1F8"/>
          </w:tcPr>
          <w:p>
            <w:pPr>
              <w:spacing w:after="0"/>
            </w:pPr>
            <w:r/>
            <w:r>
              <w:rPr>
                <w:b w:val="0"/>
                <w:sz w:val="14"/>
              </w:rPr>
              <w:t>R1-026</w:t>
            </w:r>
          </w:p>
        </w:tc>
        <w:tc>
          <w:tcPr>
            <w:tcW w:type="dxa" w:w="2045"/>
            <w:vAlign w:val="center"/>
          </w:tcPr>
          <w:p>
            <w:pPr>
              <w:spacing w:after="0"/>
            </w:pPr>
            <w:r/>
            <w:r>
              <w:rPr>
                <w:b w:val="0"/>
                <w:sz w:val="14"/>
              </w:rPr>
              <w:t>Observability / resilience baseline</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Add structured logs, metrics, job retries, backup/restore procedure and health checks.</w:t>
            </w:r>
          </w:p>
        </w:tc>
        <w:tc>
          <w:tcPr>
            <w:tcW w:type="dxa" w:w="2045"/>
            <w:vAlign w:val="center"/>
          </w:tcPr>
          <w:p>
            <w:pPr>
              <w:spacing w:after="0"/>
            </w:pPr>
            <w:r/>
            <w:r>
              <w:rPr>
                <w:b w:val="0"/>
                <w:sz w:val="14"/>
              </w:rPr>
              <w:t>A failed import/job is visible, retryable and cannot silently disappear.</w:t>
            </w:r>
          </w:p>
        </w:tc>
      </w:tr>
    </w:tbl>
    <w:p>
      <w:pPr>
        <w:spacing w:after="40"/>
      </w:pPr>
    </w:p>
    <w:p>
      <w:pPr>
        <w:pStyle w:val="Heading2"/>
        <w:keepNext/>
      </w:pPr>
      <w:r>
        <w:t>6. R1 acceptance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b/>
                <w:color w:val="FFFFFF"/>
                <w:sz w:val="15"/>
              </w:rPr>
              <w:t>Gate</w:t>
            </w:r>
          </w:p>
        </w:tc>
        <w:tc>
          <w:tcPr>
            <w:tcW w:type="dxa" w:w="5112"/>
            <w:vAlign w:val="center"/>
            <w:shd w:fill="17365D"/>
          </w:tcPr>
          <w:p>
            <w:pPr>
              <w:spacing w:after="0"/>
            </w:pPr>
            <w:r/>
            <w:r>
              <w:rPr>
                <w:b/>
                <w:color w:val="FFFFFF"/>
                <w:sz w:val="15"/>
              </w:rPr>
              <w:t>Release acceptance</w:t>
            </w:r>
          </w:p>
        </w:tc>
      </w:tr>
      <w:tr>
        <w:tc>
          <w:tcPr>
            <w:tcW w:type="dxa" w:w="5112"/>
            <w:vAlign w:val="center"/>
            <w:shd w:fill="EAF1F8"/>
          </w:tcPr>
          <w:p>
            <w:pPr>
              <w:spacing w:after="0"/>
            </w:pPr>
            <w:r/>
            <w:r>
              <w:rPr>
                <w:b w:val="0"/>
                <w:sz w:val="15"/>
              </w:rPr>
              <w:t>G1 – Readiness</w:t>
            </w:r>
          </w:p>
        </w:tc>
        <w:tc>
          <w:tcPr>
            <w:tcW w:type="dxa" w:w="5112"/>
            <w:vAlign w:val="center"/>
          </w:tcPr>
          <w:p>
            <w:pPr>
              <w:spacing w:after="0"/>
            </w:pPr>
            <w:r/>
            <w:r>
              <w:rPr>
                <w:b w:val="0"/>
                <w:sz w:val="15"/>
              </w:rPr>
              <w:t>Team can explain CBAM basics, current regulatory baseline and the product boundary; no unresolved blocker is hidden.</w:t>
            </w:r>
          </w:p>
        </w:tc>
      </w:tr>
      <w:tr>
        <w:tc>
          <w:tcPr>
            <w:tcW w:type="dxa" w:w="5112"/>
            <w:vAlign w:val="center"/>
            <w:shd w:fill="EAF1F8"/>
          </w:tcPr>
          <w:p>
            <w:pPr>
              <w:spacing w:after="0"/>
            </w:pPr>
            <w:r/>
            <w:r>
              <w:rPr>
                <w:b w:val="0"/>
                <w:sz w:val="15"/>
              </w:rPr>
              <w:t>G2 – Import</w:t>
            </w:r>
          </w:p>
        </w:tc>
        <w:tc>
          <w:tcPr>
            <w:tcW w:type="dxa" w:w="5112"/>
            <w:vAlign w:val="center"/>
          </w:tcPr>
          <w:p>
            <w:pPr>
              <w:spacing w:after="0"/>
            </w:pPr>
            <w:r/>
            <w:r>
              <w:rPr>
                <w:b w:val="0"/>
                <w:sz w:val="15"/>
              </w:rPr>
              <w:t>A real CDS sample imports successfully; 10,000-record load test is completed as required by the handbook.</w:t>
            </w:r>
          </w:p>
        </w:tc>
      </w:tr>
      <w:tr>
        <w:tc>
          <w:tcPr>
            <w:tcW w:type="dxa" w:w="5112"/>
            <w:vAlign w:val="center"/>
            <w:shd w:fill="EAF1F8"/>
          </w:tcPr>
          <w:p>
            <w:pPr>
              <w:spacing w:after="0"/>
            </w:pPr>
            <w:r/>
            <w:r>
              <w:rPr>
                <w:b w:val="0"/>
                <w:sz w:val="15"/>
              </w:rPr>
              <w:t>G3 – Scope</w:t>
            </w:r>
          </w:p>
        </w:tc>
        <w:tc>
          <w:tcPr>
            <w:tcW w:type="dxa" w:w="5112"/>
            <w:vAlign w:val="center"/>
          </w:tcPr>
          <w:p>
            <w:pPr>
              <w:spacing w:after="0"/>
            </w:pPr>
            <w:r/>
            <w:r>
              <w:rPr>
                <w:b w:val="0"/>
                <w:sz w:val="15"/>
              </w:rPr>
              <w:t>All pilot imports produce deterministic in/out-of-scope results with versioned commodity-code evidence.</w:t>
            </w:r>
          </w:p>
        </w:tc>
      </w:tr>
      <w:tr>
        <w:tc>
          <w:tcPr>
            <w:tcW w:type="dxa" w:w="5112"/>
            <w:vAlign w:val="center"/>
            <w:shd w:fill="EAF1F8"/>
          </w:tcPr>
          <w:p>
            <w:pPr>
              <w:spacing w:after="0"/>
            </w:pPr>
            <w:r/>
            <w:r>
              <w:rPr>
                <w:b w:val="0"/>
                <w:sz w:val="15"/>
              </w:rPr>
              <w:t>G4 – Threshold</w:t>
            </w:r>
          </w:p>
        </w:tc>
        <w:tc>
          <w:tcPr>
            <w:tcW w:type="dxa" w:w="5112"/>
            <w:vAlign w:val="center"/>
          </w:tcPr>
          <w:p>
            <w:pPr>
              <w:spacing w:after="0"/>
            </w:pPr>
            <w:r/>
            <w:r>
              <w:rPr>
                <w:b w:val="0"/>
                <w:sz w:val="15"/>
              </w:rPr>
              <w:t>Five hand-calculated threshold scenarios pass; forward and backward tests use correct legal cadence.</w:t>
            </w:r>
          </w:p>
        </w:tc>
      </w:tr>
      <w:tr>
        <w:tc>
          <w:tcPr>
            <w:tcW w:type="dxa" w:w="5112"/>
            <w:vAlign w:val="center"/>
            <w:shd w:fill="EAF1F8"/>
          </w:tcPr>
          <w:p>
            <w:pPr>
              <w:spacing w:after="0"/>
            </w:pPr>
            <w:r/>
            <w:r>
              <w:rPr>
                <w:b w:val="0"/>
                <w:sz w:val="15"/>
              </w:rPr>
              <w:t>G5 – Supplier</w:t>
            </w:r>
          </w:p>
        </w:tc>
        <w:tc>
          <w:tcPr>
            <w:tcW w:type="dxa" w:w="5112"/>
            <w:vAlign w:val="center"/>
          </w:tcPr>
          <w:p>
            <w:pPr>
              <w:spacing w:after="0"/>
            </w:pPr>
            <w:r/>
            <w:r>
              <w:rPr>
                <w:b w:val="0"/>
                <w:sz w:val="15"/>
              </w:rPr>
              <w:t>A supplier can complete the mobile flow; Day 7/14/21/28 orchestration is observable and auditable.</w:t>
            </w:r>
          </w:p>
        </w:tc>
      </w:tr>
      <w:tr>
        <w:tc>
          <w:tcPr>
            <w:tcW w:type="dxa" w:w="5112"/>
            <w:vAlign w:val="center"/>
            <w:shd w:fill="EAF1F8"/>
          </w:tcPr>
          <w:p>
            <w:pPr>
              <w:spacing w:after="0"/>
            </w:pPr>
            <w:r/>
            <w:r>
              <w:rPr>
                <w:b w:val="0"/>
                <w:sz w:val="15"/>
              </w:rPr>
              <w:t>G6 – Documents</w:t>
            </w:r>
          </w:p>
        </w:tc>
        <w:tc>
          <w:tcPr>
            <w:tcW w:type="dxa" w:w="5112"/>
            <w:vAlign w:val="center"/>
          </w:tcPr>
          <w:p>
            <w:pPr>
              <w:spacing w:after="0"/>
            </w:pPr>
            <w:r/>
            <w:r>
              <w:rPr>
                <w:b w:val="0"/>
                <w:sz w:val="15"/>
              </w:rPr>
              <w:t>Supplier documents are stored, versioned and linked to the case; users can retrieve the originals.</w:t>
            </w:r>
          </w:p>
        </w:tc>
      </w:tr>
      <w:tr>
        <w:tc>
          <w:tcPr>
            <w:tcW w:type="dxa" w:w="5112"/>
            <w:vAlign w:val="center"/>
            <w:shd w:fill="EAF1F8"/>
          </w:tcPr>
          <w:p>
            <w:pPr>
              <w:spacing w:after="0"/>
            </w:pPr>
            <w:r/>
            <w:r>
              <w:rPr>
                <w:b w:val="0"/>
                <w:sz w:val="15"/>
              </w:rPr>
              <w:t>G7 – Operations</w:t>
            </w:r>
          </w:p>
        </w:tc>
        <w:tc>
          <w:tcPr>
            <w:tcW w:type="dxa" w:w="5112"/>
            <w:vAlign w:val="center"/>
          </w:tcPr>
          <w:p>
            <w:pPr>
              <w:spacing w:after="0"/>
            </w:pPr>
            <w:r/>
            <w:r>
              <w:rPr>
                <w:b w:val="0"/>
                <w:sz w:val="15"/>
              </w:rPr>
              <w:t>A pilot client can see import, threshold, supplier and document status on the dashboard.</w:t>
            </w:r>
          </w:p>
        </w:tc>
      </w:tr>
      <w:tr>
        <w:tc>
          <w:tcPr>
            <w:tcW w:type="dxa" w:w="5112"/>
            <w:vAlign w:val="center"/>
            <w:shd w:fill="EAF1F8"/>
          </w:tcPr>
          <w:p>
            <w:pPr>
              <w:spacing w:after="0"/>
            </w:pPr>
            <w:r/>
            <w:r>
              <w:rPr>
                <w:b w:val="0"/>
                <w:sz w:val="15"/>
              </w:rPr>
              <w:t>G8 – Hardening</w:t>
            </w:r>
          </w:p>
        </w:tc>
        <w:tc>
          <w:tcPr>
            <w:tcW w:type="dxa" w:w="5112"/>
            <w:vAlign w:val="center"/>
          </w:tcPr>
          <w:p>
            <w:pPr>
              <w:spacing w:after="0"/>
            </w:pPr>
            <w:r/>
            <w:r>
              <w:rPr>
                <w:b w:val="0"/>
                <w:sz w:val="15"/>
              </w:rPr>
              <w:t>Backup/restore, security checks, tenant isolation, UAT and pilot onboarding evidence are complete.</w:t>
            </w:r>
          </w:p>
        </w:tc>
      </w:tr>
    </w:tbl>
    <w:p>
      <w:pPr>
        <w:spacing w:after="40"/>
      </w:pPr>
    </w:p>
    <w:p>
      <w:pPr>
        <w:pStyle w:val="Heading1"/>
        <w:keepNext/>
      </w:pPr>
      <w:r>
        <w:t>7. R2 — Validation &amp; Intelligence (target: 28 Feb 2027)</w:t>
      </w:r>
    </w:p>
    <w:p>
      <w:pPr>
        <w:spacing w:after="100" w:line="252" w:lineRule="auto"/>
      </w:pPr>
      <w:r>
        <w:t>R2 turns collected supplier and document data into validated evidence. It should not silently calculate a final tax amount. The output of R2 is a set of trusted, approved inputs and explainable exceptions that R3 can consume.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
              <w:rPr>
                <w:b/>
                <w:color w:val="FFFFFF"/>
                <w:sz w:val="14"/>
              </w:rPr>
              <w:t>ID</w:t>
            </w:r>
          </w:p>
        </w:tc>
        <w:tc>
          <w:tcPr>
            <w:tcW w:type="dxa" w:w="2045"/>
            <w:vAlign w:val="center"/>
            <w:shd w:fill="17365D"/>
          </w:tcPr>
          <w:p>
            <w:pPr>
              <w:spacing w:after="0"/>
            </w:pPr>
            <w:r/>
            <w:r>
              <w:rPr>
                <w:b/>
                <w:color w:val="FFFFFF"/>
                <w:sz w:val="14"/>
              </w:rPr>
              <w:t>Requirement</w:t>
            </w:r>
          </w:p>
        </w:tc>
        <w:tc>
          <w:tcPr>
            <w:tcW w:type="dxa" w:w="2045"/>
            <w:vAlign w:val="center"/>
            <w:shd w:fill="17365D"/>
          </w:tcPr>
          <w:p>
            <w:pPr>
              <w:spacing w:after="0"/>
            </w:pPr>
            <w:r/>
            <w:r>
              <w:rPr>
                <w:b/>
                <w:color w:val="FFFFFF"/>
                <w:sz w:val="14"/>
              </w:rPr>
              <w:t>Release / Priority</w:t>
            </w:r>
          </w:p>
        </w:tc>
        <w:tc>
          <w:tcPr>
            <w:tcW w:type="dxa" w:w="2045"/>
            <w:vAlign w:val="center"/>
            <w:shd w:fill="17365D"/>
          </w:tcPr>
          <w:p>
            <w:pPr>
              <w:spacing w:after="0"/>
            </w:pPr>
            <w:r/>
            <w:r>
              <w:rPr>
                <w:b/>
                <w:color w:val="FFFFFF"/>
                <w:sz w:val="14"/>
              </w:rPr>
              <w:t>What the system must do</w:t>
            </w:r>
          </w:p>
        </w:tc>
        <w:tc>
          <w:tcPr>
            <w:tcW w:type="dxa" w:w="2045"/>
            <w:vAlign w:val="center"/>
            <w:shd w:fill="17365D"/>
          </w:tcPr>
          <w:p>
            <w:pPr>
              <w:spacing w:after="0"/>
            </w:pPr>
            <w:r/>
            <w:r>
              <w:rPr>
                <w:b/>
                <w:color w:val="FFFFFF"/>
                <w:sz w:val="14"/>
              </w:rPr>
              <w:t>Acceptance / evidence</w:t>
            </w:r>
          </w:p>
        </w:tc>
      </w:tr>
      <w:tr>
        <w:tc>
          <w:tcPr>
            <w:tcW w:type="dxa" w:w="2045"/>
            <w:vAlign w:val="center"/>
            <w:shd w:fill="EAF1F8"/>
          </w:tcPr>
          <w:p>
            <w:pPr>
              <w:spacing w:after="0"/>
            </w:pPr>
            <w:r/>
            <w:r>
              <w:rPr>
                <w:b w:val="0"/>
                <w:sz w:val="14"/>
              </w:rPr>
              <w:t>R2-001</w:t>
            </w:r>
          </w:p>
        </w:tc>
        <w:tc>
          <w:tcPr>
            <w:tcW w:type="dxa" w:w="2045"/>
            <w:vAlign w:val="center"/>
          </w:tcPr>
          <w:p>
            <w:pPr>
              <w:spacing w:after="0"/>
            </w:pPr>
            <w:r/>
            <w:r>
              <w:rPr>
                <w:b w:val="0"/>
                <w:sz w:val="14"/>
              </w:rPr>
              <w:t>Document extraction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Extract structured fields from PDF/Excel/image evidence with OCR fallback and preserve page/table coordinates where possible.</w:t>
            </w:r>
          </w:p>
        </w:tc>
        <w:tc>
          <w:tcPr>
            <w:tcW w:type="dxa" w:w="2045"/>
            <w:vAlign w:val="center"/>
          </w:tcPr>
          <w:p>
            <w:pPr>
              <w:spacing w:after="0"/>
            </w:pPr>
            <w:r/>
            <w:r>
              <w:rPr>
                <w:b w:val="0"/>
                <w:sz w:val="14"/>
              </w:rPr>
              <w:t>Each extracted value points to document + page/region; low-confidence or ambiguous results are reviewable.</w:t>
            </w:r>
          </w:p>
        </w:tc>
      </w:tr>
      <w:tr>
        <w:tc>
          <w:tcPr>
            <w:tcW w:type="dxa" w:w="2045"/>
            <w:vAlign w:val="center"/>
            <w:shd w:fill="EAF1F8"/>
          </w:tcPr>
          <w:p>
            <w:pPr>
              <w:spacing w:after="0"/>
            </w:pPr>
            <w:r/>
            <w:r>
              <w:rPr>
                <w:b w:val="0"/>
                <w:sz w:val="14"/>
              </w:rPr>
              <w:t>R2-002</w:t>
            </w:r>
          </w:p>
        </w:tc>
        <w:tc>
          <w:tcPr>
            <w:tcW w:type="dxa" w:w="2045"/>
            <w:vAlign w:val="center"/>
          </w:tcPr>
          <w:p>
            <w:pPr>
              <w:spacing w:after="0"/>
            </w:pPr>
            <w:r/>
            <w:r>
              <w:rPr>
                <w:b w:val="0"/>
                <w:sz w:val="14"/>
              </w:rPr>
              <w:t>Emissions data model</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Store CO2e, gas components, monitoring period, production method, product, installation, unit, calculation basis and verification status.</w:t>
            </w:r>
          </w:p>
        </w:tc>
        <w:tc>
          <w:tcPr>
            <w:tcW w:type="dxa" w:w="2045"/>
            <w:vAlign w:val="center"/>
          </w:tcPr>
          <w:p>
            <w:pPr>
              <w:spacing w:after="0"/>
            </w:pPr>
            <w:r/>
            <w:r>
              <w:rPr>
                <w:b w:val="0"/>
                <w:sz w:val="14"/>
              </w:rPr>
              <w:t>CO2, N2O, CF4 and C2F6 components can be represented and converted using regulatory factors.</w:t>
            </w:r>
          </w:p>
        </w:tc>
      </w:tr>
      <w:tr>
        <w:tc>
          <w:tcPr>
            <w:tcW w:type="dxa" w:w="2045"/>
            <w:vAlign w:val="center"/>
            <w:shd w:fill="EAF1F8"/>
          </w:tcPr>
          <w:p>
            <w:pPr>
              <w:spacing w:after="0"/>
            </w:pPr>
            <w:r/>
            <w:r>
              <w:rPr>
                <w:b w:val="0"/>
                <w:sz w:val="14"/>
              </w:rPr>
              <w:t>R2-003</w:t>
            </w:r>
          </w:p>
        </w:tc>
        <w:tc>
          <w:tcPr>
            <w:tcW w:type="dxa" w:w="2045"/>
            <w:vAlign w:val="center"/>
          </w:tcPr>
          <w:p>
            <w:pPr>
              <w:spacing w:after="0"/>
            </w:pPr>
            <w:r/>
            <w:r>
              <w:rPr>
                <w:b w:val="0"/>
                <w:sz w:val="14"/>
              </w:rPr>
              <w:t>Scope/source separation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Separate emission scope (DIRECT/INDIRECT) from source/provenance (OWN_INSTALLATION/PRECURSOR_GOOD).</w:t>
            </w:r>
          </w:p>
        </w:tc>
        <w:tc>
          <w:tcPr>
            <w:tcW w:type="dxa" w:w="2045"/>
            <w:vAlign w:val="center"/>
          </w:tcPr>
          <w:p>
            <w:pPr>
              <w:spacing w:after="0"/>
            </w:pPr>
            <w:r/>
            <w:r>
              <w:rPr>
                <w:b w:val="0"/>
                <w:sz w:val="14"/>
              </w:rPr>
              <w:t>Precursor emissions are represented as upstream direct emissions, not as a third scope category.</w:t>
            </w:r>
          </w:p>
        </w:tc>
      </w:tr>
      <w:tr>
        <w:tc>
          <w:tcPr>
            <w:tcW w:type="dxa" w:w="2045"/>
            <w:vAlign w:val="center"/>
            <w:shd w:fill="EAF1F8"/>
          </w:tcPr>
          <w:p>
            <w:pPr>
              <w:spacing w:after="0"/>
            </w:pPr>
            <w:r/>
            <w:r>
              <w:rPr>
                <w:b w:val="0"/>
                <w:sz w:val="14"/>
              </w:rPr>
              <w:t>R2-004</w:t>
            </w:r>
          </w:p>
        </w:tc>
        <w:tc>
          <w:tcPr>
            <w:tcW w:type="dxa" w:w="2045"/>
            <w:vAlign w:val="center"/>
          </w:tcPr>
          <w:p>
            <w:pPr>
              <w:spacing w:after="0"/>
            </w:pPr>
            <w:r/>
            <w:r>
              <w:rPr>
                <w:b w:val="0"/>
                <w:sz w:val="14"/>
              </w:rPr>
              <w:t>GHG conversion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Convert relevant gases to tCO2e using regulatory conversion factors and round emissions intensity to the prescribed 5 decimal places.</w:t>
            </w:r>
          </w:p>
        </w:tc>
        <w:tc>
          <w:tcPr>
            <w:tcW w:type="dxa" w:w="2045"/>
            <w:vAlign w:val="center"/>
          </w:tcPr>
          <w:p>
            <w:pPr>
              <w:spacing w:after="0"/>
            </w:pPr>
            <w:r/>
            <w:r>
              <w:rPr>
                <w:b w:val="0"/>
                <w:sz w:val="14"/>
              </w:rPr>
              <w:t>Known fixture with mixed gases produces expected CO2e and intensity after prescribed rounding.</w:t>
            </w:r>
          </w:p>
        </w:tc>
      </w:tr>
      <w:tr>
        <w:tc>
          <w:tcPr>
            <w:tcW w:type="dxa" w:w="2045"/>
            <w:vAlign w:val="center"/>
            <w:shd w:fill="EAF1F8"/>
          </w:tcPr>
          <w:p>
            <w:pPr>
              <w:spacing w:after="0"/>
            </w:pPr>
            <w:r/>
            <w:r>
              <w:rPr>
                <w:b w:val="0"/>
                <w:sz w:val="14"/>
              </w:rPr>
              <w:t>R2-005</w:t>
            </w:r>
          </w:p>
        </w:tc>
        <w:tc>
          <w:tcPr>
            <w:tcW w:type="dxa" w:w="2045"/>
            <w:vAlign w:val="center"/>
          </w:tcPr>
          <w:p>
            <w:pPr>
              <w:spacing w:after="0"/>
            </w:pPr>
            <w:r/>
            <w:r>
              <w:rPr>
                <w:b w:val="0"/>
                <w:sz w:val="14"/>
              </w:rPr>
              <w:t>Actual/default selection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Select actual or default emissions based on legal evidence rules. If actual data is unavailable or verification evidence is missing, use the applicable default.</w:t>
            </w:r>
          </w:p>
        </w:tc>
        <w:tc>
          <w:tcPr>
            <w:tcW w:type="dxa" w:w="2045"/>
            <w:vAlign w:val="center"/>
          </w:tcPr>
          <w:p>
            <w:pPr>
              <w:spacing w:after="0"/>
            </w:pPr>
            <w:r/>
            <w:r>
              <w:rPr>
                <w:b w:val="0"/>
                <w:sz w:val="14"/>
              </w:rPr>
              <w:t>Cases with missing or unverifiable actuals deterministically route to default.</w:t>
            </w:r>
          </w:p>
        </w:tc>
      </w:tr>
      <w:tr>
        <w:tc>
          <w:tcPr>
            <w:tcW w:type="dxa" w:w="2045"/>
            <w:vAlign w:val="center"/>
            <w:shd w:fill="EAF1F8"/>
          </w:tcPr>
          <w:p>
            <w:pPr>
              <w:spacing w:after="0"/>
            </w:pPr>
            <w:r/>
            <w:r>
              <w:rPr>
                <w:b w:val="0"/>
                <w:sz w:val="14"/>
              </w:rPr>
              <w:t>R2-006</w:t>
            </w:r>
          </w:p>
        </w:tc>
        <w:tc>
          <w:tcPr>
            <w:tcW w:type="dxa" w:w="2045"/>
            <w:vAlign w:val="center"/>
          </w:tcPr>
          <w:p>
            <w:pPr>
              <w:spacing w:after="0"/>
            </w:pPr>
            <w:r/>
            <w:r>
              <w:rPr>
                <w:b w:val="0"/>
                <w:sz w:val="14"/>
              </w:rPr>
              <w:t>Precursor compatibility rules</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Enforce the final-good/precursor actual/default compatibility rules.</w:t>
            </w:r>
          </w:p>
        </w:tc>
        <w:tc>
          <w:tcPr>
            <w:tcW w:type="dxa" w:w="2045"/>
            <w:vAlign w:val="center"/>
          </w:tcPr>
          <w:p>
            <w:pPr>
              <w:spacing w:after="0"/>
            </w:pPr>
            <w:r/>
            <w:r>
              <w:rPr>
                <w:b w:val="0"/>
                <w:sz w:val="14"/>
              </w:rPr>
              <w:t>Invalid actual/default combinations are blocked with a rule reference.</w:t>
            </w:r>
          </w:p>
        </w:tc>
      </w:tr>
      <w:tr>
        <w:tc>
          <w:tcPr>
            <w:tcW w:type="dxa" w:w="2045"/>
            <w:vAlign w:val="center"/>
            <w:shd w:fill="EAF1F8"/>
          </w:tcPr>
          <w:p>
            <w:pPr>
              <w:spacing w:after="0"/>
            </w:pPr>
            <w:r/>
            <w:r>
              <w:rPr>
                <w:b w:val="0"/>
                <w:sz w:val="14"/>
              </w:rPr>
              <w:t>R2-007</w:t>
            </w:r>
          </w:p>
        </w:tc>
        <w:tc>
          <w:tcPr>
            <w:tcW w:type="dxa" w:w="2045"/>
            <w:vAlign w:val="center"/>
          </w:tcPr>
          <w:p>
            <w:pPr>
              <w:spacing w:after="0"/>
            </w:pPr>
            <w:r/>
            <w:r>
              <w:rPr>
                <w:b w:val="0"/>
                <w:sz w:val="14"/>
              </w:rPr>
              <w:t>Monitoring-data year selection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Implement the legal options for linking verified emissions data to import date or production year, including the 2027 transitional rule.</w:t>
            </w:r>
          </w:p>
        </w:tc>
        <w:tc>
          <w:tcPr>
            <w:tcW w:type="dxa" w:w="2045"/>
            <w:vAlign w:val="center"/>
          </w:tcPr>
          <w:p>
            <w:pPr>
              <w:spacing w:after="0"/>
            </w:pPr>
            <w:r/>
            <w:r>
              <w:rPr>
                <w:b w:val="0"/>
                <w:sz w:val="14"/>
              </w:rPr>
              <w:t>2027 fixtures select the correct 2027/2026 or production-year data according to configured option.</w:t>
            </w:r>
          </w:p>
        </w:tc>
      </w:tr>
      <w:tr>
        <w:tc>
          <w:tcPr>
            <w:tcW w:type="dxa" w:w="2045"/>
            <w:vAlign w:val="center"/>
            <w:shd w:fill="EAF1F8"/>
          </w:tcPr>
          <w:p>
            <w:pPr>
              <w:spacing w:after="0"/>
            </w:pPr>
            <w:r/>
            <w:r>
              <w:rPr>
                <w:b w:val="0"/>
                <w:sz w:val="14"/>
              </w:rPr>
              <w:t>R2-008</w:t>
            </w:r>
          </w:p>
        </w:tc>
        <w:tc>
          <w:tcPr>
            <w:tcW w:type="dxa" w:w="2045"/>
            <w:vAlign w:val="center"/>
          </w:tcPr>
          <w:p>
            <w:pPr>
              <w:spacing w:after="0"/>
            </w:pPr>
            <w:r/>
            <w:r>
              <w:rPr>
                <w:b w:val="0"/>
                <w:sz w:val="14"/>
              </w:rPr>
              <w:t>Verifier validation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Capture verifier independence, accreditation body membership, scope, applicable standard(s), materiality and site-visit status.</w:t>
            </w:r>
          </w:p>
        </w:tc>
        <w:tc>
          <w:tcPr>
            <w:tcW w:type="dxa" w:w="2045"/>
            <w:vAlign w:val="center"/>
          </w:tcPr>
          <w:p>
            <w:pPr>
              <w:spacing w:after="0"/>
            </w:pPr>
            <w:r/>
            <w:r>
              <w:rPr>
                <w:b w:val="0"/>
                <w:sz w:val="14"/>
              </w:rPr>
              <w:t>A verifier certificate cannot pass validation if mandatory accreditation/scope evidence is absent.</w:t>
            </w:r>
          </w:p>
        </w:tc>
      </w:tr>
      <w:tr>
        <w:tc>
          <w:tcPr>
            <w:tcW w:type="dxa" w:w="2045"/>
            <w:vAlign w:val="center"/>
            <w:shd w:fill="EAF1F8"/>
          </w:tcPr>
          <w:p>
            <w:pPr>
              <w:spacing w:after="0"/>
            </w:pPr>
            <w:r/>
            <w:r>
              <w:rPr>
                <w:b w:val="0"/>
                <w:sz w:val="14"/>
              </w:rPr>
              <w:t>R2-009</w:t>
            </w:r>
          </w:p>
        </w:tc>
        <w:tc>
          <w:tcPr>
            <w:tcW w:type="dxa" w:w="2045"/>
            <w:vAlign w:val="center"/>
          </w:tcPr>
          <w:p>
            <w:pPr>
              <w:spacing w:after="0"/>
            </w:pPr>
            <w:r/>
            <w:r>
              <w:rPr>
                <w:b w:val="0"/>
                <w:sz w:val="14"/>
              </w:rPr>
              <w:t>CPR evidence tracker</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Track carbon-price verification form, scheme, qualifying year, scheme administrator, free allowances, thresholds, compensation and verifier evidence.</w:t>
            </w:r>
          </w:p>
        </w:tc>
        <w:tc>
          <w:tcPr>
            <w:tcW w:type="dxa" w:w="2045"/>
            <w:vAlign w:val="center"/>
          </w:tcPr>
          <w:p>
            <w:pPr>
              <w:spacing w:after="0"/>
            </w:pPr>
            <w:r/>
            <w:r>
              <w:rPr>
                <w:b w:val="0"/>
                <w:sz w:val="14"/>
              </w:rPr>
              <w:t>CPR readiness is explainable without opening raw email threads.</w:t>
            </w:r>
          </w:p>
        </w:tc>
      </w:tr>
      <w:tr>
        <w:tc>
          <w:tcPr>
            <w:tcW w:type="dxa" w:w="2045"/>
            <w:vAlign w:val="center"/>
            <w:shd w:fill="EAF1F8"/>
          </w:tcPr>
          <w:p>
            <w:pPr>
              <w:spacing w:after="0"/>
            </w:pPr>
            <w:r/>
            <w:r>
              <w:rPr>
                <w:b w:val="0"/>
                <w:sz w:val="14"/>
              </w:rPr>
              <w:t>R2-010</w:t>
            </w:r>
          </w:p>
        </w:tc>
        <w:tc>
          <w:tcPr>
            <w:tcW w:type="dxa" w:w="2045"/>
            <w:vAlign w:val="center"/>
          </w:tcPr>
          <w:p>
            <w:pPr>
              <w:spacing w:after="0"/>
            </w:pPr>
            <w:r/>
            <w:r>
              <w:rPr>
                <w:b w:val="0"/>
                <w:sz w:val="14"/>
              </w:rPr>
              <w:t>EU CBAM evidence reuse</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Allow controlled import/reuse of EU CBAM data/evidence, followed by UK-rule validation.</w:t>
            </w:r>
          </w:p>
        </w:tc>
        <w:tc>
          <w:tcPr>
            <w:tcW w:type="dxa" w:w="2045"/>
            <w:vAlign w:val="center"/>
          </w:tcPr>
          <w:p>
            <w:pPr>
              <w:spacing w:after="0"/>
            </w:pPr>
            <w:r/>
            <w:r>
              <w:rPr>
                <w:b w:val="0"/>
                <w:sz w:val="14"/>
              </w:rPr>
              <w:t>EU-origin evidence can be mapped into UK fields without being accepted as UK-valid automatically.</w:t>
            </w:r>
          </w:p>
        </w:tc>
      </w:tr>
      <w:tr>
        <w:tc>
          <w:tcPr>
            <w:tcW w:type="dxa" w:w="2045"/>
            <w:vAlign w:val="center"/>
            <w:shd w:fill="EAF1F8"/>
          </w:tcPr>
          <w:p>
            <w:pPr>
              <w:spacing w:after="0"/>
            </w:pPr>
            <w:r/>
            <w:r>
              <w:rPr>
                <w:b w:val="0"/>
                <w:sz w:val="14"/>
              </w:rPr>
              <w:t>R2-011</w:t>
            </w:r>
          </w:p>
        </w:tc>
        <w:tc>
          <w:tcPr>
            <w:tcW w:type="dxa" w:w="2045"/>
            <w:vAlign w:val="center"/>
          </w:tcPr>
          <w:p>
            <w:pPr>
              <w:spacing w:after="0"/>
            </w:pPr>
            <w:r/>
            <w:r>
              <w:rPr>
                <w:b w:val="0"/>
                <w:sz w:val="14"/>
              </w:rPr>
              <w:t>Plausibility rules</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Validate units, product/method consistency, monitoring year, plausible ranges, missing fields and cross-document conflicts.</w:t>
            </w:r>
          </w:p>
        </w:tc>
        <w:tc>
          <w:tcPr>
            <w:tcW w:type="dxa" w:w="2045"/>
            <w:vAlign w:val="center"/>
          </w:tcPr>
          <w:p>
            <w:pPr>
              <w:spacing w:after="0"/>
            </w:pPr>
            <w:r/>
            <w:r>
              <w:rPr>
                <w:b w:val="0"/>
                <w:sz w:val="14"/>
              </w:rPr>
              <w:t>Rules yield PASS/WARNING/ERROR/HUMAN_REVIEW with source rule version.</w:t>
            </w:r>
          </w:p>
        </w:tc>
      </w:tr>
      <w:tr>
        <w:tc>
          <w:tcPr>
            <w:tcW w:type="dxa" w:w="2045"/>
            <w:vAlign w:val="center"/>
            <w:shd w:fill="EAF1F8"/>
          </w:tcPr>
          <w:p>
            <w:pPr>
              <w:spacing w:after="0"/>
            </w:pPr>
            <w:r/>
            <w:r>
              <w:rPr>
                <w:b w:val="0"/>
                <w:sz w:val="14"/>
              </w:rPr>
              <w:t>R2-012</w:t>
            </w:r>
          </w:p>
        </w:tc>
        <w:tc>
          <w:tcPr>
            <w:tcW w:type="dxa" w:w="2045"/>
            <w:vAlign w:val="center"/>
          </w:tcPr>
          <w:p>
            <w:pPr>
              <w:spacing w:after="0"/>
            </w:pPr>
            <w:r/>
            <w:r>
              <w:rPr>
                <w:b w:val="0"/>
                <w:sz w:val="14"/>
              </w:rPr>
              <w:t>Human evidence review</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review screen showing extracted value, source document, rule failures and approval/rejection action.</w:t>
            </w:r>
          </w:p>
        </w:tc>
        <w:tc>
          <w:tcPr>
            <w:tcW w:type="dxa" w:w="2045"/>
            <w:vAlign w:val="center"/>
          </w:tcPr>
          <w:p>
            <w:pPr>
              <w:spacing w:after="0"/>
            </w:pPr>
            <w:r/>
            <w:r>
              <w:rPr>
                <w:b w:val="0"/>
                <w:sz w:val="14"/>
              </w:rPr>
              <w:t>Reviewer can approve, reject or request correction; action is immutable in audit history.</w:t>
            </w:r>
          </w:p>
        </w:tc>
      </w:tr>
      <w:tr>
        <w:tc>
          <w:tcPr>
            <w:tcW w:type="dxa" w:w="2045"/>
            <w:vAlign w:val="center"/>
            <w:shd w:fill="EAF1F8"/>
          </w:tcPr>
          <w:p>
            <w:pPr>
              <w:spacing w:after="0"/>
            </w:pPr>
            <w:r/>
            <w:r>
              <w:rPr>
                <w:b w:val="0"/>
                <w:sz w:val="14"/>
              </w:rPr>
              <w:t>R2-013</w:t>
            </w:r>
          </w:p>
        </w:tc>
        <w:tc>
          <w:tcPr>
            <w:tcW w:type="dxa" w:w="2045"/>
            <w:vAlign w:val="center"/>
          </w:tcPr>
          <w:p>
            <w:pPr>
              <w:spacing w:after="0"/>
            </w:pPr>
            <w:r/>
            <w:r>
              <w:rPr>
                <w:b w:val="0"/>
                <w:sz w:val="14"/>
              </w:rPr>
              <w:t>Evidence lineage</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Persist source-document lineage for each accepted field and every derived intermediate value.</w:t>
            </w:r>
          </w:p>
        </w:tc>
        <w:tc>
          <w:tcPr>
            <w:tcW w:type="dxa" w:w="2045"/>
            <w:vAlign w:val="center"/>
          </w:tcPr>
          <w:p>
            <w:pPr>
              <w:spacing w:after="0"/>
            </w:pPr>
            <w:r/>
            <w:r>
              <w:rPr>
                <w:b w:val="0"/>
                <w:sz w:val="14"/>
              </w:rPr>
              <w:t>Clicking an emissions value shows its source and validation history.</w:t>
            </w:r>
          </w:p>
        </w:tc>
      </w:tr>
      <w:tr>
        <w:tc>
          <w:tcPr>
            <w:tcW w:type="dxa" w:w="2045"/>
            <w:vAlign w:val="center"/>
            <w:shd w:fill="EAF1F8"/>
          </w:tcPr>
          <w:p>
            <w:pPr>
              <w:spacing w:after="0"/>
            </w:pPr>
            <w:r/>
            <w:r>
              <w:rPr>
                <w:b w:val="0"/>
                <w:sz w:val="14"/>
              </w:rPr>
              <w:t>R2-014</w:t>
            </w:r>
          </w:p>
        </w:tc>
        <w:tc>
          <w:tcPr>
            <w:tcW w:type="dxa" w:w="2045"/>
            <w:vAlign w:val="center"/>
          </w:tcPr>
          <w:p>
            <w:pPr>
              <w:spacing w:after="0"/>
            </w:pPr>
            <w:r/>
            <w:r>
              <w:rPr>
                <w:b w:val="0"/>
                <w:sz w:val="14"/>
              </w:rPr>
              <w:t>Supplier readiness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Track monitoring status, verifier appointment, expected data year, data received and defects per installation.</w:t>
            </w:r>
          </w:p>
        </w:tc>
        <w:tc>
          <w:tcPr>
            <w:tcW w:type="dxa" w:w="2045"/>
            <w:vAlign w:val="center"/>
          </w:tcPr>
          <w:p>
            <w:pPr>
              <w:spacing w:after="0"/>
            </w:pPr>
            <w:r/>
            <w:r>
              <w:rPr>
                <w:b w:val="0"/>
                <w:sz w:val="14"/>
              </w:rPr>
              <w:t>Operations can identify suppliers that will force default use before the return is due.</w:t>
            </w:r>
          </w:p>
        </w:tc>
      </w:tr>
      <w:tr>
        <w:tc>
          <w:tcPr>
            <w:tcW w:type="dxa" w:w="2045"/>
            <w:vAlign w:val="center"/>
            <w:shd w:fill="EAF1F8"/>
          </w:tcPr>
          <w:p>
            <w:pPr>
              <w:spacing w:after="0"/>
            </w:pPr>
            <w:r/>
            <w:r>
              <w:rPr>
                <w:b w:val="0"/>
                <w:sz w:val="14"/>
              </w:rPr>
              <w:t>R2-015</w:t>
            </w:r>
          </w:p>
        </w:tc>
        <w:tc>
          <w:tcPr>
            <w:tcW w:type="dxa" w:w="2045"/>
            <w:vAlign w:val="center"/>
          </w:tcPr>
          <w:p>
            <w:pPr>
              <w:spacing w:after="0"/>
            </w:pPr>
            <w:r/>
            <w:r>
              <w:rPr>
                <w:b w:val="0"/>
                <w:sz w:val="14"/>
              </w:rPr>
              <w:t>Regulatory reference data admin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controlled admin screens/imports for defaults, validation rules, qualifying schemes and verifier rules with effective dates and sources.</w:t>
            </w:r>
          </w:p>
        </w:tc>
        <w:tc>
          <w:tcPr>
            <w:tcW w:type="dxa" w:w="2045"/>
            <w:vAlign w:val="center"/>
          </w:tcPr>
          <w:p>
            <w:pPr>
              <w:spacing w:after="0"/>
            </w:pPr>
            <w:r/>
            <w:r>
              <w:rPr>
                <w:b w:val="0"/>
                <w:sz w:val="14"/>
              </w:rPr>
              <w:t>Every active value has version, source, effective date and change audit event.</w:t>
            </w:r>
          </w:p>
        </w:tc>
      </w:tr>
      <w:tr>
        <w:tc>
          <w:tcPr>
            <w:tcW w:type="dxa" w:w="2045"/>
            <w:vAlign w:val="center"/>
            <w:shd w:fill="EAF1F8"/>
          </w:tcPr>
          <w:p>
            <w:pPr>
              <w:spacing w:after="0"/>
            </w:pPr>
            <w:r/>
            <w:r>
              <w:rPr>
                <w:b w:val="0"/>
                <w:sz w:val="14"/>
              </w:rPr>
              <w:t>R2-016</w:t>
            </w:r>
          </w:p>
        </w:tc>
        <w:tc>
          <w:tcPr>
            <w:tcW w:type="dxa" w:w="2045"/>
            <w:vAlign w:val="center"/>
          </w:tcPr>
          <w:p>
            <w:pPr>
              <w:spacing w:after="0"/>
            </w:pPr>
            <w:r/>
            <w:r>
              <w:rPr>
                <w:b w:val="0"/>
                <w:sz w:val="14"/>
              </w:rPr>
              <w:t>Compliance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Expose evidence completeness, default exposure, verification status, CPR readiness and open exceptions.</w:t>
            </w:r>
          </w:p>
        </w:tc>
        <w:tc>
          <w:tcPr>
            <w:tcW w:type="dxa" w:w="2045"/>
            <w:vAlign w:val="center"/>
          </w:tcPr>
          <w:p>
            <w:pPr>
              <w:spacing w:after="0"/>
            </w:pPr>
            <w:r/>
            <w:r>
              <w:rPr>
                <w:b w:val="0"/>
                <w:sz w:val="14"/>
              </w:rPr>
              <w:t>Dashboard reconciles to underlying cases and does not recalculate independently.</w:t>
            </w:r>
          </w:p>
        </w:tc>
      </w:tr>
    </w:tbl>
    <w:p>
      <w:pPr>
        <w:spacing w:after="40"/>
      </w:pPr>
    </w:p>
    <w:p>
      <w:pPr>
        <w:pStyle w:val="Heading1"/>
        <w:keepNext/>
      </w:pPr>
      <w:r>
        <w:t>8. R3 — Calculation &amp; Filing (target: 30 Sep 2027)</w:t>
      </w:r>
    </w:p>
    <w:p>
      <w:pPr>
        <w:spacing w:after="100" w:line="252" w:lineRule="auto"/>
      </w:pPr>
      <w:r>
        <w:t>R3 consumes trusted R2 inputs and performs deterministic liability calculation, CPR, return preparation, approval, filing/payment tracking and evidence-pack generation.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
              <w:rPr>
                <w:b/>
                <w:color w:val="FFFFFF"/>
                <w:sz w:val="14"/>
              </w:rPr>
              <w:t>ID</w:t>
            </w:r>
          </w:p>
        </w:tc>
        <w:tc>
          <w:tcPr>
            <w:tcW w:type="dxa" w:w="2045"/>
            <w:vAlign w:val="center"/>
            <w:shd w:fill="17365D"/>
          </w:tcPr>
          <w:p>
            <w:pPr>
              <w:spacing w:after="0"/>
            </w:pPr>
            <w:r/>
            <w:r>
              <w:rPr>
                <w:b/>
                <w:color w:val="FFFFFF"/>
                <w:sz w:val="14"/>
              </w:rPr>
              <w:t>Requirement</w:t>
            </w:r>
          </w:p>
        </w:tc>
        <w:tc>
          <w:tcPr>
            <w:tcW w:type="dxa" w:w="2045"/>
            <w:vAlign w:val="center"/>
            <w:shd w:fill="17365D"/>
          </w:tcPr>
          <w:p>
            <w:pPr>
              <w:spacing w:after="0"/>
            </w:pPr>
            <w:r/>
            <w:r>
              <w:rPr>
                <w:b/>
                <w:color w:val="FFFFFF"/>
                <w:sz w:val="14"/>
              </w:rPr>
              <w:t>Release / Priority</w:t>
            </w:r>
          </w:p>
        </w:tc>
        <w:tc>
          <w:tcPr>
            <w:tcW w:type="dxa" w:w="2045"/>
            <w:vAlign w:val="center"/>
            <w:shd w:fill="17365D"/>
          </w:tcPr>
          <w:p>
            <w:pPr>
              <w:spacing w:after="0"/>
            </w:pPr>
            <w:r/>
            <w:r>
              <w:rPr>
                <w:b/>
                <w:color w:val="FFFFFF"/>
                <w:sz w:val="14"/>
              </w:rPr>
              <w:t>What the system must do</w:t>
            </w:r>
          </w:p>
        </w:tc>
        <w:tc>
          <w:tcPr>
            <w:tcW w:type="dxa" w:w="2045"/>
            <w:vAlign w:val="center"/>
            <w:shd w:fill="17365D"/>
          </w:tcPr>
          <w:p>
            <w:pPr>
              <w:spacing w:after="0"/>
            </w:pPr>
            <w:r/>
            <w:r>
              <w:rPr>
                <w:b/>
                <w:color w:val="FFFFFF"/>
                <w:sz w:val="14"/>
              </w:rPr>
              <w:t>Acceptance / evidence</w:t>
            </w:r>
          </w:p>
        </w:tc>
      </w:tr>
      <w:tr>
        <w:tc>
          <w:tcPr>
            <w:tcW w:type="dxa" w:w="2045"/>
            <w:vAlign w:val="center"/>
            <w:shd w:fill="EAF1F8"/>
          </w:tcPr>
          <w:p>
            <w:pPr>
              <w:spacing w:after="0"/>
            </w:pPr>
            <w:r/>
            <w:r>
              <w:rPr>
                <w:b w:val="0"/>
                <w:sz w:val="14"/>
              </w:rPr>
              <w:t>R3-001</w:t>
            </w:r>
          </w:p>
        </w:tc>
        <w:tc>
          <w:tcPr>
            <w:tcW w:type="dxa" w:w="2045"/>
            <w:vAlign w:val="center"/>
          </w:tcPr>
          <w:p>
            <w:pPr>
              <w:spacing w:after="0"/>
            </w:pPr>
            <w:r/>
            <w:r>
              <w:rPr>
                <w:b w:val="0"/>
                <w:sz w:val="14"/>
              </w:rPr>
              <w:t>CBAM rate reference</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Store quarterly sectoral CBAM rates as versioned reference data with publication/source metadata.</w:t>
            </w:r>
          </w:p>
        </w:tc>
        <w:tc>
          <w:tcPr>
            <w:tcW w:type="dxa" w:w="2045"/>
            <w:vAlign w:val="center"/>
          </w:tcPr>
          <w:p>
            <w:pPr>
              <w:spacing w:after="0"/>
            </w:pPr>
            <w:r/>
            <w:r>
              <w:rPr>
                <w:b w:val="0"/>
                <w:sz w:val="14"/>
              </w:rPr>
              <w:t>A historical import always uses the rate applicable to its tax point/sector under the active rules.</w:t>
            </w:r>
          </w:p>
        </w:tc>
      </w:tr>
      <w:tr>
        <w:tc>
          <w:tcPr>
            <w:tcW w:type="dxa" w:w="2045"/>
            <w:vAlign w:val="center"/>
            <w:shd w:fill="EAF1F8"/>
          </w:tcPr>
          <w:p>
            <w:pPr>
              <w:spacing w:after="0"/>
            </w:pPr>
            <w:r/>
            <w:r>
              <w:rPr>
                <w:b w:val="0"/>
                <w:sz w:val="14"/>
              </w:rPr>
              <w:t>R3-002</w:t>
            </w:r>
          </w:p>
        </w:tc>
        <w:tc>
          <w:tcPr>
            <w:tcW w:type="dxa" w:w="2045"/>
            <w:vAlign w:val="center"/>
          </w:tcPr>
          <w:p>
            <w:pPr>
              <w:spacing w:after="0"/>
            </w:pPr>
            <w:r/>
            <w:r>
              <w:rPr>
                <w:b w:val="0"/>
                <w:sz w:val="14"/>
              </w:rPr>
              <w:t>Embedded-emissions calculator</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embodied emissions from applicable weight, emissions intensity and precursor components.</w:t>
            </w:r>
          </w:p>
        </w:tc>
        <w:tc>
          <w:tcPr>
            <w:tcW w:type="dxa" w:w="2045"/>
            <w:vAlign w:val="center"/>
          </w:tcPr>
          <w:p>
            <w:pPr>
              <w:spacing w:after="0"/>
            </w:pPr>
            <w:r/>
            <w:r>
              <w:rPr>
                <w:b w:val="0"/>
                <w:sz w:val="14"/>
              </w:rPr>
              <w:t>Calculation output exactly reproduces approved fixture results and shows each operand.</w:t>
            </w:r>
          </w:p>
        </w:tc>
      </w:tr>
      <w:tr>
        <w:tc>
          <w:tcPr>
            <w:tcW w:type="dxa" w:w="2045"/>
            <w:vAlign w:val="center"/>
            <w:shd w:fill="EAF1F8"/>
          </w:tcPr>
          <w:p>
            <w:pPr>
              <w:spacing w:after="0"/>
            </w:pPr>
            <w:r/>
            <w:r>
              <w:rPr>
                <w:b w:val="0"/>
                <w:sz w:val="14"/>
              </w:rPr>
              <w:t>R3-003</w:t>
            </w:r>
          </w:p>
        </w:tc>
        <w:tc>
          <w:tcPr>
            <w:tcW w:type="dxa" w:w="2045"/>
            <w:vAlign w:val="center"/>
          </w:tcPr>
          <w:p>
            <w:pPr>
              <w:spacing w:after="0"/>
            </w:pPr>
            <w:r/>
            <w:r>
              <w:rPr>
                <w:b w:val="0"/>
                <w:sz w:val="14"/>
              </w:rPr>
              <w:t>Weight and rounding</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Apply legal weight units/rounding, evidence rules and prescribed rounding at each applicable stage.</w:t>
            </w:r>
          </w:p>
        </w:tc>
        <w:tc>
          <w:tcPr>
            <w:tcW w:type="dxa" w:w="2045"/>
            <w:vAlign w:val="center"/>
          </w:tcPr>
          <w:p>
            <w:pPr>
              <w:spacing w:after="0"/>
            </w:pPr>
            <w:r/>
            <w:r>
              <w:rPr>
                <w:b w:val="0"/>
                <w:sz w:val="14"/>
              </w:rPr>
              <w:t>Calculation tests cover fractional kg values and rounding edge cases.</w:t>
            </w:r>
          </w:p>
        </w:tc>
      </w:tr>
      <w:tr>
        <w:tc>
          <w:tcPr>
            <w:tcW w:type="dxa" w:w="2045"/>
            <w:vAlign w:val="center"/>
            <w:shd w:fill="EAF1F8"/>
          </w:tcPr>
          <w:p>
            <w:pPr>
              <w:spacing w:after="0"/>
            </w:pPr>
            <w:r/>
            <w:r>
              <w:rPr>
                <w:b w:val="0"/>
                <w:sz w:val="14"/>
              </w:rPr>
              <w:t>R3-004</w:t>
            </w:r>
          </w:p>
        </w:tc>
        <w:tc>
          <w:tcPr>
            <w:tcW w:type="dxa" w:w="2045"/>
            <w:vAlign w:val="center"/>
          </w:tcPr>
          <w:p>
            <w:pPr>
              <w:spacing w:after="0"/>
            </w:pPr>
            <w:r/>
            <w:r>
              <w:rPr>
                <w:b w:val="0"/>
                <w:sz w:val="14"/>
              </w:rPr>
              <w:t>CPR calculation engine</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CPR per qualifying carbon-price scheme, including free allowances, thresholds, graduated pricing, removals and compensation treatment.</w:t>
            </w:r>
          </w:p>
        </w:tc>
        <w:tc>
          <w:tcPr>
            <w:tcW w:type="dxa" w:w="2045"/>
            <w:vAlign w:val="center"/>
          </w:tcPr>
          <w:p>
            <w:pPr>
              <w:spacing w:after="0"/>
            </w:pPr>
            <w:r/>
            <w:r>
              <w:rPr>
                <w:b w:val="0"/>
                <w:sz w:val="14"/>
              </w:rPr>
              <w:t>Each scheme produces an independently traceable relief result.</w:t>
            </w:r>
          </w:p>
        </w:tc>
      </w:tr>
      <w:tr>
        <w:tc>
          <w:tcPr>
            <w:tcW w:type="dxa" w:w="2045"/>
            <w:vAlign w:val="center"/>
            <w:shd w:fill="EAF1F8"/>
          </w:tcPr>
          <w:p>
            <w:pPr>
              <w:spacing w:after="0"/>
            </w:pPr>
            <w:r/>
            <w:r>
              <w:rPr>
                <w:b w:val="0"/>
                <w:sz w:val="14"/>
              </w:rPr>
              <w:t>R3-005</w:t>
            </w:r>
          </w:p>
        </w:tc>
        <w:tc>
          <w:tcPr>
            <w:tcW w:type="dxa" w:w="2045"/>
            <w:vAlign w:val="center"/>
          </w:tcPr>
          <w:p>
            <w:pPr>
              <w:spacing w:after="0"/>
            </w:pPr>
            <w:r/>
            <w:r>
              <w:rPr>
                <w:b w:val="0"/>
                <w:sz w:val="14"/>
              </w:rPr>
              <w:t>FX calculation</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Apply the applicable previous-quarter GBP exchange rate and round relief down to two decimal places.</w:t>
            </w:r>
          </w:p>
        </w:tc>
        <w:tc>
          <w:tcPr>
            <w:tcW w:type="dxa" w:w="2045"/>
            <w:vAlign w:val="center"/>
          </w:tcPr>
          <w:p>
            <w:pPr>
              <w:spacing w:after="0"/>
            </w:pPr>
            <w:r/>
            <w:r>
              <w:rPr>
                <w:b w:val="0"/>
                <w:sz w:val="14"/>
              </w:rPr>
              <w:t>FX fixture matches expected GBP conversion and rounding.</w:t>
            </w:r>
          </w:p>
        </w:tc>
      </w:tr>
      <w:tr>
        <w:tc>
          <w:tcPr>
            <w:tcW w:type="dxa" w:w="2045"/>
            <w:vAlign w:val="center"/>
            <w:shd w:fill="EAF1F8"/>
          </w:tcPr>
          <w:p>
            <w:pPr>
              <w:spacing w:after="0"/>
            </w:pPr>
            <w:r/>
            <w:r>
              <w:rPr>
                <w:b w:val="0"/>
                <w:sz w:val="14"/>
              </w:rPr>
              <w:t>R3-006</w:t>
            </w:r>
          </w:p>
        </w:tc>
        <w:tc>
          <w:tcPr>
            <w:tcW w:type="dxa" w:w="2045"/>
            <w:vAlign w:val="center"/>
          </w:tcPr>
          <w:p>
            <w:pPr>
              <w:spacing w:after="0"/>
            </w:pPr>
            <w:r/>
            <w:r>
              <w:rPr>
                <w:b w:val="0"/>
                <w:sz w:val="14"/>
              </w:rPr>
              <w:t>CPR cap / no unconverted relief</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Prevent CPR exceeding CBAM liability and reject relief that lacks required currency conversion/evidence.</w:t>
            </w:r>
          </w:p>
        </w:tc>
        <w:tc>
          <w:tcPr>
            <w:tcW w:type="dxa" w:w="2045"/>
            <w:vAlign w:val="center"/>
          </w:tcPr>
          <w:p>
            <w:pPr>
              <w:spacing w:after="0"/>
            </w:pPr>
            <w:r/>
            <w:r>
              <w:rPr>
                <w:b w:val="0"/>
                <w:sz w:val="14"/>
              </w:rPr>
              <w:t>System blocks over-relief and records the reason.</w:t>
            </w:r>
          </w:p>
        </w:tc>
      </w:tr>
      <w:tr>
        <w:tc>
          <w:tcPr>
            <w:tcW w:type="dxa" w:w="2045"/>
            <w:vAlign w:val="center"/>
            <w:shd w:fill="EAF1F8"/>
          </w:tcPr>
          <w:p>
            <w:pPr>
              <w:spacing w:after="0"/>
            </w:pPr>
            <w:r/>
            <w:r>
              <w:rPr>
                <w:b w:val="0"/>
                <w:sz w:val="14"/>
              </w:rPr>
              <w:t>R3-007</w:t>
            </w:r>
          </w:p>
        </w:tc>
        <w:tc>
          <w:tcPr>
            <w:tcW w:type="dxa" w:w="2045"/>
            <w:vAlign w:val="center"/>
          </w:tcPr>
          <w:p>
            <w:pPr>
              <w:spacing w:after="0"/>
            </w:pPr>
            <w:r/>
            <w:r>
              <w:rPr>
                <w:b w:val="0"/>
                <w:sz w:val="14"/>
              </w:rPr>
              <w:t>Net liability</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gross liability less eligible CPR using only approved R2 inputs and active regulatory reference data.</w:t>
            </w:r>
          </w:p>
        </w:tc>
        <w:tc>
          <w:tcPr>
            <w:tcW w:type="dxa" w:w="2045"/>
            <w:vAlign w:val="center"/>
          </w:tcPr>
          <w:p>
            <w:pPr>
              <w:spacing w:after="0"/>
            </w:pPr>
            <w:r/>
            <w:r>
              <w:rPr>
                <w:b w:val="0"/>
                <w:sz w:val="14"/>
              </w:rPr>
              <w:t>Every pound of liability is traceable to import, emissions, rate and relief inputs.</w:t>
            </w:r>
          </w:p>
        </w:tc>
      </w:tr>
      <w:tr>
        <w:tc>
          <w:tcPr>
            <w:tcW w:type="dxa" w:w="2045"/>
            <w:vAlign w:val="center"/>
            <w:shd w:fill="EAF1F8"/>
          </w:tcPr>
          <w:p>
            <w:pPr>
              <w:spacing w:after="0"/>
            </w:pPr>
            <w:r/>
            <w:r>
              <w:rPr>
                <w:b w:val="0"/>
                <w:sz w:val="14"/>
              </w:rPr>
              <w:t>R3-008</w:t>
            </w:r>
          </w:p>
        </w:tc>
        <w:tc>
          <w:tcPr>
            <w:tcW w:type="dxa" w:w="2045"/>
            <w:vAlign w:val="center"/>
          </w:tcPr>
          <w:p>
            <w:pPr>
              <w:spacing w:after="0"/>
            </w:pPr>
            <w:r/>
            <w:r>
              <w:rPr>
                <w:b w:val="0"/>
                <w:sz w:val="14"/>
              </w:rPr>
              <w:t>Return line builder</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Create return lines at the required consignment/goods granularity with code, weight, emissions intensity/default, carbon price, period and origin.</w:t>
            </w:r>
          </w:p>
        </w:tc>
        <w:tc>
          <w:tcPr>
            <w:tcW w:type="dxa" w:w="2045"/>
            <w:vAlign w:val="center"/>
          </w:tcPr>
          <w:p>
            <w:pPr>
              <w:spacing w:after="0"/>
            </w:pPr>
            <w:r/>
            <w:r>
              <w:rPr>
                <w:b w:val="0"/>
                <w:sz w:val="14"/>
              </w:rPr>
              <w:t>Return preview reconciles to import ledger and calculation totals.</w:t>
            </w:r>
          </w:p>
        </w:tc>
      </w:tr>
      <w:tr>
        <w:tc>
          <w:tcPr>
            <w:tcW w:type="dxa" w:w="2045"/>
            <w:vAlign w:val="center"/>
            <w:shd w:fill="EAF1F8"/>
          </w:tcPr>
          <w:p>
            <w:pPr>
              <w:spacing w:after="0"/>
            </w:pPr>
            <w:r/>
            <w:r>
              <w:rPr>
                <w:b w:val="0"/>
                <w:sz w:val="14"/>
              </w:rPr>
              <w:t>R3-009</w:t>
            </w:r>
          </w:p>
        </w:tc>
        <w:tc>
          <w:tcPr>
            <w:tcW w:type="dxa" w:w="2045"/>
            <w:vAlign w:val="center"/>
          </w:tcPr>
          <w:p>
            <w:pPr>
              <w:spacing w:after="0"/>
            </w:pPr>
            <w:r/>
            <w:r>
              <w:rPr>
                <w:b w:val="0"/>
                <w:sz w:val="14"/>
              </w:rPr>
              <w:t>Nil returns</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Support nil returns where required and maintain reminder tasks.</w:t>
            </w:r>
          </w:p>
        </w:tc>
        <w:tc>
          <w:tcPr>
            <w:tcW w:type="dxa" w:w="2045"/>
            <w:vAlign w:val="center"/>
          </w:tcPr>
          <w:p>
            <w:pPr>
              <w:spacing w:after="0"/>
            </w:pPr>
            <w:r/>
            <w:r>
              <w:rPr>
                <w:b w:val="0"/>
                <w:sz w:val="14"/>
              </w:rPr>
              <w:t>A nil return can be drafted, approved and tracked without being treated as “no return needed”.</w:t>
            </w:r>
          </w:p>
        </w:tc>
      </w:tr>
      <w:tr>
        <w:tc>
          <w:tcPr>
            <w:tcW w:type="dxa" w:w="2045"/>
            <w:vAlign w:val="center"/>
            <w:shd w:fill="EAF1F8"/>
          </w:tcPr>
          <w:p>
            <w:pPr>
              <w:spacing w:after="0"/>
            </w:pPr>
            <w:r/>
            <w:r>
              <w:rPr>
                <w:b w:val="0"/>
                <w:sz w:val="14"/>
              </w:rPr>
              <w:t>R3-010</w:t>
            </w:r>
          </w:p>
        </w:tc>
        <w:tc>
          <w:tcPr>
            <w:tcW w:type="dxa" w:w="2045"/>
            <w:vAlign w:val="center"/>
          </w:tcPr>
          <w:p>
            <w:pPr>
              <w:spacing w:after="0"/>
            </w:pPr>
            <w:r/>
            <w:r>
              <w:rPr>
                <w:b w:val="0"/>
                <w:sz w:val="14"/>
              </w:rPr>
              <w:t>Approval workflow</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Implement configurable client approval workflow; handbook names SAO, but statutory CBAM approver role remains configurable until legally confirmed.</w:t>
            </w:r>
          </w:p>
        </w:tc>
        <w:tc>
          <w:tcPr>
            <w:tcW w:type="dxa" w:w="2045"/>
            <w:vAlign w:val="center"/>
          </w:tcPr>
          <w:p>
            <w:pPr>
              <w:spacing w:after="0"/>
            </w:pPr>
            <w:r/>
            <w:r>
              <w:rPr>
                <w:b w:val="0"/>
                <w:sz w:val="14"/>
              </w:rPr>
              <w:t>Approval requires authorised user, timestamp and immutable audit event.</w:t>
            </w:r>
          </w:p>
        </w:tc>
      </w:tr>
      <w:tr>
        <w:tc>
          <w:tcPr>
            <w:tcW w:type="dxa" w:w="2045"/>
            <w:vAlign w:val="center"/>
            <w:shd w:fill="EAF1F8"/>
          </w:tcPr>
          <w:p>
            <w:pPr>
              <w:spacing w:after="0"/>
            </w:pPr>
            <w:r/>
            <w:r>
              <w:rPr>
                <w:b w:val="0"/>
                <w:sz w:val="14"/>
              </w:rPr>
              <w:t>R3-011</w:t>
            </w:r>
          </w:p>
        </w:tc>
        <w:tc>
          <w:tcPr>
            <w:tcW w:type="dxa" w:w="2045"/>
            <w:vAlign w:val="center"/>
          </w:tcPr>
          <w:p>
            <w:pPr>
              <w:spacing w:after="0"/>
            </w:pPr>
            <w:r/>
            <w:r>
              <w:rPr>
                <w:b w:val="0"/>
                <w:sz w:val="14"/>
              </w:rPr>
              <w:t>HMRC submission adapter</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Integrate with the confirmed HMRC digital submission mechanism once the interface/specification is available; until then provide filing-ready payload/export.</w:t>
            </w:r>
          </w:p>
        </w:tc>
        <w:tc>
          <w:tcPr>
            <w:tcW w:type="dxa" w:w="2045"/>
            <w:vAlign w:val="center"/>
          </w:tcPr>
          <w:p>
            <w:pPr>
              <w:spacing w:after="0"/>
            </w:pPr>
            <w:r/>
            <w:r>
              <w:rPr>
                <w:b w:val="0"/>
                <w:sz w:val="14"/>
              </w:rPr>
              <w:t>Submission adapter is versioned and cannot fabricate an unsupported HMRC API.</w:t>
            </w:r>
          </w:p>
        </w:tc>
      </w:tr>
      <w:tr>
        <w:tc>
          <w:tcPr>
            <w:tcW w:type="dxa" w:w="2045"/>
            <w:vAlign w:val="center"/>
            <w:shd w:fill="EAF1F8"/>
          </w:tcPr>
          <w:p>
            <w:pPr>
              <w:spacing w:after="0"/>
            </w:pPr>
            <w:r/>
            <w:r>
              <w:rPr>
                <w:b w:val="0"/>
                <w:sz w:val="14"/>
              </w:rPr>
              <w:t>R3-012</w:t>
            </w:r>
          </w:p>
        </w:tc>
        <w:tc>
          <w:tcPr>
            <w:tcW w:type="dxa" w:w="2045"/>
            <w:vAlign w:val="center"/>
          </w:tcPr>
          <w:p>
            <w:pPr>
              <w:spacing w:after="0"/>
            </w:pPr>
            <w:r/>
            <w:r>
              <w:rPr>
                <w:b w:val="0"/>
                <w:sz w:val="14"/>
              </w:rPr>
              <w:t>Payment tracking</w:t>
            </w:r>
          </w:p>
        </w:tc>
        <w:tc>
          <w:tcPr>
            <w:tcW w:type="dxa" w:w="2045"/>
            <w:vAlign w:val="center"/>
          </w:tcPr>
          <w:p>
            <w:pPr>
              <w:spacing w:after="0"/>
            </w:pPr>
            <w:r/>
            <w:r>
              <w:rPr>
                <w:b w:val="0"/>
                <w:sz w:val="14"/>
              </w:rPr>
              <w:t>R3 / P1</w:t>
            </w:r>
          </w:p>
        </w:tc>
        <w:tc>
          <w:tcPr>
            <w:tcW w:type="dxa" w:w="2045"/>
            <w:vAlign w:val="center"/>
          </w:tcPr>
          <w:p>
            <w:pPr>
              <w:spacing w:after="0"/>
            </w:pPr>
            <w:r/>
            <w:r>
              <w:rPr>
                <w:b w:val="0"/>
                <w:sz w:val="14"/>
              </w:rPr>
              <w:t>Track payment amount, date, method, reference, status and reconciliation for supported payment methods.</w:t>
            </w:r>
          </w:p>
        </w:tc>
        <w:tc>
          <w:tcPr>
            <w:tcW w:type="dxa" w:w="2045"/>
            <w:vAlign w:val="center"/>
          </w:tcPr>
          <w:p>
            <w:pPr>
              <w:spacing w:after="0"/>
            </w:pPr>
            <w:r/>
            <w:r>
              <w:rPr>
                <w:b w:val="0"/>
                <w:sz w:val="14"/>
              </w:rPr>
              <w:t>Payment ledger reconciles to approved return amount.</w:t>
            </w:r>
          </w:p>
        </w:tc>
      </w:tr>
      <w:tr>
        <w:tc>
          <w:tcPr>
            <w:tcW w:type="dxa" w:w="2045"/>
            <w:vAlign w:val="center"/>
            <w:shd w:fill="EAF1F8"/>
          </w:tcPr>
          <w:p>
            <w:pPr>
              <w:spacing w:after="0"/>
            </w:pPr>
            <w:r/>
            <w:r>
              <w:rPr>
                <w:b w:val="0"/>
                <w:sz w:val="14"/>
              </w:rPr>
              <w:t>R3-013</w:t>
            </w:r>
          </w:p>
        </w:tc>
        <w:tc>
          <w:tcPr>
            <w:tcW w:type="dxa" w:w="2045"/>
            <w:vAlign w:val="center"/>
          </w:tcPr>
          <w:p>
            <w:pPr>
              <w:spacing w:after="0"/>
            </w:pPr>
            <w:r/>
            <w:r>
              <w:rPr>
                <w:b w:val="0"/>
                <w:sz w:val="14"/>
              </w:rPr>
              <w:t>Amendments</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Create versioned amendments only for allowed corrections; preserve original return and reason.</w:t>
            </w:r>
          </w:p>
        </w:tc>
        <w:tc>
          <w:tcPr>
            <w:tcW w:type="dxa" w:w="2045"/>
            <w:vAlign w:val="center"/>
          </w:tcPr>
          <w:p>
            <w:pPr>
              <w:spacing w:after="0"/>
            </w:pPr>
            <w:r/>
            <w:r>
              <w:rPr>
                <w:b w:val="0"/>
                <w:sz w:val="14"/>
              </w:rPr>
              <w:t>Original cannot be overwritten; amendment shows before/after values and regulatory basis.</w:t>
            </w:r>
          </w:p>
        </w:tc>
      </w:tr>
      <w:tr>
        <w:tc>
          <w:tcPr>
            <w:tcW w:type="dxa" w:w="2045"/>
            <w:vAlign w:val="center"/>
            <w:shd w:fill="EAF1F8"/>
          </w:tcPr>
          <w:p>
            <w:pPr>
              <w:spacing w:after="0"/>
            </w:pPr>
            <w:r/>
            <w:r>
              <w:rPr>
                <w:b w:val="0"/>
                <w:sz w:val="14"/>
              </w:rPr>
              <w:t>R3-014</w:t>
            </w:r>
          </w:p>
        </w:tc>
        <w:tc>
          <w:tcPr>
            <w:tcW w:type="dxa" w:w="2045"/>
            <w:vAlign w:val="center"/>
          </w:tcPr>
          <w:p>
            <w:pPr>
              <w:spacing w:after="0"/>
            </w:pPr>
            <w:r/>
            <w:r>
              <w:rPr>
                <w:b w:val="0"/>
                <w:sz w:val="14"/>
              </w:rPr>
              <w:t>Default hard locks</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Prevent unauthorised replacement of legally required defaults; implement the rule that an amendment cannot simply replace a default-value emissions figure with later actual data where prohibited.</w:t>
            </w:r>
          </w:p>
        </w:tc>
        <w:tc>
          <w:tcPr>
            <w:tcW w:type="dxa" w:w="2045"/>
            <w:vAlign w:val="center"/>
          </w:tcPr>
          <w:p>
            <w:pPr>
              <w:spacing w:after="0"/>
            </w:pPr>
            <w:r/>
            <w:r>
              <w:rPr>
                <w:b w:val="0"/>
                <w:sz w:val="14"/>
              </w:rPr>
              <w:t>Attempted forbidden conversion is blocked and logged.</w:t>
            </w:r>
          </w:p>
        </w:tc>
      </w:tr>
      <w:tr>
        <w:tc>
          <w:tcPr>
            <w:tcW w:type="dxa" w:w="2045"/>
            <w:vAlign w:val="center"/>
            <w:shd w:fill="EAF1F8"/>
          </w:tcPr>
          <w:p>
            <w:pPr>
              <w:spacing w:after="0"/>
            </w:pPr>
            <w:r/>
            <w:r>
              <w:rPr>
                <w:b w:val="0"/>
                <w:sz w:val="14"/>
              </w:rPr>
              <w:t>R3-015</w:t>
            </w:r>
          </w:p>
        </w:tc>
        <w:tc>
          <w:tcPr>
            <w:tcW w:type="dxa" w:w="2045"/>
            <w:vAlign w:val="center"/>
          </w:tcPr>
          <w:p>
            <w:pPr>
              <w:spacing w:after="0"/>
            </w:pPr>
            <w:r/>
            <w:r>
              <w:rPr>
                <w:b w:val="0"/>
                <w:sz w:val="14"/>
              </w:rPr>
              <w:t>Repayment claims</w:t>
            </w:r>
          </w:p>
        </w:tc>
        <w:tc>
          <w:tcPr>
            <w:tcW w:type="dxa" w:w="2045"/>
            <w:vAlign w:val="center"/>
          </w:tcPr>
          <w:p>
            <w:pPr>
              <w:spacing w:after="0"/>
            </w:pPr>
            <w:r/>
            <w:r>
              <w:rPr>
                <w:b w:val="0"/>
                <w:sz w:val="14"/>
              </w:rPr>
              <w:t>R3 / P1</w:t>
            </w:r>
          </w:p>
        </w:tc>
        <w:tc>
          <w:tcPr>
            <w:tcW w:type="dxa" w:w="2045"/>
            <w:vAlign w:val="center"/>
          </w:tcPr>
          <w:p>
            <w:pPr>
              <w:spacing w:after="0"/>
            </w:pPr>
            <w:r/>
            <w:r>
              <w:rPr>
                <w:b w:val="0"/>
                <w:sz w:val="14"/>
              </w:rPr>
              <w:t>Support repayment request, three-year window, unjust-enrichment/reimbursement evidence and decision tracking.</w:t>
            </w:r>
          </w:p>
        </w:tc>
        <w:tc>
          <w:tcPr>
            <w:tcW w:type="dxa" w:w="2045"/>
            <w:vAlign w:val="center"/>
          </w:tcPr>
          <w:p>
            <w:pPr>
              <w:spacing w:after="0"/>
            </w:pPr>
            <w:r/>
            <w:r>
              <w:rPr>
                <w:b w:val="0"/>
                <w:sz w:val="14"/>
              </w:rPr>
              <w:t>Claim cannot proceed without eligibility evidence and reimbursement fields where required.</w:t>
            </w:r>
          </w:p>
        </w:tc>
      </w:tr>
      <w:tr>
        <w:tc>
          <w:tcPr>
            <w:tcW w:type="dxa" w:w="2045"/>
            <w:vAlign w:val="center"/>
            <w:shd w:fill="EAF1F8"/>
          </w:tcPr>
          <w:p>
            <w:pPr>
              <w:spacing w:after="0"/>
            </w:pPr>
            <w:r/>
            <w:r>
              <w:rPr>
                <w:b w:val="0"/>
                <w:sz w:val="14"/>
              </w:rPr>
              <w:t>R3-016</w:t>
            </w:r>
          </w:p>
        </w:tc>
        <w:tc>
          <w:tcPr>
            <w:tcW w:type="dxa" w:w="2045"/>
            <w:vAlign w:val="center"/>
          </w:tcPr>
          <w:p>
            <w:pPr>
              <w:spacing w:after="0"/>
            </w:pPr>
            <w:r/>
            <w:r>
              <w:rPr>
                <w:b w:val="0"/>
                <w:sz w:val="14"/>
              </w:rPr>
              <w:t>Penalty and interest ledger</w:t>
            </w:r>
          </w:p>
        </w:tc>
        <w:tc>
          <w:tcPr>
            <w:tcW w:type="dxa" w:w="2045"/>
            <w:vAlign w:val="center"/>
          </w:tcPr>
          <w:p>
            <w:pPr>
              <w:spacing w:after="0"/>
            </w:pPr>
            <w:r/>
            <w:r>
              <w:rPr>
                <w:b w:val="0"/>
                <w:sz w:val="14"/>
              </w:rPr>
              <w:t>R3 / P1</w:t>
            </w:r>
          </w:p>
        </w:tc>
        <w:tc>
          <w:tcPr>
            <w:tcW w:type="dxa" w:w="2045"/>
            <w:vAlign w:val="center"/>
          </w:tcPr>
          <w:p>
            <w:pPr>
              <w:spacing w:after="0"/>
            </w:pPr>
            <w:r/>
            <w:r>
              <w:rPr>
                <w:b w:val="0"/>
                <w:sz w:val="14"/>
              </w:rPr>
              <w:t>Track penalties, assessments, late-payment interest, notices, payments and disputes; do not hard-code interest rates.</w:t>
            </w:r>
          </w:p>
        </w:tc>
        <w:tc>
          <w:tcPr>
            <w:tcW w:type="dxa" w:w="2045"/>
            <w:vAlign w:val="center"/>
          </w:tcPr>
          <w:p>
            <w:pPr>
              <w:spacing w:after="0"/>
            </w:pPr>
            <w:r/>
            <w:r>
              <w:rPr>
                <w:b w:val="0"/>
                <w:sz w:val="14"/>
              </w:rPr>
              <w:t>A notice can be linked to the affected return and regulatory version.</w:t>
            </w:r>
          </w:p>
        </w:tc>
      </w:tr>
      <w:tr>
        <w:tc>
          <w:tcPr>
            <w:tcW w:type="dxa" w:w="2045"/>
            <w:vAlign w:val="center"/>
            <w:shd w:fill="EAF1F8"/>
          </w:tcPr>
          <w:p>
            <w:pPr>
              <w:spacing w:after="0"/>
            </w:pPr>
            <w:r/>
            <w:r>
              <w:rPr>
                <w:b w:val="0"/>
                <w:sz w:val="14"/>
              </w:rPr>
              <w:t>R3-017</w:t>
            </w:r>
          </w:p>
        </w:tc>
        <w:tc>
          <w:tcPr>
            <w:tcW w:type="dxa" w:w="2045"/>
            <w:vAlign w:val="center"/>
          </w:tcPr>
          <w:p>
            <w:pPr>
              <w:spacing w:after="0"/>
            </w:pPr>
            <w:r/>
            <w:r>
              <w:rPr>
                <w:b w:val="0"/>
                <w:sz w:val="14"/>
              </w:rPr>
              <w:t>Evidence pack</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Generate a six-year auditable evidence pack containing source docs, calculations, approvals, filings and reference-data versions.</w:t>
            </w:r>
          </w:p>
        </w:tc>
        <w:tc>
          <w:tcPr>
            <w:tcW w:type="dxa" w:w="2045"/>
            <w:vAlign w:val="center"/>
          </w:tcPr>
          <w:p>
            <w:pPr>
              <w:spacing w:after="0"/>
            </w:pPr>
            <w:r/>
            <w:r>
              <w:rPr>
                <w:b w:val="0"/>
                <w:sz w:val="14"/>
              </w:rPr>
              <w:t>One click produces a deterministic pack for an HMRC query/audit request.</w:t>
            </w:r>
          </w:p>
        </w:tc>
      </w:tr>
      <w:tr>
        <w:tc>
          <w:tcPr>
            <w:tcW w:type="dxa" w:w="2045"/>
            <w:vAlign w:val="center"/>
            <w:shd w:fill="EAF1F8"/>
          </w:tcPr>
          <w:p>
            <w:pPr>
              <w:spacing w:after="0"/>
            </w:pPr>
            <w:r/>
            <w:r>
              <w:rPr>
                <w:b w:val="0"/>
                <w:sz w:val="14"/>
              </w:rPr>
              <w:t>R3-018</w:t>
            </w:r>
          </w:p>
        </w:tc>
        <w:tc>
          <w:tcPr>
            <w:tcW w:type="dxa" w:w="2045"/>
            <w:vAlign w:val="center"/>
          </w:tcPr>
          <w:p>
            <w:pPr>
              <w:spacing w:after="0"/>
            </w:pPr>
            <w:r/>
            <w:r>
              <w:rPr>
                <w:b w:val="0"/>
                <w:sz w:val="14"/>
              </w:rPr>
              <w:t>Historical reproducibility</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Recalculate/view a historical result using the exact regulatory versions and approved source inputs that were used at the time.</w:t>
            </w:r>
          </w:p>
        </w:tc>
        <w:tc>
          <w:tcPr>
            <w:tcW w:type="dxa" w:w="2045"/>
            <w:vAlign w:val="center"/>
          </w:tcPr>
          <w:p>
            <w:pPr>
              <w:spacing w:after="0"/>
            </w:pPr>
            <w:r/>
            <w:r>
              <w:rPr>
                <w:b w:val="0"/>
                <w:sz w:val="14"/>
              </w:rPr>
              <w:t>Changing today's rules does not alter a previously approved return result.</w:t>
            </w:r>
          </w:p>
        </w:tc>
      </w:tr>
    </w:tbl>
    <w:p>
      <w:pPr>
        <w:spacing w:after="40"/>
      </w:pPr>
    </w:p>
    <w:p>
      <w:pPr>
        <w:pStyle w:val="Heading1"/>
        <w:keepNext/>
      </w:pPr>
      <w:r>
        <w:t>9. Regulatory edge cases the product must explicitly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Topic</w:t>
            </w:r>
          </w:p>
        </w:tc>
        <w:tc>
          <w:tcPr>
            <w:tcW w:type="dxa" w:w="3408"/>
            <w:vAlign w:val="center"/>
            <w:shd w:fill="17365D"/>
          </w:tcPr>
          <w:p>
            <w:pPr>
              <w:spacing w:after="0"/>
            </w:pPr>
            <w:r/>
            <w:r>
              <w:rPr>
                <w:b/>
                <w:color w:val="FFFFFF"/>
                <w:sz w:val="14"/>
              </w:rPr>
              <w:t>Required behaviour</w:t>
            </w:r>
          </w:p>
        </w:tc>
        <w:tc>
          <w:tcPr>
            <w:tcW w:type="dxa" w:w="3408"/>
            <w:vAlign w:val="center"/>
            <w:shd w:fill="17365D"/>
          </w:tcPr>
          <w:p>
            <w:pPr>
              <w:spacing w:after="0"/>
            </w:pPr>
            <w:r/>
            <w:r>
              <w:rPr>
                <w:b/>
                <w:color w:val="FFFFFF"/>
                <w:sz w:val="14"/>
              </w:rPr>
              <w:t>Release</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Do not treat as a permanent exemption. Track the tax-point lifecycle; goods exported before the relevant tax point may fall outside UK CBAM, while later release can create liability.</w:t>
            </w:r>
          </w:p>
        </w:tc>
        <w:tc>
          <w:tcPr>
            <w:tcW w:type="dxa" w:w="3408"/>
            <w:vAlign w:val="center"/>
          </w:tcPr>
          <w:p>
            <w:pPr>
              <w:spacing w:after="0"/>
            </w:pPr>
            <w:r/>
            <w:r>
              <w:rPr>
                <w:b w:val="0"/>
                <w:sz w:val="14"/>
              </w:rPr>
              <w:t>R1 skeleton; R3 complete</w:t>
            </w:r>
          </w:p>
        </w:tc>
      </w:tr>
      <w:tr>
        <w:tc>
          <w:tcPr>
            <w:tcW w:type="dxa" w:w="3408"/>
            <w:vAlign w:val="center"/>
            <w:shd w:fill="EAF1F8"/>
          </w:tcPr>
          <w:p>
            <w:pPr>
              <w:spacing w:after="0"/>
            </w:pPr>
            <w:r/>
            <w:r>
              <w:rPr>
                <w:b w:val="0"/>
                <w:sz w:val="14"/>
              </w:rPr>
              <w:t>Northern Ireland / Crown Dependencies</w:t>
            </w:r>
          </w:p>
        </w:tc>
        <w:tc>
          <w:tcPr>
            <w:tcW w:type="dxa" w:w="3408"/>
            <w:vAlign w:val="center"/>
          </w:tcPr>
          <w:p>
            <w:pPr>
              <w:spacing w:after="0"/>
            </w:pPr>
            <w:r/>
            <w:r>
              <w:rPr>
                <w:b w:val="0"/>
                <w:sz w:val="14"/>
              </w:rPr>
              <w:t>Store jurisdiction and customs movement facts; apply scope/tax rules via reference data.</w:t>
            </w:r>
          </w:p>
        </w:tc>
        <w:tc>
          <w:tcPr>
            <w:tcW w:type="dxa" w:w="3408"/>
            <w:vAlign w:val="center"/>
          </w:tcPr>
          <w:p>
            <w:pPr>
              <w:spacing w:after="0"/>
            </w:pPr>
            <w:r/>
            <w:r>
              <w:rPr>
                <w:b w:val="0"/>
                <w:sz w:val="14"/>
              </w:rPr>
              <w:t>R1</w:t>
            </w:r>
          </w:p>
        </w:tc>
      </w:tr>
      <w:tr>
        <w:tc>
          <w:tcPr>
            <w:tcW w:type="dxa" w:w="3408"/>
            <w:vAlign w:val="center"/>
            <w:shd w:fill="EAF1F8"/>
          </w:tcPr>
          <w:p>
            <w:pPr>
              <w:spacing w:after="0"/>
            </w:pPr>
            <w:r/>
            <w:r>
              <w:rPr>
                <w:b w:val="0"/>
                <w:sz w:val="14"/>
              </w:rPr>
              <w:t>Importer vs declarant</w:t>
            </w:r>
          </w:p>
        </w:tc>
        <w:tc>
          <w:tcPr>
            <w:tcW w:type="dxa" w:w="3408"/>
            <w:vAlign w:val="center"/>
          </w:tcPr>
          <w:p>
            <w:pPr>
              <w:spacing w:after="0"/>
            </w:pPr>
            <w:r/>
            <w:r>
              <w:rPr>
                <w:b w:val="0"/>
                <w:sz w:val="14"/>
              </w:rPr>
              <w:t>Keep importer legally separate from customs declarant/agent.</w:t>
            </w:r>
          </w:p>
        </w:tc>
        <w:tc>
          <w:tcPr>
            <w:tcW w:type="dxa" w:w="3408"/>
            <w:vAlign w:val="center"/>
          </w:tcPr>
          <w:p>
            <w:pPr>
              <w:spacing w:after="0"/>
            </w:pPr>
            <w:r/>
            <w:r>
              <w:rPr>
                <w:b w:val="0"/>
                <w:sz w:val="14"/>
              </w:rPr>
              <w:t>R1</w:t>
            </w:r>
          </w:p>
        </w:tc>
      </w:tr>
      <w:tr>
        <w:tc>
          <w:tcPr>
            <w:tcW w:type="dxa" w:w="3408"/>
            <w:vAlign w:val="center"/>
            <w:shd w:fill="EAF1F8"/>
          </w:tcPr>
          <w:p>
            <w:pPr>
              <w:spacing w:after="0"/>
            </w:pPr>
            <w:r/>
            <w:r>
              <w:rPr>
                <w:b w:val="0"/>
                <w:sz w:val="14"/>
              </w:rPr>
              <w:t>Artificial business separation</w:t>
            </w:r>
          </w:p>
        </w:tc>
        <w:tc>
          <w:tcPr>
            <w:tcW w:type="dxa" w:w="3408"/>
            <w:vAlign w:val="center"/>
          </w:tcPr>
          <w:p>
            <w:pPr>
              <w:spacing w:after="0"/>
            </w:pPr>
            <w:r/>
            <w:r>
              <w:rPr>
                <w:b w:val="0"/>
                <w:sz w:val="14"/>
              </w:rPr>
              <w:t>Maintain connected-entity/business structure and an alert/review path for potential artificial separation intended to avoid CBAM.</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Deregistration</w:t>
            </w:r>
          </w:p>
        </w:tc>
        <w:tc>
          <w:tcPr>
            <w:tcW w:type="dxa" w:w="3408"/>
            <w:vAlign w:val="center"/>
          </w:tcPr>
          <w:p>
            <w:pPr>
              <w:spacing w:after="0"/>
            </w:pPr>
            <w:r/>
            <w:r>
              <w:rPr>
                <w:b w:val="0"/>
                <w:sz w:val="14"/>
              </w:rPr>
              <w:t>Support eligibility review, outstanding-return/block flags and historical retention.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Death/incapacity/insolvency</w:t>
            </w:r>
          </w:p>
        </w:tc>
        <w:tc>
          <w:tcPr>
            <w:tcW w:type="dxa" w:w="3408"/>
            <w:vAlign w:val="center"/>
          </w:tcPr>
          <w:p>
            <w:pPr>
              <w:spacing w:after="0"/>
            </w:pPr>
            <w:r/>
            <w:r>
              <w:rPr>
                <w:b w:val="0"/>
                <w:sz w:val="14"/>
              </w:rPr>
              <w:t>Support controlled handover to successor/office-holder and keep filing/audit continuity.</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Compulsory registration / HMRC assessment</w:t>
            </w:r>
          </w:p>
        </w:tc>
        <w:tc>
          <w:tcPr>
            <w:tcW w:type="dxa" w:w="3408"/>
            <w:vAlign w:val="center"/>
          </w:tcPr>
          <w:p>
            <w:pPr>
              <w:spacing w:after="0"/>
            </w:pPr>
            <w:r/>
            <w:r>
              <w:rPr>
                <w:b w:val="0"/>
                <w:sz w:val="14"/>
              </w:rPr>
              <w:t>Provide case status and notice tracking for HMRC-initiated actions.</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Repayment / unjust enrichment</w:t>
            </w:r>
          </w:p>
        </w:tc>
        <w:tc>
          <w:tcPr>
            <w:tcW w:type="dxa" w:w="3408"/>
            <w:vAlign w:val="center"/>
          </w:tcPr>
          <w:p>
            <w:pPr>
              <w:spacing w:after="0"/>
            </w:pPr>
            <w:r/>
            <w:r>
              <w:rPr>
                <w:b w:val="0"/>
                <w:sz w:val="14"/>
              </w:rPr>
              <w:t>Store claim period, reimbursement evidence and HMRC decision.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Nil return reminders</w:t>
            </w:r>
          </w:p>
        </w:tc>
        <w:tc>
          <w:tcPr>
            <w:tcW w:type="dxa" w:w="3408"/>
            <w:vAlign w:val="center"/>
          </w:tcPr>
          <w:p>
            <w:pPr>
              <w:spacing w:after="0"/>
            </w:pPr>
            <w:r/>
            <w:r>
              <w:rPr>
                <w:b w:val="0"/>
                <w:sz w:val="14"/>
              </w:rPr>
              <w:t>Generate reminders even when liability is nil.</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Verifier rules</w:t>
            </w:r>
          </w:p>
        </w:tc>
        <w:tc>
          <w:tcPr>
            <w:tcW w:type="dxa" w:w="3408"/>
            <w:vAlign w:val="center"/>
          </w:tcPr>
          <w:p>
            <w:pPr>
              <w:spacing w:after="0"/>
            </w:pPr>
            <w:r/>
            <w:r>
              <w:rPr>
                <w:b w:val="0"/>
                <w:sz w:val="14"/>
              </w:rPr>
              <w:t>Store accreditation body, scope, standard, materiality and site visit; CPR has additional standards.</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Qualifying carbon-price schemes</w:t>
            </w:r>
          </w:p>
        </w:tc>
        <w:tc>
          <w:tcPr>
            <w:tcW w:type="dxa" w:w="3408"/>
            <w:vAlign w:val="center"/>
          </w:tcPr>
          <w:p>
            <w:pPr>
              <w:spacing w:after="0"/>
            </w:pPr>
            <w:r/>
            <w:r>
              <w:rPr>
                <w:b w:val="0"/>
                <w:sz w:val="14"/>
              </w:rPr>
              <w:t>Seed a current reference list, allow changes, and keep effective dates/source.</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Future indirect emissions</w:t>
            </w:r>
          </w:p>
        </w:tc>
        <w:tc>
          <w:tcPr>
            <w:tcW w:type="dxa" w:w="3408"/>
            <w:vAlign w:val="center"/>
          </w:tcPr>
          <w:p>
            <w:pPr>
              <w:spacing w:after="0"/>
            </w:pPr>
            <w:r/>
            <w:r>
              <w:rPr>
                <w:b w:val="0"/>
                <w:sz w:val="14"/>
              </w:rPr>
              <w:t>Model DIRECT/INDIRECT at schema level; make applicability effective-dated so indirect can be enabled when law requires.</w:t>
            </w:r>
          </w:p>
        </w:tc>
        <w:tc>
          <w:tcPr>
            <w:tcW w:type="dxa" w:w="3408"/>
            <w:vAlign w:val="center"/>
          </w:tcPr>
          <w:p>
            <w:pPr>
              <w:spacing w:after="0"/>
            </w:pPr>
            <w:r/>
            <w:r>
              <w:rPr>
                <w:b w:val="0"/>
                <w:sz w:val="14"/>
              </w:rPr>
              <w:t>R2</w:t>
            </w:r>
          </w:p>
        </w:tc>
      </w:tr>
    </w:tbl>
    <w:p>
      <w:pPr>
        <w:spacing w:after="40"/>
      </w:pPr>
    </w:p>
    <w:p>
      <w:pPr>
        <w:pStyle w:val="Heading1"/>
        <w:keepNext/>
      </w:pPr>
      <w:r>
        <w:t>10. Recommended domain model</w:t>
      </w:r>
    </w:p>
    <w:p>
      <w:pPr>
        <w:spacing w:after="100" w:line="252" w:lineRule="auto"/>
      </w:pPr>
      <w:r>
        <w:t>The system should be relational and modular. Avoid a single giant “CBAM case” record. The following is the minimum domain shape; table names are indicative.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Domain</w:t>
            </w:r>
          </w:p>
        </w:tc>
        <w:tc>
          <w:tcPr>
            <w:tcW w:type="dxa" w:w="3408"/>
            <w:vAlign w:val="center"/>
            <w:shd w:fill="17365D"/>
          </w:tcPr>
          <w:p>
            <w:pPr>
              <w:spacing w:after="0"/>
            </w:pPr>
            <w:r/>
            <w:r>
              <w:rPr>
                <w:b/>
                <w:color w:val="FFFFFF"/>
                <w:sz w:val="14"/>
              </w:rPr>
              <w:t>Core entities</w:t>
            </w:r>
          </w:p>
        </w:tc>
        <w:tc>
          <w:tcPr>
            <w:tcW w:type="dxa" w:w="3408"/>
            <w:vAlign w:val="center"/>
            <w:shd w:fill="17365D"/>
          </w:tcPr>
          <w:p>
            <w:pPr>
              <w:spacing w:after="0"/>
            </w:pPr>
            <w:r/>
            <w:r>
              <w:rPr>
                <w:b/>
                <w:color w:val="FFFFFF"/>
                <w:sz w:val="14"/>
              </w:rPr>
              <w:t>Important relationships</w:t>
            </w:r>
          </w:p>
        </w:tc>
      </w:tr>
      <w:tr>
        <w:tc>
          <w:tcPr>
            <w:tcW w:type="dxa" w:w="3408"/>
            <w:vAlign w:val="center"/>
            <w:shd w:fill="EAF1F8"/>
          </w:tcPr>
          <w:p>
            <w:pPr>
              <w:spacing w:after="0"/>
            </w:pPr>
            <w:r/>
            <w:r>
              <w:rPr>
                <w:b w:val="0"/>
                <w:sz w:val="14"/>
              </w:rPr>
              <w:t>Organisation</w:t>
            </w:r>
          </w:p>
        </w:tc>
        <w:tc>
          <w:tcPr>
            <w:tcW w:type="dxa" w:w="3408"/>
            <w:vAlign w:val="center"/>
          </w:tcPr>
          <w:p>
            <w:pPr>
              <w:spacing w:after="0"/>
            </w:pPr>
            <w:r/>
            <w:r>
              <w:rPr>
                <w:b w:val="0"/>
                <w:sz w:val="14"/>
              </w:rPr>
              <w:t>tenants, clients, users, roles, permissions, approval_roles</w:t>
            </w:r>
          </w:p>
        </w:tc>
        <w:tc>
          <w:tcPr>
            <w:tcW w:type="dxa" w:w="3408"/>
            <w:vAlign w:val="center"/>
          </w:tcPr>
          <w:p>
            <w:pPr>
              <w:spacing w:after="0"/>
            </w:pPr>
            <w:r/>
            <w:r>
              <w:rPr>
                <w:b w:val="0"/>
                <w:sz w:val="14"/>
              </w:rPr>
              <w:t>All business records tenant-scoped.</w:t>
            </w:r>
          </w:p>
        </w:tc>
      </w:tr>
      <w:tr>
        <w:tc>
          <w:tcPr>
            <w:tcW w:type="dxa" w:w="3408"/>
            <w:vAlign w:val="center"/>
            <w:shd w:fill="EAF1F8"/>
          </w:tcPr>
          <w:p>
            <w:pPr>
              <w:spacing w:after="0"/>
            </w:pPr>
            <w:r/>
            <w:r>
              <w:rPr>
                <w:b w:val="0"/>
                <w:sz w:val="14"/>
              </w:rPr>
              <w:t>Customs</w:t>
            </w:r>
          </w:p>
        </w:tc>
        <w:tc>
          <w:tcPr>
            <w:tcW w:type="dxa" w:w="3408"/>
            <w:vAlign w:val="center"/>
          </w:tcPr>
          <w:p>
            <w:pPr>
              <w:spacing w:after="0"/>
            </w:pPr>
            <w:r/>
            <w:r>
              <w:rPr>
                <w:b w:val="0"/>
                <w:sz w:val="14"/>
              </w:rPr>
              <w:t>imports, declarations, import_lines, shipment_lines</w:t>
            </w:r>
          </w:p>
        </w:tc>
        <w:tc>
          <w:tcPr>
            <w:tcW w:type="dxa" w:w="3408"/>
            <w:vAlign w:val="center"/>
          </w:tcPr>
          <w:p>
            <w:pPr>
              <w:spacing w:after="0"/>
            </w:pPr>
            <w:r/>
            <w:r>
              <w:rPr>
                <w:b w:val="0"/>
                <w:sz w:val="14"/>
              </w:rPr>
              <w:t>Declaration → many lines; line → supplier/installations.</w:t>
            </w:r>
          </w:p>
        </w:tc>
      </w:tr>
      <w:tr>
        <w:tc>
          <w:tcPr>
            <w:tcW w:type="dxa" w:w="3408"/>
            <w:vAlign w:val="center"/>
            <w:shd w:fill="EAF1F8"/>
          </w:tcPr>
          <w:p>
            <w:pPr>
              <w:spacing w:after="0"/>
            </w:pPr>
            <w:r/>
            <w:r>
              <w:rPr>
                <w:b w:val="0"/>
                <w:sz w:val="14"/>
              </w:rPr>
              <w:t>Reference data</w:t>
            </w:r>
          </w:p>
        </w:tc>
        <w:tc>
          <w:tcPr>
            <w:tcW w:type="dxa" w:w="3408"/>
            <w:vAlign w:val="center"/>
          </w:tcPr>
          <w:p>
            <w:pPr>
              <w:spacing w:after="0"/>
            </w:pPr>
            <w:r/>
            <w:r>
              <w:rPr>
                <w:b w:val="0"/>
                <w:sz w:val="14"/>
              </w:rPr>
              <w:t>commodity_codes, cbam_scope_rules, exemptions, rates, defaults, validation_rules, regulatory_versions, exchange_rates</w:t>
            </w:r>
          </w:p>
        </w:tc>
        <w:tc>
          <w:tcPr>
            <w:tcW w:type="dxa" w:w="3408"/>
            <w:vAlign w:val="center"/>
          </w:tcPr>
          <w:p>
            <w:pPr>
              <w:spacing w:after="0"/>
            </w:pPr>
            <w:r/>
            <w:r>
              <w:rPr>
                <w:b w:val="0"/>
                <w:sz w:val="14"/>
              </w:rPr>
              <w:t>All effective-dated; every decision stores rule/version used.</w:t>
            </w:r>
          </w:p>
        </w:tc>
      </w:tr>
      <w:tr>
        <w:tc>
          <w:tcPr>
            <w:tcW w:type="dxa" w:w="3408"/>
            <w:vAlign w:val="center"/>
            <w:shd w:fill="EAF1F8"/>
          </w:tcPr>
          <w:p>
            <w:pPr>
              <w:spacing w:after="0"/>
            </w:pPr>
            <w:r/>
            <w:r>
              <w:rPr>
                <w:b w:val="0"/>
                <w:sz w:val="14"/>
              </w:rPr>
              <w:t>Supplier</w:t>
            </w:r>
          </w:p>
        </w:tc>
        <w:tc>
          <w:tcPr>
            <w:tcW w:type="dxa" w:w="3408"/>
            <w:vAlign w:val="center"/>
          </w:tcPr>
          <w:p>
            <w:pPr>
              <w:spacing w:after="0"/>
            </w:pPr>
            <w:r/>
            <w:r>
              <w:rPr>
                <w:b w:val="0"/>
                <w:sz w:val="14"/>
              </w:rPr>
              <w:t>suppliers, installations, supplier_contacts, readiness</w:t>
            </w:r>
          </w:p>
        </w:tc>
        <w:tc>
          <w:tcPr>
            <w:tcW w:type="dxa" w:w="3408"/>
            <w:vAlign w:val="center"/>
          </w:tcPr>
          <w:p>
            <w:pPr>
              <w:spacing w:after="0"/>
            </w:pPr>
            <w:r/>
            <w:r>
              <w:rPr>
                <w:b w:val="0"/>
                <w:sz w:val="14"/>
              </w:rPr>
              <w:t>Supplier 1→N installations; installation 1→N products/monitoring periods.</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emission_records, gas_components, precursor_links, monitoring_periods</w:t>
            </w:r>
          </w:p>
        </w:tc>
        <w:tc>
          <w:tcPr>
            <w:tcW w:type="dxa" w:w="3408"/>
            <w:vAlign w:val="center"/>
          </w:tcPr>
          <w:p>
            <w:pPr>
              <w:spacing w:after="0"/>
            </w:pPr>
            <w:r/>
            <w:r>
              <w:rPr>
                <w:b w:val="0"/>
                <w:sz w:val="14"/>
              </w:rPr>
              <w:t>Scope is separate from source/provenance.</w:t>
            </w:r>
          </w:p>
        </w:tc>
      </w:tr>
      <w:tr>
        <w:tc>
          <w:tcPr>
            <w:tcW w:type="dxa" w:w="3408"/>
            <w:vAlign w:val="center"/>
            <w:shd w:fill="EAF1F8"/>
          </w:tcPr>
          <w:p>
            <w:pPr>
              <w:spacing w:after="0"/>
            </w:pPr>
            <w:r/>
            <w:r>
              <w:rPr>
                <w:b w:val="0"/>
                <w:sz w:val="14"/>
              </w:rPr>
              <w:t>Verification</w:t>
            </w:r>
          </w:p>
        </w:tc>
        <w:tc>
          <w:tcPr>
            <w:tcW w:type="dxa" w:w="3408"/>
            <w:vAlign w:val="center"/>
          </w:tcPr>
          <w:p>
            <w:pPr>
              <w:spacing w:after="0"/>
            </w:pPr>
            <w:r/>
            <w:r>
              <w:rPr>
                <w:b w:val="0"/>
                <w:sz w:val="14"/>
              </w:rPr>
              <w:t>verifiers, accreditations, verifier_scope, verification_records</w:t>
            </w:r>
          </w:p>
        </w:tc>
        <w:tc>
          <w:tcPr>
            <w:tcW w:type="dxa" w:w="3408"/>
            <w:vAlign w:val="center"/>
          </w:tcPr>
          <w:p>
            <w:pPr>
              <w:spacing w:after="0"/>
            </w:pPr>
            <w:r/>
            <w:r>
              <w:rPr>
                <w:b w:val="0"/>
                <w:sz w:val="14"/>
              </w:rPr>
              <w:t>Evidence ties to installation, period and product.</w:t>
            </w:r>
          </w:p>
        </w:tc>
      </w:tr>
      <w:tr>
        <w:tc>
          <w:tcPr>
            <w:tcW w:type="dxa" w:w="3408"/>
            <w:vAlign w:val="center"/>
            <w:shd w:fill="EAF1F8"/>
          </w:tcPr>
          <w:p>
            <w:pPr>
              <w:spacing w:after="0"/>
            </w:pPr>
            <w:r/>
            <w:r>
              <w:rPr>
                <w:b w:val="0"/>
                <w:sz w:val="14"/>
              </w:rPr>
              <w:t>Documents</w:t>
            </w:r>
          </w:p>
        </w:tc>
        <w:tc>
          <w:tcPr>
            <w:tcW w:type="dxa" w:w="3408"/>
            <w:vAlign w:val="center"/>
          </w:tcPr>
          <w:p>
            <w:pPr>
              <w:spacing w:after="0"/>
            </w:pPr>
            <w:r/>
            <w:r>
              <w:rPr>
                <w:b w:val="0"/>
                <w:sz w:val="14"/>
              </w:rPr>
              <w:t>documents, document_versions, document_extractions, evidence_links</w:t>
            </w:r>
          </w:p>
        </w:tc>
        <w:tc>
          <w:tcPr>
            <w:tcW w:type="dxa" w:w="3408"/>
            <w:vAlign w:val="center"/>
          </w:tcPr>
          <w:p>
            <w:pPr>
              <w:spacing w:after="0"/>
            </w:pPr>
            <w:r/>
            <w:r>
              <w:rPr>
                <w:b w:val="0"/>
                <w:sz w:val="14"/>
              </w:rPr>
              <w:t>Document is immutable source; extracted values are derived records.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carbon_pricing_schemes, carbon_price_evidence, cpr_calculations, cpr_components</w:t>
            </w:r>
          </w:p>
        </w:tc>
        <w:tc>
          <w:tcPr>
            <w:tcW w:type="dxa" w:w="3408"/>
            <w:vAlign w:val="center"/>
          </w:tcPr>
          <w:p>
            <w:pPr>
              <w:spacing w:after="0"/>
            </w:pPr>
            <w:r/>
            <w:r>
              <w:rPr>
                <w:b w:val="0"/>
                <w:sz w:val="14"/>
              </w:rPr>
              <w:t>CPR calculated separately by qualifying scheme and precursor where required.</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returns, return_lines, return_versions, submissions, amendments</w:t>
            </w:r>
          </w:p>
        </w:tc>
        <w:tc>
          <w:tcPr>
            <w:tcW w:type="dxa" w:w="3408"/>
            <w:vAlign w:val="center"/>
          </w:tcPr>
          <w:p>
            <w:pPr>
              <w:spacing w:after="0"/>
            </w:pPr>
            <w:r/>
            <w:r>
              <w:rPr>
                <w:b w:val="0"/>
                <w:sz w:val="14"/>
              </w:rPr>
              <w:t>Historical versions preserved.</w:t>
            </w:r>
          </w:p>
        </w:tc>
      </w:tr>
      <w:tr>
        <w:tc>
          <w:tcPr>
            <w:tcW w:type="dxa" w:w="3408"/>
            <w:vAlign w:val="center"/>
            <w:shd w:fill="EAF1F8"/>
          </w:tcPr>
          <w:p>
            <w:pPr>
              <w:spacing w:after="0"/>
            </w:pPr>
            <w:r/>
            <w:r>
              <w:rPr>
                <w:b w:val="0"/>
                <w:sz w:val="14"/>
              </w:rPr>
              <w:t>Compliance ops</w:t>
            </w:r>
          </w:p>
        </w:tc>
        <w:tc>
          <w:tcPr>
            <w:tcW w:type="dxa" w:w="3408"/>
            <w:vAlign w:val="center"/>
          </w:tcPr>
          <w:p>
            <w:pPr>
              <w:spacing w:after="0"/>
            </w:pPr>
            <w:r/>
            <w:r>
              <w:rPr>
                <w:b w:val="0"/>
                <w:sz w:val="14"/>
              </w:rPr>
              <w:t>tasks, notifications, deadlines, exceptions, penalties, interest, assessments</w:t>
            </w:r>
          </w:p>
        </w:tc>
        <w:tc>
          <w:tcPr>
            <w:tcW w:type="dxa" w:w="3408"/>
            <w:vAlign w:val="center"/>
          </w:tcPr>
          <w:p>
            <w:pPr>
              <w:spacing w:after="0"/>
            </w:pPr>
            <w:r/>
            <w:r>
              <w:rPr>
                <w:b w:val="0"/>
                <w:sz w:val="14"/>
              </w:rPr>
              <w:t>All events auditable and actionable.</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audit_events, change_reasons, evidence_hashes</w:t>
            </w:r>
          </w:p>
        </w:tc>
        <w:tc>
          <w:tcPr>
            <w:tcW w:type="dxa" w:w="3408"/>
            <w:vAlign w:val="center"/>
          </w:tcPr>
          <w:p>
            <w:pPr>
              <w:spacing w:after="0"/>
            </w:pPr>
            <w:r/>
            <w:r>
              <w:rPr>
                <w:b w:val="0"/>
                <w:sz w:val="14"/>
              </w:rPr>
              <w:t>Append-only business audit trail; retain six years or longer if legal hold applies.</w:t>
            </w:r>
          </w:p>
        </w:tc>
      </w:tr>
    </w:tbl>
    <w:p>
      <w:pPr>
        <w:spacing w:after="40"/>
      </w:pPr>
    </w:p>
    <w:p>
      <w:pPr>
        <w:pStyle w:val="Heading2"/>
        <w:keepNext/>
      </w:pPr>
      <w:r>
        <w:t>11. Emissions data structure — important correction</w:t>
      </w:r>
    </w:p>
    <w:p>
      <w:pPr>
        <w:spacing w:after="100" w:line="252" w:lineRule="auto"/>
      </w:pPr>
      <w:r>
        <w:t>Do not model PRECURSOR as a third emissions scope. The correct conceptual split 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Field</w:t>
            </w:r>
          </w:p>
        </w:tc>
        <w:tc>
          <w:tcPr>
            <w:tcW w:type="dxa" w:w="3408"/>
            <w:vAlign w:val="center"/>
            <w:shd w:fill="17365D"/>
          </w:tcPr>
          <w:p>
            <w:pPr>
              <w:spacing w:after="0"/>
            </w:pPr>
            <w:r/>
            <w:r>
              <w:rPr>
                <w:b/>
                <w:color w:val="FFFFFF"/>
                <w:sz w:val="14"/>
              </w:rPr>
              <w:t>Examples</w:t>
            </w:r>
          </w:p>
        </w:tc>
        <w:tc>
          <w:tcPr>
            <w:tcW w:type="dxa" w:w="3408"/>
            <w:vAlign w:val="center"/>
            <w:shd w:fill="17365D"/>
          </w:tcPr>
          <w:p>
            <w:pPr>
              <w:spacing w:after="0"/>
            </w:pPr>
            <w:r/>
            <w:r>
              <w:rPr>
                <w:b/>
                <w:color w:val="FFFFFF"/>
                <w:sz w:val="14"/>
              </w:rPr>
              <w:t>Purpose</w:t>
            </w:r>
          </w:p>
        </w:tc>
      </w:tr>
      <w:tr>
        <w:tc>
          <w:tcPr>
            <w:tcW w:type="dxa" w:w="3408"/>
            <w:vAlign w:val="center"/>
            <w:shd w:fill="EAF1F8"/>
          </w:tcPr>
          <w:p>
            <w:pPr>
              <w:spacing w:after="0"/>
            </w:pPr>
            <w:r/>
            <w:r>
              <w:rPr>
                <w:b w:val="0"/>
                <w:sz w:val="14"/>
              </w:rPr>
              <w:t>Emission scope</w:t>
            </w:r>
          </w:p>
        </w:tc>
        <w:tc>
          <w:tcPr>
            <w:tcW w:type="dxa" w:w="3408"/>
            <w:vAlign w:val="center"/>
          </w:tcPr>
          <w:p>
            <w:pPr>
              <w:spacing w:after="0"/>
            </w:pPr>
            <w:r/>
            <w:r>
              <w:rPr>
                <w:b w:val="0"/>
                <w:sz w:val="14"/>
              </w:rPr>
              <w:t>DIRECT / INDIRECT</w:t>
            </w:r>
          </w:p>
        </w:tc>
        <w:tc>
          <w:tcPr>
            <w:tcW w:type="dxa" w:w="3408"/>
            <w:vAlign w:val="center"/>
          </w:tcPr>
          <w:p>
            <w:pPr>
              <w:spacing w:after="0"/>
            </w:pPr>
            <w:r/>
            <w:r>
              <w:rPr>
                <w:b w:val="0"/>
                <w:sz w:val="14"/>
              </w:rPr>
              <w:t>What regulatory emissions category the component belongs to.</w:t>
            </w:r>
          </w:p>
        </w:tc>
      </w:tr>
      <w:tr>
        <w:tc>
          <w:tcPr>
            <w:tcW w:type="dxa" w:w="3408"/>
            <w:vAlign w:val="center"/>
            <w:shd w:fill="EAF1F8"/>
          </w:tcPr>
          <w:p>
            <w:pPr>
              <w:spacing w:after="0"/>
            </w:pPr>
            <w:r/>
            <w:r>
              <w:rPr>
                <w:b w:val="0"/>
                <w:sz w:val="14"/>
              </w:rPr>
              <w:t>Emission source type</w:t>
            </w:r>
          </w:p>
        </w:tc>
        <w:tc>
          <w:tcPr>
            <w:tcW w:type="dxa" w:w="3408"/>
            <w:vAlign w:val="center"/>
          </w:tcPr>
          <w:p>
            <w:pPr>
              <w:spacing w:after="0"/>
            </w:pPr>
            <w:r/>
            <w:r>
              <w:rPr>
                <w:b w:val="0"/>
                <w:sz w:val="14"/>
              </w:rPr>
              <w:t>OWN_INSTALLATION / PRECURSOR_GOOD</w:t>
            </w:r>
          </w:p>
        </w:tc>
        <w:tc>
          <w:tcPr>
            <w:tcW w:type="dxa" w:w="3408"/>
            <w:vAlign w:val="center"/>
          </w:tcPr>
          <w:p>
            <w:pPr>
              <w:spacing w:after="0"/>
            </w:pPr>
            <w:r/>
            <w:r>
              <w:rPr>
                <w:b w:val="0"/>
                <w:sz w:val="14"/>
              </w:rPr>
              <w:t>Where the emissions arise in the production chain.</w:t>
            </w:r>
          </w:p>
        </w:tc>
      </w:tr>
      <w:tr>
        <w:tc>
          <w:tcPr>
            <w:tcW w:type="dxa" w:w="3408"/>
            <w:vAlign w:val="center"/>
            <w:shd w:fill="EAF1F8"/>
          </w:tcPr>
          <w:p>
            <w:pPr>
              <w:spacing w:after="0"/>
            </w:pPr>
            <w:r/>
            <w:r>
              <w:rPr>
                <w:b w:val="0"/>
                <w:sz w:val="14"/>
              </w:rPr>
              <w:t>Gas</w:t>
            </w:r>
          </w:p>
        </w:tc>
        <w:tc>
          <w:tcPr>
            <w:tcW w:type="dxa" w:w="3408"/>
            <w:vAlign w:val="center"/>
          </w:tcPr>
          <w:p>
            <w:pPr>
              <w:spacing w:after="0"/>
            </w:pPr>
            <w:r/>
            <w:r>
              <w:rPr>
                <w:b w:val="0"/>
                <w:sz w:val="14"/>
              </w:rPr>
              <w:t>CO2 / N2O / CF4 / C2F6</w:t>
            </w:r>
          </w:p>
        </w:tc>
        <w:tc>
          <w:tcPr>
            <w:tcW w:type="dxa" w:w="3408"/>
            <w:vAlign w:val="center"/>
          </w:tcPr>
          <w:p>
            <w:pPr>
              <w:spacing w:after="0"/>
            </w:pPr>
            <w:r/>
            <w:r>
              <w:rPr>
                <w:b w:val="0"/>
                <w:sz w:val="14"/>
              </w:rPr>
              <w:t>Stores gas-specific quantity before CO2e conversion.</w:t>
            </w:r>
          </w:p>
        </w:tc>
      </w:tr>
      <w:tr>
        <w:tc>
          <w:tcPr>
            <w:tcW w:type="dxa" w:w="3408"/>
            <w:vAlign w:val="center"/>
            <w:shd w:fill="EAF1F8"/>
          </w:tcPr>
          <w:p>
            <w:pPr>
              <w:spacing w:after="0"/>
            </w:pPr>
            <w:r/>
            <w:r>
              <w:rPr>
                <w:b w:val="0"/>
                <w:sz w:val="14"/>
              </w:rPr>
              <w:t>Conversion factor</w:t>
            </w:r>
          </w:p>
        </w:tc>
        <w:tc>
          <w:tcPr>
            <w:tcW w:type="dxa" w:w="3408"/>
            <w:vAlign w:val="center"/>
          </w:tcPr>
          <w:p>
            <w:pPr>
              <w:spacing w:after="0"/>
            </w:pPr>
            <w:r/>
            <w:r>
              <w:rPr>
                <w:b w:val="0"/>
                <w:sz w:val="14"/>
              </w:rPr>
              <w:t>Regulatory factor for gas</w:t>
            </w:r>
          </w:p>
        </w:tc>
        <w:tc>
          <w:tcPr>
            <w:tcW w:type="dxa" w:w="3408"/>
            <w:vAlign w:val="center"/>
          </w:tcPr>
          <w:p>
            <w:pPr>
              <w:spacing w:after="0"/>
            </w:pPr>
            <w:r/>
            <w:r>
              <w:rPr>
                <w:b w:val="0"/>
                <w:sz w:val="14"/>
              </w:rPr>
              <w:t>Versioned factor used to produce tCO2e.</w:t>
            </w:r>
          </w:p>
        </w:tc>
      </w:tr>
      <w:tr>
        <w:tc>
          <w:tcPr>
            <w:tcW w:type="dxa" w:w="3408"/>
            <w:vAlign w:val="center"/>
            <w:shd w:fill="EAF1F8"/>
          </w:tcPr>
          <w:p>
            <w:pPr>
              <w:spacing w:after="0"/>
            </w:pPr>
            <w:r/>
            <w:r>
              <w:rPr>
                <w:b w:val="0"/>
                <w:sz w:val="14"/>
              </w:rPr>
              <w:t>Monitoring basis</w:t>
            </w:r>
          </w:p>
        </w:tc>
        <w:tc>
          <w:tcPr>
            <w:tcW w:type="dxa" w:w="3408"/>
            <w:vAlign w:val="center"/>
          </w:tcPr>
          <w:p>
            <w:pPr>
              <w:spacing w:after="0"/>
            </w:pPr>
            <w:r/>
            <w:r>
              <w:rPr>
                <w:b w:val="0"/>
                <w:sz w:val="14"/>
              </w:rPr>
              <w:t>IMPORT_DATE / PRODUCTION_YEAR</w:t>
            </w:r>
          </w:p>
        </w:tc>
        <w:tc>
          <w:tcPr>
            <w:tcW w:type="dxa" w:w="3408"/>
            <w:vAlign w:val="center"/>
          </w:tcPr>
          <w:p>
            <w:pPr>
              <w:spacing w:after="0"/>
            </w:pPr>
            <w:r/>
            <w:r>
              <w:rPr>
                <w:b w:val="0"/>
                <w:sz w:val="14"/>
              </w:rPr>
              <w:t>Defines which legal data-selection option is applied.</w:t>
            </w:r>
          </w:p>
        </w:tc>
      </w:tr>
      <w:tr>
        <w:tc>
          <w:tcPr>
            <w:tcW w:type="dxa" w:w="3408"/>
            <w:vAlign w:val="center"/>
            <w:shd w:fill="EAF1F8"/>
          </w:tcPr>
          <w:p>
            <w:pPr>
              <w:spacing w:after="0"/>
            </w:pPr>
            <w:r/>
            <w:r>
              <w:rPr>
                <w:b w:val="0"/>
                <w:sz w:val="14"/>
              </w:rPr>
              <w:t>Verification status</w:t>
            </w:r>
          </w:p>
        </w:tc>
        <w:tc>
          <w:tcPr>
            <w:tcW w:type="dxa" w:w="3408"/>
            <w:vAlign w:val="center"/>
          </w:tcPr>
          <w:p>
            <w:pPr>
              <w:spacing w:after="0"/>
            </w:pPr>
            <w:r/>
            <w:r>
              <w:rPr>
                <w:b w:val="0"/>
                <w:sz w:val="14"/>
              </w:rPr>
              <w:t>VERIFIED / NOT_VERIFIED / EVIDENCE_MISSING</w:t>
            </w:r>
          </w:p>
        </w:tc>
        <w:tc>
          <w:tcPr>
            <w:tcW w:type="dxa" w:w="3408"/>
            <w:vAlign w:val="center"/>
          </w:tcPr>
          <w:p>
            <w:pPr>
              <w:spacing w:after="0"/>
            </w:pPr>
            <w:r/>
            <w:r>
              <w:rPr>
                <w:b w:val="0"/>
                <w:sz w:val="14"/>
              </w:rPr>
              <w:t>Drives actual/default eligibility.</w:t>
            </w:r>
          </w:p>
        </w:tc>
      </w:tr>
    </w:tbl>
    <w:p>
      <w:pPr>
        <w:spacing w:after="40"/>
      </w:pPr>
    </w:p>
    <w:p>
      <w:pPr>
        <w:pStyle w:val="Heading1"/>
        <w:keepNext/>
      </w:pPr>
      <w:r>
        <w:t>12. Data lineage and traceability</w:t>
      </w:r>
    </w:p>
    <w:p>
      <w:pPr>
        <w:spacing w:after="100" w:line="252" w:lineRule="auto"/>
      </w:pPr>
      <w:r>
        <w:t>The application should implement a three-layer trace that makes an auditor able to reproduce every derived number: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5"/>
              </w:rPr>
              <w:t>Layer</w:t>
            </w:r>
          </w:p>
        </w:tc>
        <w:tc>
          <w:tcPr>
            <w:tcW w:type="dxa" w:w="3408"/>
            <w:vAlign w:val="center"/>
            <w:shd w:fill="17365D"/>
          </w:tcPr>
          <w:p>
            <w:pPr>
              <w:spacing w:after="0"/>
            </w:pPr>
            <w:r/>
            <w:r>
              <w:rPr>
                <w:b/>
                <w:color w:val="FFFFFF"/>
                <w:sz w:val="15"/>
              </w:rPr>
              <w:t>Example</w:t>
            </w:r>
          </w:p>
        </w:tc>
        <w:tc>
          <w:tcPr>
            <w:tcW w:type="dxa" w:w="3408"/>
            <w:vAlign w:val="center"/>
            <w:shd w:fill="17365D"/>
          </w:tcPr>
          <w:p>
            <w:pPr>
              <w:spacing w:after="0"/>
            </w:pPr>
            <w:r/>
            <w:r>
              <w:rPr>
                <w:b/>
                <w:color w:val="FFFFFF"/>
                <w:sz w:val="15"/>
              </w:rPr>
              <w:t>Rule</w:t>
            </w:r>
          </w:p>
        </w:tc>
      </w:tr>
      <w:tr>
        <w:tc>
          <w:tcPr>
            <w:tcW w:type="dxa" w:w="3408"/>
            <w:vAlign w:val="center"/>
            <w:shd w:fill="EAF1F8"/>
          </w:tcPr>
          <w:p>
            <w:pPr>
              <w:spacing w:after="0"/>
            </w:pPr>
            <w:r/>
            <w:r>
              <w:rPr>
                <w:b w:val="0"/>
                <w:sz w:val="15"/>
              </w:rPr>
              <w:t>1. Source truth</w:t>
            </w:r>
          </w:p>
        </w:tc>
        <w:tc>
          <w:tcPr>
            <w:tcW w:type="dxa" w:w="3408"/>
            <w:vAlign w:val="center"/>
          </w:tcPr>
          <w:p>
            <w:pPr>
              <w:spacing w:after="0"/>
            </w:pPr>
            <w:r/>
            <w:r>
              <w:rPr>
                <w:b w:val="0"/>
                <w:sz w:val="15"/>
              </w:rPr>
              <w:t>CDS row, supplier report, verifier certificate, CPR verification form</w:t>
            </w:r>
          </w:p>
        </w:tc>
        <w:tc>
          <w:tcPr>
            <w:tcW w:type="dxa" w:w="3408"/>
            <w:vAlign w:val="center"/>
          </w:tcPr>
          <w:p>
            <w:pPr>
              <w:spacing w:after="0"/>
            </w:pPr>
            <w:r/>
            <w:r>
              <w:rPr>
                <w:b w:val="0"/>
                <w:sz w:val="15"/>
              </w:rPr>
              <w:t>Never mutate the original file/record; preserve source metadata.</w:t>
            </w:r>
          </w:p>
        </w:tc>
      </w:tr>
      <w:tr>
        <w:tc>
          <w:tcPr>
            <w:tcW w:type="dxa" w:w="3408"/>
            <w:vAlign w:val="center"/>
            <w:shd w:fill="EAF1F8"/>
          </w:tcPr>
          <w:p>
            <w:pPr>
              <w:spacing w:after="0"/>
            </w:pPr>
            <w:r/>
            <w:r>
              <w:rPr>
                <w:b w:val="0"/>
                <w:sz w:val="15"/>
              </w:rPr>
              <w:t>2. Normalised facts</w:t>
            </w:r>
          </w:p>
        </w:tc>
        <w:tc>
          <w:tcPr>
            <w:tcW w:type="dxa" w:w="3408"/>
            <w:vAlign w:val="center"/>
          </w:tcPr>
          <w:p>
            <w:pPr>
              <w:spacing w:after="0"/>
            </w:pPr>
            <w:r/>
            <w:r>
              <w:rPr>
                <w:b w:val="0"/>
                <w:sz w:val="15"/>
              </w:rPr>
              <w:t>net_mass_kg = 48.200000; intensity = 0.12345 tCO2e/t</w:t>
            </w:r>
          </w:p>
        </w:tc>
        <w:tc>
          <w:tcPr>
            <w:tcW w:type="dxa" w:w="3408"/>
            <w:vAlign w:val="center"/>
          </w:tcPr>
          <w:p>
            <w:pPr>
              <w:spacing w:after="0"/>
            </w:pPr>
            <w:r/>
            <w:r>
              <w:rPr>
                <w:b w:val="0"/>
                <w:sz w:val="15"/>
              </w:rPr>
              <w:t>Every normalised fact stores origin, extraction/manual-entry method, validation status and source location.</w:t>
            </w:r>
          </w:p>
        </w:tc>
      </w:tr>
      <w:tr>
        <w:tc>
          <w:tcPr>
            <w:tcW w:type="dxa" w:w="3408"/>
            <w:vAlign w:val="center"/>
            <w:shd w:fill="EAF1F8"/>
          </w:tcPr>
          <w:p>
            <w:pPr>
              <w:spacing w:after="0"/>
            </w:pPr>
            <w:r/>
            <w:r>
              <w:rPr>
                <w:b w:val="0"/>
                <w:sz w:val="15"/>
              </w:rPr>
              <w:t>3. Derived values</w:t>
            </w:r>
          </w:p>
        </w:tc>
        <w:tc>
          <w:tcPr>
            <w:tcW w:type="dxa" w:w="3408"/>
            <w:vAlign w:val="center"/>
          </w:tcPr>
          <w:p>
            <w:pPr>
              <w:spacing w:after="0"/>
            </w:pPr>
            <w:r/>
            <w:r>
              <w:rPr>
                <w:b w:val="0"/>
                <w:sz w:val="15"/>
              </w:rPr>
              <w:t>embodied emissions, CPR, net liability, return total</w:t>
            </w:r>
          </w:p>
        </w:tc>
        <w:tc>
          <w:tcPr>
            <w:tcW w:type="dxa" w:w="3408"/>
            <w:vAlign w:val="center"/>
          </w:tcPr>
          <w:p>
            <w:pPr>
              <w:spacing w:after="0"/>
            </w:pPr>
            <w:r/>
            <w:r>
              <w:rPr>
                <w:b w:val="0"/>
                <w:sz w:val="15"/>
              </w:rPr>
              <w:t>Store formula/version/reference-data IDs plus input IDs; never store a result with no provenance.</w:t>
            </w:r>
          </w:p>
        </w:tc>
      </w:tr>
    </w:tbl>
    <w:p>
      <w:pPr>
        <w:spacing w:after="40"/>
      </w:pPr>
    </w:p>
    <w:p>
      <w:pPr>
        <w:pStyle w:val="Heading1"/>
        <w:keepNext/>
      </w:pPr>
      <w:r>
        <w:t>13. Application screens / UX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Area</w:t>
            </w:r>
          </w:p>
        </w:tc>
        <w:tc>
          <w:tcPr>
            <w:tcW w:type="dxa" w:w="3408"/>
            <w:vAlign w:val="center"/>
            <w:shd w:fill="17365D"/>
          </w:tcPr>
          <w:p>
            <w:pPr>
              <w:spacing w:after="0"/>
            </w:pPr>
            <w:r/>
            <w:r>
              <w:rPr>
                <w:b/>
                <w:color w:val="FFFFFF"/>
                <w:sz w:val="14"/>
              </w:rPr>
              <w:t>Primary screens</w:t>
            </w:r>
          </w:p>
        </w:tc>
        <w:tc>
          <w:tcPr>
            <w:tcW w:type="dxa" w:w="3408"/>
            <w:vAlign w:val="center"/>
            <w:shd w:fill="17365D"/>
          </w:tcPr>
          <w:p>
            <w:pPr>
              <w:spacing w:after="0"/>
            </w:pPr>
            <w:r/>
            <w:r>
              <w:rPr>
                <w:b/>
                <w:color w:val="FFFFFF"/>
                <w:sz w:val="14"/>
              </w:rPr>
              <w:t>Key user outcome</w:t>
            </w:r>
          </w:p>
        </w:tc>
      </w:tr>
      <w:tr>
        <w:tc>
          <w:tcPr>
            <w:tcW w:type="dxa" w:w="3408"/>
            <w:vAlign w:val="center"/>
            <w:shd w:fill="EAF1F8"/>
          </w:tcPr>
          <w:p>
            <w:pPr>
              <w:spacing w:after="0"/>
            </w:pPr>
            <w:r/>
            <w:r>
              <w:rPr>
                <w:b w:val="0"/>
                <w:sz w:val="14"/>
              </w:rPr>
              <w:t>Portfolio / clients</w:t>
            </w:r>
          </w:p>
        </w:tc>
        <w:tc>
          <w:tcPr>
            <w:tcW w:type="dxa" w:w="3408"/>
            <w:vAlign w:val="center"/>
          </w:tcPr>
          <w:p>
            <w:pPr>
              <w:spacing w:after="0"/>
            </w:pPr>
            <w:r/>
            <w:r>
              <w:rPr>
                <w:b w:val="0"/>
                <w:sz w:val="14"/>
              </w:rPr>
              <w:t>Client list, compliance health, threshold state</w:t>
            </w:r>
          </w:p>
        </w:tc>
        <w:tc>
          <w:tcPr>
            <w:tcW w:type="dxa" w:w="3408"/>
            <w:vAlign w:val="center"/>
          </w:tcPr>
          <w:p>
            <w:pPr>
              <w:spacing w:after="0"/>
            </w:pPr>
            <w:r/>
            <w:r>
              <w:rPr>
                <w:b w:val="0"/>
                <w:sz w:val="14"/>
              </w:rPr>
              <w:t>Operations can see which clients require attention.</w:t>
            </w:r>
          </w:p>
        </w:tc>
      </w:tr>
      <w:tr>
        <w:tc>
          <w:tcPr>
            <w:tcW w:type="dxa" w:w="3408"/>
            <w:vAlign w:val="center"/>
            <w:shd w:fill="EAF1F8"/>
          </w:tcPr>
          <w:p>
            <w:pPr>
              <w:spacing w:after="0"/>
            </w:pPr>
            <w:r/>
            <w:r>
              <w:rPr>
                <w:b w:val="0"/>
                <w:sz w:val="14"/>
              </w:rPr>
              <w:t>Imports</w:t>
            </w:r>
          </w:p>
        </w:tc>
        <w:tc>
          <w:tcPr>
            <w:tcW w:type="dxa" w:w="3408"/>
            <w:vAlign w:val="center"/>
          </w:tcPr>
          <w:p>
            <w:pPr>
              <w:spacing w:after="0"/>
            </w:pPr>
            <w:r/>
            <w:r>
              <w:rPr>
                <w:b w:val="0"/>
                <w:sz w:val="14"/>
              </w:rPr>
              <w:t>Import register, import detail, scope decision, tax-point timeline</w:t>
            </w:r>
          </w:p>
        </w:tc>
        <w:tc>
          <w:tcPr>
            <w:tcW w:type="dxa" w:w="3408"/>
            <w:vAlign w:val="center"/>
          </w:tcPr>
          <w:p>
            <w:pPr>
              <w:spacing w:after="0"/>
            </w:pPr>
            <w:r/>
            <w:r>
              <w:rPr>
                <w:b w:val="0"/>
                <w:sz w:val="14"/>
              </w:rPr>
              <w:t>Every import line is understandable and traceable.</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Threshold dashboard, trigger event, registration readiness</w:t>
            </w:r>
          </w:p>
        </w:tc>
        <w:tc>
          <w:tcPr>
            <w:tcW w:type="dxa" w:w="3408"/>
            <w:vAlign w:val="center"/>
          </w:tcPr>
          <w:p>
            <w:pPr>
              <w:spacing w:after="0"/>
            </w:pPr>
            <w:r/>
            <w:r>
              <w:rPr>
                <w:b w:val="0"/>
                <w:sz w:val="14"/>
              </w:rPr>
              <w:t>User sees why the £50k trigger was or was not reached.</w:t>
            </w:r>
          </w:p>
        </w:tc>
      </w:tr>
      <w:tr>
        <w:tc>
          <w:tcPr>
            <w:tcW w:type="dxa" w:w="3408"/>
            <w:vAlign w:val="center"/>
            <w:shd w:fill="EAF1F8"/>
          </w:tcPr>
          <w:p>
            <w:pPr>
              <w:spacing w:after="0"/>
            </w:pPr>
            <w:r/>
            <w:r>
              <w:rPr>
                <w:b w:val="0"/>
                <w:sz w:val="14"/>
              </w:rPr>
              <w:t>Suppliers</w:t>
            </w:r>
          </w:p>
        </w:tc>
        <w:tc>
          <w:tcPr>
            <w:tcW w:type="dxa" w:w="3408"/>
            <w:vAlign w:val="center"/>
          </w:tcPr>
          <w:p>
            <w:pPr>
              <w:spacing w:after="0"/>
            </w:pPr>
            <w:r/>
            <w:r>
              <w:rPr>
                <w:b w:val="0"/>
                <w:sz w:val="14"/>
              </w:rPr>
              <w:t>Supplier list, installation profile, readiness, outreach timeline</w:t>
            </w:r>
          </w:p>
        </w:tc>
        <w:tc>
          <w:tcPr>
            <w:tcW w:type="dxa" w:w="3408"/>
            <w:vAlign w:val="center"/>
          </w:tcPr>
          <w:p>
            <w:pPr>
              <w:spacing w:after="0"/>
            </w:pPr>
            <w:r/>
            <w:r>
              <w:rPr>
                <w:b w:val="0"/>
                <w:sz w:val="14"/>
              </w:rPr>
              <w:t>User can chase missing data without email spreadsheets.</w:t>
            </w:r>
          </w:p>
        </w:tc>
      </w:tr>
      <w:tr>
        <w:tc>
          <w:tcPr>
            <w:tcW w:type="dxa" w:w="3408"/>
            <w:vAlign w:val="center"/>
            <w:shd w:fill="EAF1F8"/>
          </w:tcPr>
          <w:p>
            <w:pPr>
              <w:spacing w:after="0"/>
            </w:pPr>
            <w:r/>
            <w:r>
              <w:rPr>
                <w:b w:val="0"/>
                <w:sz w:val="14"/>
              </w:rPr>
              <w:t>Supplier portal</w:t>
            </w:r>
          </w:p>
        </w:tc>
        <w:tc>
          <w:tcPr>
            <w:tcW w:type="dxa" w:w="3408"/>
            <w:vAlign w:val="center"/>
          </w:tcPr>
          <w:p>
            <w:pPr>
              <w:spacing w:after="0"/>
            </w:pPr>
            <w:r/>
            <w:r>
              <w:rPr>
                <w:b w:val="0"/>
                <w:sz w:val="14"/>
              </w:rPr>
              <w:t>Mobile profile, emissions form, document upload, submission confirmation</w:t>
            </w:r>
          </w:p>
        </w:tc>
        <w:tc>
          <w:tcPr>
            <w:tcW w:type="dxa" w:w="3408"/>
            <w:vAlign w:val="center"/>
          </w:tcPr>
          <w:p>
            <w:pPr>
              <w:spacing w:after="0"/>
            </w:pPr>
            <w:r/>
            <w:r>
              <w:rPr>
                <w:b w:val="0"/>
                <w:sz w:val="14"/>
              </w:rPr>
              <w:t>Supplier can complete requests without creating an account if secure-link design is used.</w:t>
            </w:r>
          </w:p>
        </w:tc>
      </w:tr>
      <w:tr>
        <w:tc>
          <w:tcPr>
            <w:tcW w:type="dxa" w:w="3408"/>
            <w:vAlign w:val="center"/>
            <w:shd w:fill="EAF1F8"/>
          </w:tcPr>
          <w:p>
            <w:pPr>
              <w:spacing w:after="0"/>
            </w:pPr>
            <w:r/>
            <w:r>
              <w:rPr>
                <w:b w:val="0"/>
                <w:sz w:val="14"/>
              </w:rPr>
              <w:t>Documents / evidence</w:t>
            </w:r>
          </w:p>
        </w:tc>
        <w:tc>
          <w:tcPr>
            <w:tcW w:type="dxa" w:w="3408"/>
            <w:vAlign w:val="center"/>
          </w:tcPr>
          <w:p>
            <w:pPr>
              <w:spacing w:after="0"/>
            </w:pPr>
            <w:r/>
            <w:r>
              <w:rPr>
                <w:b w:val="0"/>
                <w:sz w:val="14"/>
              </w:rPr>
              <w:t>Evidence library, document viewer, field lineage</w:t>
            </w:r>
          </w:p>
        </w:tc>
        <w:tc>
          <w:tcPr>
            <w:tcW w:type="dxa" w:w="3408"/>
            <w:vAlign w:val="center"/>
          </w:tcPr>
          <w:p>
            <w:pPr>
              <w:spacing w:after="0"/>
            </w:pPr>
            <w:r/>
            <w:r>
              <w:rPr>
                <w:b w:val="0"/>
                <w:sz w:val="14"/>
              </w:rPr>
              <w:t>Reviewer can inspect source evidence alongside extracted values.</w:t>
            </w:r>
          </w:p>
        </w:tc>
      </w:tr>
      <w:tr>
        <w:tc>
          <w:tcPr>
            <w:tcW w:type="dxa" w:w="3408"/>
            <w:vAlign w:val="center"/>
            <w:shd w:fill="EAF1F8"/>
          </w:tcPr>
          <w:p>
            <w:pPr>
              <w:spacing w:after="0"/>
            </w:pPr>
            <w:r/>
            <w:r>
              <w:rPr>
                <w:b w:val="0"/>
                <w:sz w:val="14"/>
              </w:rPr>
              <w:t>Review</w:t>
            </w:r>
          </w:p>
        </w:tc>
        <w:tc>
          <w:tcPr>
            <w:tcW w:type="dxa" w:w="3408"/>
            <w:vAlign w:val="center"/>
          </w:tcPr>
          <w:p>
            <w:pPr>
              <w:spacing w:after="0"/>
            </w:pPr>
            <w:r/>
            <w:r>
              <w:rPr>
                <w:b w:val="0"/>
                <w:sz w:val="14"/>
              </w:rPr>
              <w:t>Exceptions queue, emissions review, verification review, CPR review</w:t>
            </w:r>
          </w:p>
        </w:tc>
        <w:tc>
          <w:tcPr>
            <w:tcW w:type="dxa" w:w="3408"/>
            <w:vAlign w:val="center"/>
          </w:tcPr>
          <w:p>
            <w:pPr>
              <w:spacing w:after="0"/>
            </w:pPr>
            <w:r/>
            <w:r>
              <w:rPr>
                <w:b w:val="0"/>
                <w:sz w:val="14"/>
              </w:rPr>
              <w:t>Humans approve only what needs approval.</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 workspace, calculation view, approval, filing/payment status</w:t>
            </w:r>
          </w:p>
        </w:tc>
        <w:tc>
          <w:tcPr>
            <w:tcW w:type="dxa" w:w="3408"/>
            <w:vAlign w:val="center"/>
          </w:tcPr>
          <w:p>
            <w:pPr>
              <w:spacing w:after="0"/>
            </w:pPr>
            <w:r/>
            <w:r>
              <w:rPr>
                <w:b w:val="0"/>
                <w:sz w:val="14"/>
              </w:rPr>
              <w:t>Client has one controlled workflow from draft to filed.</w:t>
            </w:r>
          </w:p>
        </w:tc>
      </w:tr>
      <w:tr>
        <w:tc>
          <w:tcPr>
            <w:tcW w:type="dxa" w:w="3408"/>
            <w:vAlign w:val="center"/>
            <w:shd w:fill="EAF1F8"/>
          </w:tcPr>
          <w:p>
            <w:pPr>
              <w:spacing w:after="0"/>
            </w:pPr>
            <w:r/>
            <w:r>
              <w:rPr>
                <w:b w:val="0"/>
                <w:sz w:val="14"/>
              </w:rPr>
              <w:t>Admin / rules</w:t>
            </w:r>
          </w:p>
        </w:tc>
        <w:tc>
          <w:tcPr>
            <w:tcW w:type="dxa" w:w="3408"/>
            <w:vAlign w:val="center"/>
          </w:tcPr>
          <w:p>
            <w:pPr>
              <w:spacing w:after="0"/>
            </w:pPr>
            <w:r/>
            <w:r>
              <w:rPr>
                <w:b w:val="0"/>
                <w:sz w:val="14"/>
              </w:rPr>
              <w:t>Commodity codes, defaults, rates, schemes, validators, calendars</w:t>
            </w:r>
          </w:p>
        </w:tc>
        <w:tc>
          <w:tcPr>
            <w:tcW w:type="dxa" w:w="3408"/>
            <w:vAlign w:val="center"/>
          </w:tcPr>
          <w:p>
            <w:pPr>
              <w:spacing w:after="0"/>
            </w:pPr>
            <w:r/>
            <w:r>
              <w:rPr>
                <w:b w:val="0"/>
                <w:sz w:val="14"/>
              </w:rPr>
              <w:t>Regulatory updates can be loaded without code changes.</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Timeline, object history, export evidence pack</w:t>
            </w:r>
          </w:p>
        </w:tc>
        <w:tc>
          <w:tcPr>
            <w:tcW w:type="dxa" w:w="3408"/>
            <w:vAlign w:val="center"/>
          </w:tcPr>
          <w:p>
            <w:pPr>
              <w:spacing w:after="0"/>
            </w:pPr>
            <w:r/>
            <w:r>
              <w:rPr>
                <w:b w:val="0"/>
                <w:sz w:val="14"/>
              </w:rPr>
              <w:t>Audit response is fast and reproducible.</w:t>
            </w:r>
          </w:p>
        </w:tc>
      </w:tr>
    </w:tbl>
    <w:p>
      <w:pPr>
        <w:spacing w:after="40"/>
      </w:pPr>
    </w:p>
    <w:p>
      <w:pPr>
        <w:pStyle w:val="Heading1"/>
        <w:keepNext/>
      </w:pPr>
      <w:r>
        <w:t>14. Notifications and task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Event</w:t>
            </w:r>
          </w:p>
        </w:tc>
        <w:tc>
          <w:tcPr>
            <w:tcW w:type="dxa" w:w="3408"/>
            <w:vAlign w:val="center"/>
            <w:shd w:fill="17365D"/>
          </w:tcPr>
          <w:p>
            <w:pPr>
              <w:spacing w:after="0"/>
            </w:pPr>
            <w:r/>
            <w:r>
              <w:rPr>
                <w:b/>
                <w:color w:val="FFFFFF"/>
                <w:sz w:val="14"/>
              </w:rPr>
              <w:t>Trigger</w:t>
            </w:r>
          </w:p>
        </w:tc>
        <w:tc>
          <w:tcPr>
            <w:tcW w:type="dxa" w:w="3408"/>
            <w:vAlign w:val="center"/>
            <w:shd w:fill="17365D"/>
          </w:tcPr>
          <w:p>
            <w:pPr>
              <w:spacing w:after="0"/>
            </w:pPr>
            <w:r/>
            <w:r>
              <w:rPr>
                <w:b/>
                <w:color w:val="FFFFFF"/>
                <w:sz w:val="14"/>
              </w:rPr>
              <w:t>Default action</w:t>
            </w:r>
          </w:p>
        </w:tc>
      </w:tr>
      <w:tr>
        <w:tc>
          <w:tcPr>
            <w:tcW w:type="dxa" w:w="3408"/>
            <w:vAlign w:val="center"/>
            <w:shd w:fill="EAF1F8"/>
          </w:tcPr>
          <w:p>
            <w:pPr>
              <w:spacing w:after="0"/>
            </w:pPr>
            <w:r/>
            <w:r>
              <w:rPr>
                <w:b w:val="0"/>
                <w:sz w:val="14"/>
              </w:rPr>
              <w:t>Threshold warning</w:t>
            </w:r>
          </w:p>
        </w:tc>
        <w:tc>
          <w:tcPr>
            <w:tcW w:type="dxa" w:w="3408"/>
            <w:vAlign w:val="center"/>
          </w:tcPr>
          <w:p>
            <w:pPr>
              <w:spacing w:after="0"/>
            </w:pPr>
            <w:r/>
            <w:r>
              <w:rPr>
                <w:b w:val="0"/>
                <w:sz w:val="14"/>
              </w:rPr>
              <w:t>Projected/actual threshold approaches configured warning point</w:t>
            </w:r>
          </w:p>
        </w:tc>
        <w:tc>
          <w:tcPr>
            <w:tcW w:type="dxa" w:w="3408"/>
            <w:vAlign w:val="center"/>
          </w:tcPr>
          <w:p>
            <w:pPr>
              <w:spacing w:after="0"/>
            </w:pPr>
            <w:r/>
            <w:r>
              <w:rPr>
                <w:b w:val="0"/>
                <w:sz w:val="14"/>
              </w:rPr>
              <w:t>Notify operations/client; create task.</w:t>
            </w:r>
          </w:p>
        </w:tc>
      </w:tr>
      <w:tr>
        <w:tc>
          <w:tcPr>
            <w:tcW w:type="dxa" w:w="3408"/>
            <w:vAlign w:val="center"/>
            <w:shd w:fill="EAF1F8"/>
          </w:tcPr>
          <w:p>
            <w:pPr>
              <w:spacing w:after="0"/>
            </w:pPr>
            <w:r/>
            <w:r>
              <w:rPr>
                <w:b w:val="0"/>
                <w:sz w:val="14"/>
              </w:rPr>
              <w:t>Threshold trigger</w:t>
            </w:r>
          </w:p>
        </w:tc>
        <w:tc>
          <w:tcPr>
            <w:tcW w:type="dxa" w:w="3408"/>
            <w:vAlign w:val="center"/>
          </w:tcPr>
          <w:p>
            <w:pPr>
              <w:spacing w:after="0"/>
            </w:pPr>
            <w:r/>
            <w:r>
              <w:rPr>
                <w:b w:val="0"/>
                <w:sz w:val="14"/>
              </w:rPr>
              <w:t>Legal threshold test becomes true</w:t>
            </w:r>
          </w:p>
        </w:tc>
        <w:tc>
          <w:tcPr>
            <w:tcW w:type="dxa" w:w="3408"/>
            <w:vAlign w:val="center"/>
          </w:tcPr>
          <w:p>
            <w:pPr>
              <w:spacing w:after="0"/>
            </w:pPr>
            <w:r/>
            <w:r>
              <w:rPr>
                <w:b w:val="0"/>
                <w:sz w:val="14"/>
              </w:rPr>
              <w:t>Create registration-readiness event and task.</w:t>
            </w:r>
          </w:p>
        </w:tc>
      </w:tr>
      <w:tr>
        <w:tc>
          <w:tcPr>
            <w:tcW w:type="dxa" w:w="3408"/>
            <w:vAlign w:val="center"/>
            <w:shd w:fill="EAF1F8"/>
          </w:tcPr>
          <w:p>
            <w:pPr>
              <w:spacing w:after="0"/>
            </w:pPr>
            <w:r/>
            <w:r>
              <w:rPr>
                <w:b w:val="0"/>
                <w:sz w:val="14"/>
              </w:rPr>
              <w:t>Supplier request</w:t>
            </w:r>
          </w:p>
        </w:tc>
        <w:tc>
          <w:tcPr>
            <w:tcW w:type="dxa" w:w="3408"/>
            <w:vAlign w:val="center"/>
          </w:tcPr>
          <w:p>
            <w:pPr>
              <w:spacing w:after="0"/>
            </w:pPr>
            <w:r/>
            <w:r>
              <w:rPr>
                <w:b w:val="0"/>
                <w:sz w:val="14"/>
              </w:rPr>
              <w:t>New installation requires data</w:t>
            </w:r>
          </w:p>
        </w:tc>
        <w:tc>
          <w:tcPr>
            <w:tcW w:type="dxa" w:w="3408"/>
            <w:vAlign w:val="center"/>
          </w:tcPr>
          <w:p>
            <w:pPr>
              <w:spacing w:after="0"/>
            </w:pPr>
            <w:r/>
            <w:r>
              <w:rPr>
                <w:b w:val="0"/>
                <w:sz w:val="14"/>
              </w:rPr>
              <w:t>Send secure multilingual request.</w:t>
            </w:r>
          </w:p>
        </w:tc>
      </w:tr>
      <w:tr>
        <w:tc>
          <w:tcPr>
            <w:tcW w:type="dxa" w:w="3408"/>
            <w:vAlign w:val="center"/>
            <w:shd w:fill="EAF1F8"/>
          </w:tcPr>
          <w:p>
            <w:pPr>
              <w:spacing w:after="0"/>
            </w:pPr>
            <w:r/>
            <w:r>
              <w:rPr>
                <w:b w:val="0"/>
                <w:sz w:val="14"/>
              </w:rPr>
              <w:t>Supplier Day 7 / 14 / 21</w:t>
            </w:r>
          </w:p>
        </w:tc>
        <w:tc>
          <w:tcPr>
            <w:tcW w:type="dxa" w:w="3408"/>
            <w:vAlign w:val="center"/>
          </w:tcPr>
          <w:p>
            <w:pPr>
              <w:spacing w:after="0"/>
            </w:pPr>
            <w:r/>
            <w:r>
              <w:rPr>
                <w:b w:val="0"/>
                <w:sz w:val="14"/>
              </w:rPr>
              <w:t>No complete response</w:t>
            </w:r>
          </w:p>
        </w:tc>
        <w:tc>
          <w:tcPr>
            <w:tcW w:type="dxa" w:w="3408"/>
            <w:vAlign w:val="center"/>
          </w:tcPr>
          <w:p>
            <w:pPr>
              <w:spacing w:after="0"/>
            </w:pPr>
            <w:r/>
            <w:r>
              <w:rPr>
                <w:b w:val="0"/>
                <w:sz w:val="14"/>
              </w:rPr>
              <w:t>Send reminder and update status.</w:t>
            </w:r>
          </w:p>
        </w:tc>
      </w:tr>
      <w:tr>
        <w:tc>
          <w:tcPr>
            <w:tcW w:type="dxa" w:w="3408"/>
            <w:vAlign w:val="center"/>
            <w:shd w:fill="EAF1F8"/>
          </w:tcPr>
          <w:p>
            <w:pPr>
              <w:spacing w:after="0"/>
            </w:pPr>
            <w:r/>
            <w:r>
              <w:rPr>
                <w:b w:val="0"/>
                <w:sz w:val="14"/>
              </w:rPr>
              <w:t>Supplier Day 28</w:t>
            </w:r>
          </w:p>
        </w:tc>
        <w:tc>
          <w:tcPr>
            <w:tcW w:type="dxa" w:w="3408"/>
            <w:vAlign w:val="center"/>
          </w:tcPr>
          <w:p>
            <w:pPr>
              <w:spacing w:after="0"/>
            </w:pPr>
            <w:r/>
            <w:r>
              <w:rPr>
                <w:b w:val="0"/>
                <w:sz w:val="14"/>
              </w:rPr>
              <w:t>Product escalation SLA reached</w:t>
            </w:r>
          </w:p>
        </w:tc>
        <w:tc>
          <w:tcPr>
            <w:tcW w:type="dxa" w:w="3408"/>
            <w:vAlign w:val="center"/>
          </w:tcPr>
          <w:p>
            <w:pPr>
              <w:spacing w:after="0"/>
            </w:pPr>
            <w:r/>
            <w:r>
              <w:rPr>
                <w:b w:val="0"/>
                <w:sz w:val="14"/>
              </w:rPr>
              <w:t>Escalate to operations; do not assume legal default solely because SLA expired.</w:t>
            </w:r>
          </w:p>
        </w:tc>
      </w:tr>
      <w:tr>
        <w:tc>
          <w:tcPr>
            <w:tcW w:type="dxa" w:w="3408"/>
            <w:vAlign w:val="center"/>
            <w:shd w:fill="EAF1F8"/>
          </w:tcPr>
          <w:p>
            <w:pPr>
              <w:spacing w:after="0"/>
            </w:pPr>
            <w:r/>
            <w:r>
              <w:rPr>
                <w:b w:val="0"/>
                <w:sz w:val="14"/>
              </w:rPr>
              <w:t>Verification missing</w:t>
            </w:r>
          </w:p>
        </w:tc>
        <w:tc>
          <w:tcPr>
            <w:tcW w:type="dxa" w:w="3408"/>
            <w:vAlign w:val="center"/>
          </w:tcPr>
          <w:p>
            <w:pPr>
              <w:spacing w:after="0"/>
            </w:pPr>
            <w:r/>
            <w:r>
              <w:rPr>
                <w:b w:val="0"/>
                <w:sz w:val="14"/>
              </w:rPr>
              <w:t>Actual value supplied but verification evidence absent</w:t>
            </w:r>
          </w:p>
        </w:tc>
        <w:tc>
          <w:tcPr>
            <w:tcW w:type="dxa" w:w="3408"/>
            <w:vAlign w:val="center"/>
          </w:tcPr>
          <w:p>
            <w:pPr>
              <w:spacing w:after="0"/>
            </w:pPr>
            <w:r/>
            <w:r>
              <w:rPr>
                <w:b w:val="0"/>
                <w:sz w:val="14"/>
              </w:rPr>
              <w:t>Route to review/default decision per law.</w:t>
            </w:r>
          </w:p>
        </w:tc>
      </w:tr>
      <w:tr>
        <w:tc>
          <w:tcPr>
            <w:tcW w:type="dxa" w:w="3408"/>
            <w:vAlign w:val="center"/>
            <w:shd w:fill="EAF1F8"/>
          </w:tcPr>
          <w:p>
            <w:pPr>
              <w:spacing w:after="0"/>
            </w:pPr>
            <w:r/>
            <w:r>
              <w:rPr>
                <w:b w:val="0"/>
                <w:sz w:val="14"/>
              </w:rPr>
              <w:t>Default exposure</w:t>
            </w:r>
          </w:p>
        </w:tc>
        <w:tc>
          <w:tcPr>
            <w:tcW w:type="dxa" w:w="3408"/>
            <w:vAlign w:val="center"/>
          </w:tcPr>
          <w:p>
            <w:pPr>
              <w:spacing w:after="0"/>
            </w:pPr>
            <w:r/>
            <w:r>
              <w:rPr>
                <w:b w:val="0"/>
                <w:sz w:val="14"/>
              </w:rPr>
              <w:t>Applicable rule requires/defaults data</w:t>
            </w:r>
          </w:p>
        </w:tc>
        <w:tc>
          <w:tcPr>
            <w:tcW w:type="dxa" w:w="3408"/>
            <w:vAlign w:val="center"/>
          </w:tcPr>
          <w:p>
            <w:pPr>
              <w:spacing w:after="0"/>
            </w:pPr>
            <w:r/>
            <w:r>
              <w:rPr>
                <w:b w:val="0"/>
                <w:sz w:val="14"/>
              </w:rPr>
              <w:t>Flag likely liability impact.</w:t>
            </w:r>
          </w:p>
        </w:tc>
      </w:tr>
      <w:tr>
        <w:tc>
          <w:tcPr>
            <w:tcW w:type="dxa" w:w="3408"/>
            <w:vAlign w:val="center"/>
            <w:shd w:fill="EAF1F8"/>
          </w:tcPr>
          <w:p>
            <w:pPr>
              <w:spacing w:after="0"/>
            </w:pPr>
            <w:r/>
            <w:r>
              <w:rPr>
                <w:b w:val="0"/>
                <w:sz w:val="14"/>
              </w:rPr>
              <w:t>Return ready</w:t>
            </w:r>
          </w:p>
        </w:tc>
        <w:tc>
          <w:tcPr>
            <w:tcW w:type="dxa" w:w="3408"/>
            <w:vAlign w:val="center"/>
          </w:tcPr>
          <w:p>
            <w:pPr>
              <w:spacing w:after="0"/>
            </w:pPr>
            <w:r/>
            <w:r>
              <w:rPr>
                <w:b w:val="0"/>
                <w:sz w:val="14"/>
              </w:rPr>
              <w:t>All required inputs approved</w:t>
            </w:r>
          </w:p>
        </w:tc>
        <w:tc>
          <w:tcPr>
            <w:tcW w:type="dxa" w:w="3408"/>
            <w:vAlign w:val="center"/>
          </w:tcPr>
          <w:p>
            <w:pPr>
              <w:spacing w:after="0"/>
            </w:pPr>
            <w:r/>
            <w:r>
              <w:rPr>
                <w:b w:val="0"/>
                <w:sz w:val="14"/>
              </w:rPr>
              <w:t>Create approval task.</w:t>
            </w:r>
          </w:p>
        </w:tc>
      </w:tr>
      <w:tr>
        <w:tc>
          <w:tcPr>
            <w:tcW w:type="dxa" w:w="3408"/>
            <w:vAlign w:val="center"/>
            <w:shd w:fill="EAF1F8"/>
          </w:tcPr>
          <w:p>
            <w:pPr>
              <w:spacing w:after="0"/>
            </w:pPr>
            <w:r/>
            <w:r>
              <w:rPr>
                <w:b w:val="0"/>
                <w:sz w:val="14"/>
              </w:rPr>
              <w:t>Return deadline approaching</w:t>
            </w:r>
          </w:p>
        </w:tc>
        <w:tc>
          <w:tcPr>
            <w:tcW w:type="dxa" w:w="3408"/>
            <w:vAlign w:val="center"/>
          </w:tcPr>
          <w:p>
            <w:pPr>
              <w:spacing w:after="0"/>
            </w:pPr>
            <w:r/>
            <w:r>
              <w:rPr>
                <w:b w:val="0"/>
                <w:sz w:val="14"/>
              </w:rPr>
              <w:t>Calendar engine reaches reminder window</w:t>
            </w:r>
          </w:p>
        </w:tc>
        <w:tc>
          <w:tcPr>
            <w:tcW w:type="dxa" w:w="3408"/>
            <w:vAlign w:val="center"/>
          </w:tcPr>
          <w:p>
            <w:pPr>
              <w:spacing w:after="0"/>
            </w:pPr>
            <w:r/>
            <w:r>
              <w:rPr>
                <w:b w:val="0"/>
                <w:sz w:val="14"/>
              </w:rPr>
              <w:t>Notify responsible users.</w:t>
            </w:r>
          </w:p>
        </w:tc>
      </w:tr>
      <w:tr>
        <w:tc>
          <w:tcPr>
            <w:tcW w:type="dxa" w:w="3408"/>
            <w:vAlign w:val="center"/>
            <w:shd w:fill="EAF1F8"/>
          </w:tcPr>
          <w:p>
            <w:pPr>
              <w:spacing w:after="0"/>
            </w:pPr>
            <w:r/>
            <w:r>
              <w:rPr>
                <w:b w:val="0"/>
                <w:sz w:val="14"/>
              </w:rPr>
              <w:t>Payment overdue</w:t>
            </w:r>
          </w:p>
        </w:tc>
        <w:tc>
          <w:tcPr>
            <w:tcW w:type="dxa" w:w="3408"/>
            <w:vAlign w:val="center"/>
          </w:tcPr>
          <w:p>
            <w:pPr>
              <w:spacing w:after="0"/>
            </w:pPr>
            <w:r/>
            <w:r>
              <w:rPr>
                <w:b w:val="0"/>
                <w:sz w:val="14"/>
              </w:rPr>
              <w:t>Due date passed</w:t>
            </w:r>
          </w:p>
        </w:tc>
        <w:tc>
          <w:tcPr>
            <w:tcW w:type="dxa" w:w="3408"/>
            <w:vAlign w:val="center"/>
          </w:tcPr>
          <w:p>
            <w:pPr>
              <w:spacing w:after="0"/>
            </w:pPr>
            <w:r/>
            <w:r>
              <w:rPr>
                <w:b w:val="0"/>
                <w:sz w:val="14"/>
              </w:rPr>
              <w:t>Create interest/penalty case.</w:t>
            </w:r>
          </w:p>
        </w:tc>
      </w:tr>
      <w:tr>
        <w:tc>
          <w:tcPr>
            <w:tcW w:type="dxa" w:w="3408"/>
            <w:vAlign w:val="center"/>
            <w:shd w:fill="EAF1F8"/>
          </w:tcPr>
          <w:p>
            <w:pPr>
              <w:spacing w:after="0"/>
            </w:pPr>
            <w:r/>
            <w:r>
              <w:rPr>
                <w:b w:val="0"/>
                <w:sz w:val="14"/>
              </w:rPr>
              <w:t>Document expiring</w:t>
            </w:r>
          </w:p>
        </w:tc>
        <w:tc>
          <w:tcPr>
            <w:tcW w:type="dxa" w:w="3408"/>
            <w:vAlign w:val="center"/>
          </w:tcPr>
          <w:p>
            <w:pPr>
              <w:spacing w:after="0"/>
            </w:pPr>
            <w:r/>
            <w:r>
              <w:rPr>
                <w:b w:val="0"/>
                <w:sz w:val="14"/>
              </w:rPr>
              <w:t>Verifier certificate / supporting evidence needs refresh</w:t>
            </w:r>
          </w:p>
        </w:tc>
        <w:tc>
          <w:tcPr>
            <w:tcW w:type="dxa" w:w="3408"/>
            <w:vAlign w:val="center"/>
          </w:tcPr>
          <w:p>
            <w:pPr>
              <w:spacing w:after="0"/>
            </w:pPr>
            <w:r/>
            <w:r>
              <w:rPr>
                <w:b w:val="0"/>
                <w:sz w:val="14"/>
              </w:rPr>
              <w:t>Create renewal task.</w:t>
            </w:r>
          </w:p>
        </w:tc>
      </w:tr>
    </w:tbl>
    <w:p>
      <w:pPr>
        <w:spacing w:after="40"/>
      </w:pPr>
    </w:p>
    <w:p>
      <w:pPr>
        <w:pStyle w:val="Heading1"/>
        <w:keepNext/>
      </w:pPr>
      <w:r>
        <w:t>15.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b/>
                <w:color w:val="FFFFFF"/>
                <w:sz w:val="14"/>
              </w:rPr>
              <w:t>Area</w:t>
            </w:r>
          </w:p>
        </w:tc>
        <w:tc>
          <w:tcPr>
            <w:tcW w:type="dxa" w:w="5112"/>
            <w:vAlign w:val="center"/>
            <w:shd w:fill="17365D"/>
          </w:tcPr>
          <w:p>
            <w:pPr>
              <w:spacing w:after="0"/>
            </w:pPr>
            <w:r/>
            <w:r>
              <w:rPr>
                <w:b/>
                <w:color w:val="FFFFFF"/>
                <w:sz w:val="14"/>
              </w:rPr>
              <w:t>Requirement</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Tenant isolation, least privilege, secure magic links, secret management, encryption in transit/at rest, audit of privileged actions, safe file handling and malware-scanning boundary where available.</w:t>
            </w:r>
          </w:p>
        </w:tc>
      </w:tr>
      <w:tr>
        <w:tc>
          <w:tcPr>
            <w:tcW w:type="dxa" w:w="5112"/>
            <w:vAlign w:val="center"/>
            <w:shd w:fill="EAF1F8"/>
          </w:tcPr>
          <w:p>
            <w:pPr>
              <w:spacing w:after="0"/>
            </w:pPr>
            <w:r/>
            <w:r>
              <w:rPr>
                <w:b w:val="0"/>
                <w:sz w:val="14"/>
              </w:rPr>
              <w:t>Privacy / GDPR</w:t>
            </w:r>
          </w:p>
        </w:tc>
        <w:tc>
          <w:tcPr>
            <w:tcW w:type="dxa" w:w="5112"/>
            <w:vAlign w:val="center"/>
          </w:tcPr>
          <w:p>
            <w:pPr>
              <w:spacing w:after="0"/>
            </w:pPr>
            <w:r/>
            <w:r>
              <w:rPr>
                <w:b w:val="0"/>
                <w:sz w:val="14"/>
              </w:rPr>
              <w:t>Supplier contacts are personal data. Record purpose, lawful basis/process ownership, retention, access, deletion/DSAR handling and contractual/data-processing responsibilities. Legal retention for CBAM evidence overrides ordinary deletion only where applicable.</w:t>
            </w:r>
          </w:p>
        </w:tc>
      </w:tr>
      <w:tr>
        <w:tc>
          <w:tcPr>
            <w:tcW w:type="dxa" w:w="5112"/>
            <w:vAlign w:val="center"/>
            <w:shd w:fill="EAF1F8"/>
          </w:tcPr>
          <w:p>
            <w:pPr>
              <w:spacing w:after="0"/>
            </w:pPr>
            <w:r/>
            <w:r>
              <w:rPr>
                <w:b w:val="0"/>
                <w:sz w:val="14"/>
              </w:rPr>
              <w:t>Hosting</w:t>
            </w:r>
          </w:p>
        </w:tc>
        <w:tc>
          <w:tcPr>
            <w:tcW w:type="dxa" w:w="5112"/>
            <w:vAlign w:val="center"/>
          </w:tcPr>
          <w:p>
            <w:pPr>
              <w:spacing w:after="0"/>
            </w:pPr>
            <w:r/>
            <w:r>
              <w:rPr>
                <w:b w:val="0"/>
                <w:sz w:val="14"/>
              </w:rPr>
              <w:t>Choose and document hosting region(s) before pilot, including data residency, backups and disaster-recovery location. UK/EU customer requirements should be configurable rather than assumed.</w:t>
            </w:r>
          </w:p>
        </w:tc>
      </w:tr>
      <w:tr>
        <w:tc>
          <w:tcPr>
            <w:tcW w:type="dxa" w:w="5112"/>
            <w:vAlign w:val="center"/>
            <w:shd w:fill="EAF1F8"/>
          </w:tcPr>
          <w:p>
            <w:pPr>
              <w:spacing w:after="0"/>
            </w:pPr>
            <w:r/>
            <w:r>
              <w:rPr>
                <w:b w:val="0"/>
                <w:sz w:val="14"/>
              </w:rPr>
              <w:t>Reliability</w:t>
            </w:r>
          </w:p>
        </w:tc>
        <w:tc>
          <w:tcPr>
            <w:tcW w:type="dxa" w:w="5112"/>
            <w:vAlign w:val="center"/>
          </w:tcPr>
          <w:p>
            <w:pPr>
              <w:spacing w:after="0"/>
            </w:pPr>
            <w:r/>
            <w:r>
              <w:rPr>
                <w:b w:val="0"/>
                <w:sz w:val="14"/>
              </w:rPr>
              <w:t>Scheduled jobs must be idempotent, retryable and observable. Backup and restore must be rehearsed before pilot.</w:t>
            </w:r>
          </w:p>
        </w:tc>
      </w:tr>
      <w:tr>
        <w:tc>
          <w:tcPr>
            <w:tcW w:type="dxa" w:w="5112"/>
            <w:vAlign w:val="center"/>
            <w:shd w:fill="EAF1F8"/>
          </w:tcPr>
          <w:p>
            <w:pPr>
              <w:spacing w:after="0"/>
            </w:pPr>
            <w:r/>
            <w:r>
              <w:rPr>
                <w:b w:val="0"/>
                <w:sz w:val="14"/>
              </w:rPr>
              <w:t>Auditability</w:t>
            </w:r>
          </w:p>
        </w:tc>
        <w:tc>
          <w:tcPr>
            <w:tcW w:type="dxa" w:w="5112"/>
            <w:vAlign w:val="center"/>
          </w:tcPr>
          <w:p>
            <w:pPr>
              <w:spacing w:after="0"/>
            </w:pPr>
            <w:r/>
            <w:r>
              <w:rPr>
                <w:b w:val="0"/>
                <w:sz w:val="14"/>
              </w:rPr>
              <w:t>Audit log is append-only; business evidence is versioned and linked. Legal hold support should be available before deletion/retention automation is enabled.</w:t>
            </w:r>
          </w:p>
        </w:tc>
      </w:tr>
      <w:tr>
        <w:tc>
          <w:tcPr>
            <w:tcW w:type="dxa" w:w="5112"/>
            <w:vAlign w:val="center"/>
            <w:shd w:fill="EAF1F8"/>
          </w:tcPr>
          <w:p>
            <w:pPr>
              <w:spacing w:after="0"/>
            </w:pPr>
            <w:r/>
            <w:r>
              <w:rPr>
                <w:b w:val="0"/>
                <w:sz w:val="14"/>
              </w:rPr>
              <w:t>Performance</w:t>
            </w:r>
          </w:p>
        </w:tc>
        <w:tc>
          <w:tcPr>
            <w:tcW w:type="dxa" w:w="5112"/>
            <w:vAlign w:val="center"/>
          </w:tcPr>
          <w:p>
            <w:pPr>
              <w:spacing w:after="0"/>
            </w:pPr>
            <w:r/>
            <w:r>
              <w:rPr>
                <w:b w:val="0"/>
                <w:sz w:val="14"/>
              </w:rPr>
              <w:t>R1 must pass the handbook's 10,000-import load test. Define target p50/p95 budgets for import, dashboard and supplier workflows before hardening.</w:t>
            </w:r>
          </w:p>
        </w:tc>
      </w:tr>
      <w:tr>
        <w:tc>
          <w:tcPr>
            <w:tcW w:type="dxa" w:w="5112"/>
            <w:vAlign w:val="center"/>
            <w:shd w:fill="EAF1F8"/>
          </w:tcPr>
          <w:p>
            <w:pPr>
              <w:spacing w:after="0"/>
            </w:pPr>
            <w:r/>
            <w:r>
              <w:rPr>
                <w:b w:val="0"/>
                <w:sz w:val="14"/>
              </w:rPr>
              <w:t>Accessibility</w:t>
            </w:r>
          </w:p>
        </w:tc>
        <w:tc>
          <w:tcPr>
            <w:tcW w:type="dxa" w:w="5112"/>
            <w:vAlign w:val="center"/>
          </w:tcPr>
          <w:p>
            <w:pPr>
              <w:spacing w:after="0"/>
            </w:pPr>
            <w:r/>
            <w:r>
              <w:rPr>
                <w:b w:val="0"/>
                <w:sz w:val="14"/>
              </w:rPr>
              <w:t>Supplier portal should be mobile-first and accessible; target WCAG 2.2 AA for the customer-facing UI as a product quality objective.</w:t>
            </w:r>
          </w:p>
        </w:tc>
      </w:tr>
      <w:tr>
        <w:tc>
          <w:tcPr>
            <w:tcW w:type="dxa" w:w="5112"/>
            <w:vAlign w:val="center"/>
            <w:shd w:fill="EAF1F8"/>
          </w:tcPr>
          <w:p>
            <w:pPr>
              <w:spacing w:after="0"/>
            </w:pPr>
            <w:r/>
            <w:r>
              <w:rPr>
                <w:b w:val="0"/>
                <w:sz w:val="14"/>
              </w:rPr>
              <w:t>Observability</w:t>
            </w:r>
          </w:p>
        </w:tc>
        <w:tc>
          <w:tcPr>
            <w:tcW w:type="dxa" w:w="5112"/>
            <w:vAlign w:val="center"/>
          </w:tcPr>
          <w:p>
            <w:pPr>
              <w:spacing w:after="0"/>
            </w:pPr>
            <w:r/>
            <w:r>
              <w:rPr>
                <w:b w:val="0"/>
                <w:sz w:val="14"/>
              </w:rPr>
              <w:t>Metrics, structured logs, queue/job status, import counts, failed validations, notification delivery and submission state must be searchable by client/case.</w:t>
            </w:r>
          </w:p>
        </w:tc>
      </w:tr>
      <w:tr>
        <w:tc>
          <w:tcPr>
            <w:tcW w:type="dxa" w:w="5112"/>
            <w:vAlign w:val="center"/>
            <w:shd w:fill="EAF1F8"/>
          </w:tcPr>
          <w:p>
            <w:pPr>
              <w:spacing w:after="0"/>
            </w:pPr>
            <w:r/>
            <w:r>
              <w:rPr>
                <w:b w:val="0"/>
                <w:sz w:val="14"/>
              </w:rPr>
              <w:t>Data integrity</w:t>
            </w:r>
          </w:p>
        </w:tc>
        <w:tc>
          <w:tcPr>
            <w:tcW w:type="dxa" w:w="5112"/>
            <w:vAlign w:val="center"/>
          </w:tcPr>
          <w:p>
            <w:pPr>
              <w:spacing w:after="0"/>
            </w:pPr>
            <w:r/>
            <w:r>
              <w:rPr>
                <w:b w:val="0"/>
                <w:sz w:val="14"/>
              </w:rPr>
              <w:t>All monetary and emissions calculations use decimal-safe types; units are explicit; rounding occurs only at legally prescribed steps.</w:t>
            </w:r>
          </w:p>
        </w:tc>
      </w:tr>
      <w:tr>
        <w:tc>
          <w:tcPr>
            <w:tcW w:type="dxa" w:w="5112"/>
            <w:vAlign w:val="center"/>
            <w:shd w:fill="EAF1F8"/>
          </w:tcPr>
          <w:p>
            <w:pPr>
              <w:spacing w:after="0"/>
            </w:pPr>
            <w:r/>
            <w:r>
              <w:rPr>
                <w:b w:val="0"/>
                <w:sz w:val="14"/>
              </w:rPr>
              <w:t>Environment separation</w:t>
            </w:r>
          </w:p>
        </w:tc>
        <w:tc>
          <w:tcPr>
            <w:tcW w:type="dxa" w:w="5112"/>
            <w:vAlign w:val="center"/>
          </w:tcPr>
          <w:p>
            <w:pPr>
              <w:spacing w:after="0"/>
            </w:pPr>
            <w:r/>
            <w:r>
              <w:rPr>
                <w:b w:val="0"/>
                <w:sz w:val="14"/>
              </w:rPr>
              <w:t>Local/staging/prod have separate credentials and data stores; production regulatory data changes require controlled change management.</w:t>
            </w:r>
          </w:p>
        </w:tc>
      </w:tr>
    </w:tbl>
    <w:p>
      <w:pPr>
        <w:spacing w:after="40"/>
      </w:pPr>
    </w:p>
    <w:p>
      <w:pPr>
        <w:pStyle w:val="Heading1"/>
        <w:keepNext/>
      </w:pPr>
      <w:r>
        <w:t>16. Test strategy</w:t>
      </w:r>
    </w:p>
    <w:p>
      <w:pPr>
        <w:spacing w:after="100" w:line="252" w:lineRule="auto"/>
      </w:pPr>
      <w:r>
        <w:t>The handbook already mandates a permanent worked example and weekly release gates. The merged test strategy expands this into four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b/>
                <w:color w:val="FFFFFF"/>
                <w:sz w:val="14"/>
              </w:rPr>
              <w:t>Test layer</w:t>
            </w:r>
          </w:p>
        </w:tc>
        <w:tc>
          <w:tcPr>
            <w:tcW w:type="dxa" w:w="5112"/>
            <w:vAlign w:val="center"/>
            <w:shd w:fill="17365D"/>
          </w:tcPr>
          <w:p>
            <w:pPr>
              <w:spacing w:after="0"/>
            </w:pPr>
            <w:r/>
            <w:r>
              <w:rPr>
                <w:b/>
                <w:color w:val="FFFFFF"/>
                <w:sz w:val="14"/>
              </w:rPr>
              <w:t>Examples</w:t>
            </w:r>
          </w:p>
        </w:tc>
      </w:tr>
      <w:tr>
        <w:tc>
          <w:tcPr>
            <w:tcW w:type="dxa" w:w="5112"/>
            <w:vAlign w:val="center"/>
            <w:shd w:fill="EAF1F8"/>
          </w:tcPr>
          <w:p>
            <w:pPr>
              <w:spacing w:after="0"/>
            </w:pPr>
            <w:r/>
            <w:r>
              <w:rPr>
                <w:b w:val="0"/>
                <w:sz w:val="14"/>
              </w:rPr>
              <w:t>Unit</w:t>
            </w:r>
          </w:p>
        </w:tc>
        <w:tc>
          <w:tcPr>
            <w:tcW w:type="dxa" w:w="5112"/>
            <w:vAlign w:val="center"/>
          </w:tcPr>
          <w:p>
            <w:pPr>
              <w:spacing w:after="0"/>
            </w:pPr>
            <w:r/>
            <w:r>
              <w:rPr>
                <w:b w:val="0"/>
                <w:sz w:val="14"/>
              </w:rPr>
              <w:t>Commodity-code scope, threshold cadence, tax point, weight rounding, gas conversion, default-selection rules, verifier rules, CPR components, FX rounding.</w:t>
            </w:r>
          </w:p>
        </w:tc>
      </w:tr>
      <w:tr>
        <w:tc>
          <w:tcPr>
            <w:tcW w:type="dxa" w:w="5112"/>
            <w:vAlign w:val="center"/>
            <w:shd w:fill="EAF1F8"/>
          </w:tcPr>
          <w:p>
            <w:pPr>
              <w:spacing w:after="0"/>
            </w:pPr>
            <w:r/>
            <w:r>
              <w:rPr>
                <w:b w:val="0"/>
                <w:sz w:val="14"/>
              </w:rPr>
              <w:t>Integration</w:t>
            </w:r>
          </w:p>
        </w:tc>
        <w:tc>
          <w:tcPr>
            <w:tcW w:type="dxa" w:w="5112"/>
            <w:vAlign w:val="center"/>
          </w:tcPr>
          <w:p>
            <w:pPr>
              <w:spacing w:after="0"/>
            </w:pPr>
            <w:r/>
            <w:r>
              <w:rPr>
                <w:b w:val="0"/>
                <w:sz w:val="14"/>
              </w:rPr>
              <w:t>CDS CSV → import lines → scope; supplier portal → document → extraction; reference-data update → historical result reproducibility.</w:t>
            </w:r>
          </w:p>
        </w:tc>
      </w:tr>
      <w:tr>
        <w:tc>
          <w:tcPr>
            <w:tcW w:type="dxa" w:w="5112"/>
            <w:vAlign w:val="center"/>
            <w:shd w:fill="EAF1F8"/>
          </w:tcPr>
          <w:p>
            <w:pPr>
              <w:spacing w:after="0"/>
            </w:pPr>
            <w:r/>
            <w:r>
              <w:rPr>
                <w:b w:val="0"/>
                <w:sz w:val="14"/>
              </w:rPr>
              <w:t>Golden fixtures</w:t>
            </w:r>
          </w:p>
        </w:tc>
        <w:tc>
          <w:tcPr>
            <w:tcW w:type="dxa" w:w="5112"/>
            <w:vAlign w:val="center"/>
          </w:tcPr>
          <w:p>
            <w:pPr>
              <w:spacing w:after="0"/>
            </w:pPr>
            <w:r/>
            <w:r>
              <w:rPr>
                <w:b w:val="0"/>
                <w:sz w:val="14"/>
              </w:rPr>
              <w:t>Keep the handbook's 48.2t Turkish EAF steel example as a regression fixture, but do not hard-code its final tax as a legal truth until official rate/default fixtures are frozen. Test the formula and re-base once published values are available.</w:t>
            </w:r>
          </w:p>
        </w:tc>
      </w:tr>
      <w:tr>
        <w:tc>
          <w:tcPr>
            <w:tcW w:type="dxa" w:w="5112"/>
            <w:vAlign w:val="center"/>
            <w:shd w:fill="EAF1F8"/>
          </w:tcPr>
          <w:p>
            <w:pPr>
              <w:spacing w:after="0"/>
            </w:pPr>
            <w:r/>
            <w:r>
              <w:rPr>
                <w:b w:val="0"/>
                <w:sz w:val="14"/>
              </w:rPr>
              <w:t>Scenario / UAT</w:t>
            </w:r>
          </w:p>
        </w:tc>
        <w:tc>
          <w:tcPr>
            <w:tcW w:type="dxa" w:w="5112"/>
            <w:vAlign w:val="center"/>
          </w:tcPr>
          <w:p>
            <w:pPr>
              <w:spacing w:after="0"/>
            </w:pPr>
            <w:r/>
            <w:r>
              <w:rPr>
                <w:b w:val="0"/>
                <w:sz w:val="14"/>
              </w:rPr>
              <w:t>Threshold crossed forward; threshold crossed backward; special customs tax-point; missing/unverified actuals; mixed actual/default precursor; CPR multiple schemes; nil return; amendment; repayment; penalty/interest; supplier non-response.</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Cross-tenant access, magic-link abuse, document access, privilege escalation, audit-log tampering and unsafe file upload.</w:t>
            </w:r>
          </w:p>
        </w:tc>
      </w:tr>
      <w:tr>
        <w:tc>
          <w:tcPr>
            <w:tcW w:type="dxa" w:w="5112"/>
            <w:vAlign w:val="center"/>
            <w:shd w:fill="EAF1F8"/>
          </w:tcPr>
          <w:p>
            <w:pPr>
              <w:spacing w:after="0"/>
            </w:pPr>
            <w:r/>
            <w:r>
              <w:rPr>
                <w:b w:val="0"/>
                <w:sz w:val="14"/>
              </w:rPr>
              <w:t>Load / recovery</w:t>
            </w:r>
          </w:p>
        </w:tc>
        <w:tc>
          <w:tcPr>
            <w:tcW w:type="dxa" w:w="5112"/>
            <w:vAlign w:val="center"/>
          </w:tcPr>
          <w:p>
            <w:pPr>
              <w:spacing w:after="0"/>
            </w:pPr>
            <w:r/>
            <w:r>
              <w:rPr>
                <w:b w:val="0"/>
                <w:sz w:val="14"/>
              </w:rPr>
              <w:t>10,000 imports, long supplier list, bulk document ingestion, failed queue retry, backup restore and partial outage recovery.</w:t>
            </w:r>
          </w:p>
        </w:tc>
      </w:tr>
    </w:tbl>
    <w:p>
      <w:pPr>
        <w:spacing w:after="40"/>
      </w:pPr>
    </w:p>
    <w:p>
      <w:pPr>
        <w:pStyle w:val="Heading2"/>
        <w:keepNext/>
      </w:pPr>
      <w:r>
        <w:t>17. Golden fixture rules</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
              <w:rPr>
                <w:b/>
                <w:sz w:val="17"/>
              </w:rPr>
              <w:t xml:space="preserve">Handbook fixture: </w:t>
            </w:r>
            <w:r>
              <w:rPr>
                <w:sz w:val="17"/>
              </w:rPr>
              <w:t>48.2 tonnes of Turkish EAF steel is the permanent worked-example target in the handbook (p. 2/5). The handbook quotes example liabilities of £785.25 on actual data and £4,771.80 using default data. These are useful regression targets only after the official rate/default inputs are captured as versioned fixtures. Never bake those tax amounts into production code.</w:t>
            </w:r>
          </w:p>
        </w:tc>
      </w:tr>
    </w:tbl>
    <w:p>
      <w:pPr>
        <w:spacing w:after="40"/>
      </w:pPr>
    </w:p>
    <w:p>
      <w:pPr>
        <w:pStyle w:val="Heading1"/>
        <w:keepNext/>
      </w:pPr>
      <w:r>
        <w:t>18. Nine-week R1 build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Week</w:t>
            </w:r>
          </w:p>
        </w:tc>
        <w:tc>
          <w:tcPr>
            <w:tcW w:type="dxa" w:w="3408"/>
            <w:vAlign w:val="center"/>
            <w:shd w:fill="17365D"/>
          </w:tcPr>
          <w:p>
            <w:pPr>
              <w:spacing w:after="0"/>
            </w:pPr>
            <w:r/>
            <w:r>
              <w:rPr>
                <w:b/>
                <w:color w:val="FFFFFF"/>
                <w:sz w:val="14"/>
              </w:rPr>
              <w:t>Workstream</w:t>
            </w:r>
          </w:p>
        </w:tc>
        <w:tc>
          <w:tcPr>
            <w:tcW w:type="dxa" w:w="3408"/>
            <w:vAlign w:val="center"/>
            <w:shd w:fill="17365D"/>
          </w:tcPr>
          <w:p>
            <w:pPr>
              <w:spacing w:after="0"/>
            </w:pPr>
            <w:r/>
            <w:r>
              <w:rPr>
                <w:b/>
                <w:color w:val="FFFFFF"/>
                <w:sz w:val="14"/>
              </w:rPr>
              <w:t>Exit criteria</w:t>
            </w:r>
          </w:p>
        </w:tc>
      </w:tr>
      <w:tr>
        <w:tc>
          <w:tcPr>
            <w:tcW w:type="dxa" w:w="3408"/>
            <w:vAlign w:val="center"/>
            <w:shd w:fill="EAF1F8"/>
          </w:tcPr>
          <w:p>
            <w:pPr>
              <w:spacing w:after="0"/>
            </w:pPr>
            <w:r/>
            <w:r>
              <w:rPr>
                <w:b w:val="0"/>
                <w:sz w:val="14"/>
              </w:rPr>
              <w:t>W1</w:t>
            </w:r>
          </w:p>
        </w:tc>
        <w:tc>
          <w:tcPr>
            <w:tcW w:type="dxa" w:w="3408"/>
            <w:vAlign w:val="center"/>
          </w:tcPr>
          <w:p>
            <w:pPr>
              <w:spacing w:after="0"/>
            </w:pPr>
            <w:r/>
            <w:r>
              <w:rPr>
                <w:b w:val="0"/>
                <w:sz w:val="14"/>
              </w:rPr>
              <w:t>Setup + reading</w:t>
            </w:r>
          </w:p>
        </w:tc>
        <w:tc>
          <w:tcPr>
            <w:tcW w:type="dxa" w:w="3408"/>
            <w:vAlign w:val="center"/>
          </w:tcPr>
          <w:p>
            <w:pPr>
              <w:spacing w:after="0"/>
            </w:pPr>
            <w:r/>
            <w:r>
              <w:rPr>
                <w:b w:val="0"/>
                <w:sz w:val="14"/>
              </w:rPr>
              <w:t>Repos/environments ready; team passes handbook/regulation walkthrough; blockers logged.</w:t>
            </w:r>
          </w:p>
        </w:tc>
      </w:tr>
      <w:tr>
        <w:tc>
          <w:tcPr>
            <w:tcW w:type="dxa" w:w="3408"/>
            <w:vAlign w:val="center"/>
            <w:shd w:fill="EAF1F8"/>
          </w:tcPr>
          <w:p>
            <w:pPr>
              <w:spacing w:after="0"/>
            </w:pPr>
            <w:r/>
            <w:r>
              <w:rPr>
                <w:b w:val="0"/>
                <w:sz w:val="14"/>
              </w:rPr>
              <w:t>W2–3</w:t>
            </w:r>
          </w:p>
        </w:tc>
        <w:tc>
          <w:tcPr>
            <w:tcW w:type="dxa" w:w="3408"/>
            <w:vAlign w:val="center"/>
          </w:tcPr>
          <w:p>
            <w:pPr>
              <w:spacing w:after="0"/>
            </w:pPr>
            <w:r/>
            <w:r>
              <w:rPr>
                <w:b w:val="0"/>
                <w:sz w:val="14"/>
              </w:rPr>
              <w:t>Foundations</w:t>
            </w:r>
          </w:p>
        </w:tc>
        <w:tc>
          <w:tcPr>
            <w:tcW w:type="dxa" w:w="3408"/>
            <w:vAlign w:val="center"/>
          </w:tcPr>
          <w:p>
            <w:pPr>
              <w:spacing w:after="0"/>
            </w:pPr>
            <w:r/>
            <w:r>
              <w:rPr>
                <w:b w:val="0"/>
                <w:sz w:val="14"/>
              </w:rPr>
              <w:t>Schema, tenant/security baseline, reference tables, audit and test harness ready.</w:t>
            </w:r>
          </w:p>
        </w:tc>
      </w:tr>
      <w:tr>
        <w:tc>
          <w:tcPr>
            <w:tcW w:type="dxa" w:w="3408"/>
            <w:vAlign w:val="center"/>
            <w:shd w:fill="EAF1F8"/>
          </w:tcPr>
          <w:p>
            <w:pPr>
              <w:spacing w:after="0"/>
            </w:pPr>
            <w:r/>
            <w:r>
              <w:rPr>
                <w:b w:val="0"/>
                <w:sz w:val="14"/>
              </w:rPr>
              <w:t>W3–4</w:t>
            </w:r>
          </w:p>
        </w:tc>
        <w:tc>
          <w:tcPr>
            <w:tcW w:type="dxa" w:w="3408"/>
            <w:vAlign w:val="center"/>
          </w:tcPr>
          <w:p>
            <w:pPr>
              <w:spacing w:after="0"/>
            </w:pPr>
            <w:r/>
            <w:r>
              <w:rPr>
                <w:b w:val="0"/>
                <w:sz w:val="14"/>
              </w:rPr>
              <w:t>Imports register</w:t>
            </w:r>
          </w:p>
        </w:tc>
        <w:tc>
          <w:tcPr>
            <w:tcW w:type="dxa" w:w="3408"/>
            <w:vAlign w:val="center"/>
          </w:tcPr>
          <w:p>
            <w:pPr>
              <w:spacing w:after="0"/>
            </w:pPr>
            <w:r/>
            <w:r>
              <w:rPr>
                <w:b w:val="0"/>
                <w:sz w:val="14"/>
              </w:rPr>
              <w:t>CDS sample imported; parser validation and scope classification working.</w:t>
            </w:r>
          </w:p>
        </w:tc>
      </w:tr>
      <w:tr>
        <w:tc>
          <w:tcPr>
            <w:tcW w:type="dxa" w:w="3408"/>
            <w:vAlign w:val="center"/>
            <w:shd w:fill="EAF1F8"/>
          </w:tcPr>
          <w:p>
            <w:pPr>
              <w:spacing w:after="0"/>
            </w:pPr>
            <w:r/>
            <w:r>
              <w:rPr>
                <w:b w:val="0"/>
                <w:sz w:val="14"/>
              </w:rPr>
              <w:t>W4–5</w:t>
            </w:r>
          </w:p>
        </w:tc>
        <w:tc>
          <w:tcPr>
            <w:tcW w:type="dxa" w:w="3408"/>
            <w:vAlign w:val="center"/>
          </w:tcPr>
          <w:p>
            <w:pPr>
              <w:spacing w:after="0"/>
            </w:pPr>
            <w:r/>
            <w:r>
              <w:rPr>
                <w:b w:val="0"/>
                <w:sz w:val="14"/>
              </w:rPr>
              <w:t>Threshold + onboarding</w:t>
            </w:r>
          </w:p>
        </w:tc>
        <w:tc>
          <w:tcPr>
            <w:tcW w:type="dxa" w:w="3408"/>
            <w:vAlign w:val="center"/>
          </w:tcPr>
          <w:p>
            <w:pPr>
              <w:spacing w:after="0"/>
            </w:pPr>
            <w:r/>
            <w:r>
              <w:rPr>
                <w:b w:val="0"/>
                <w:sz w:val="14"/>
              </w:rPr>
              <w:t>Forward/backward tests pass; trigger event, registration readiness and 5 hand-calculated scenarios pass.</w:t>
            </w:r>
          </w:p>
        </w:tc>
      </w:tr>
      <w:tr>
        <w:tc>
          <w:tcPr>
            <w:tcW w:type="dxa" w:w="3408"/>
            <w:vAlign w:val="center"/>
            <w:shd w:fill="EAF1F8"/>
          </w:tcPr>
          <w:p>
            <w:pPr>
              <w:spacing w:after="0"/>
            </w:pPr>
            <w:r/>
            <w:r>
              <w:rPr>
                <w:b w:val="0"/>
                <w:sz w:val="14"/>
              </w:rPr>
              <w:t>W5–7</w:t>
            </w:r>
          </w:p>
        </w:tc>
        <w:tc>
          <w:tcPr>
            <w:tcW w:type="dxa" w:w="3408"/>
            <w:vAlign w:val="center"/>
          </w:tcPr>
          <w:p>
            <w:pPr>
              <w:spacing w:after="0"/>
            </w:pPr>
            <w:r/>
            <w:r>
              <w:rPr>
                <w:b w:val="0"/>
                <w:sz w:val="14"/>
              </w:rPr>
              <w:t>Supplier outreach + portal</w:t>
            </w:r>
          </w:p>
        </w:tc>
        <w:tc>
          <w:tcPr>
            <w:tcW w:type="dxa" w:w="3408"/>
            <w:vAlign w:val="center"/>
          </w:tcPr>
          <w:p>
            <w:pPr>
              <w:spacing w:after="0"/>
            </w:pPr>
            <w:r/>
            <w:r>
              <w:rPr>
                <w:b w:val="0"/>
                <w:sz w:val="14"/>
              </w:rPr>
              <w:t>Supplier/installations loaded; mobile form; multilingual messages; Day 7/14/21/28 sequence observable.</w:t>
            </w:r>
          </w:p>
        </w:tc>
      </w:tr>
      <w:tr>
        <w:tc>
          <w:tcPr>
            <w:tcW w:type="dxa" w:w="3408"/>
            <w:vAlign w:val="center"/>
            <w:shd w:fill="EAF1F8"/>
          </w:tcPr>
          <w:p>
            <w:pPr>
              <w:spacing w:after="0"/>
            </w:pPr>
            <w:r/>
            <w:r>
              <w:rPr>
                <w:b w:val="0"/>
                <w:sz w:val="14"/>
              </w:rPr>
              <w:t>W7–8</w:t>
            </w:r>
          </w:p>
        </w:tc>
        <w:tc>
          <w:tcPr>
            <w:tcW w:type="dxa" w:w="3408"/>
            <w:vAlign w:val="center"/>
          </w:tcPr>
          <w:p>
            <w:pPr>
              <w:spacing w:after="0"/>
            </w:pPr>
            <w:r/>
            <w:r>
              <w:rPr>
                <w:b w:val="0"/>
                <w:sz w:val="14"/>
              </w:rPr>
              <w:t>Ops dashboard + docs</w:t>
            </w:r>
          </w:p>
        </w:tc>
        <w:tc>
          <w:tcPr>
            <w:tcW w:type="dxa" w:w="3408"/>
            <w:vAlign w:val="center"/>
          </w:tcPr>
          <w:p>
            <w:pPr>
              <w:spacing w:after="0"/>
            </w:pPr>
            <w:r/>
            <w:r>
              <w:rPr>
                <w:b w:val="0"/>
                <w:sz w:val="14"/>
              </w:rPr>
              <w:t>Per-client import/threshold/outreach/document view and document storage complete.</w:t>
            </w:r>
          </w:p>
        </w:tc>
      </w:tr>
      <w:tr>
        <w:tc>
          <w:tcPr>
            <w:tcW w:type="dxa" w:w="3408"/>
            <w:vAlign w:val="center"/>
            <w:shd w:fill="EAF1F8"/>
          </w:tcPr>
          <w:p>
            <w:pPr>
              <w:spacing w:after="0"/>
            </w:pPr>
            <w:r/>
            <w:r>
              <w:rPr>
                <w:b w:val="0"/>
                <w:sz w:val="14"/>
              </w:rPr>
              <w:t>W8–9</w:t>
            </w:r>
          </w:p>
        </w:tc>
        <w:tc>
          <w:tcPr>
            <w:tcW w:type="dxa" w:w="3408"/>
            <w:vAlign w:val="center"/>
          </w:tcPr>
          <w:p>
            <w:pPr>
              <w:spacing w:after="0"/>
            </w:pPr>
            <w:r/>
            <w:r>
              <w:rPr>
                <w:b w:val="0"/>
                <w:sz w:val="14"/>
              </w:rPr>
              <w:t>Hardening + pilot</w:t>
            </w:r>
          </w:p>
        </w:tc>
        <w:tc>
          <w:tcPr>
            <w:tcW w:type="dxa" w:w="3408"/>
            <w:vAlign w:val="center"/>
          </w:tcPr>
          <w:p>
            <w:pPr>
              <w:spacing w:after="0"/>
            </w:pPr>
            <w:r/>
            <w:r>
              <w:rPr>
                <w:b w:val="0"/>
                <w:sz w:val="14"/>
              </w:rPr>
              <w:t>Pen test basics, backup/restore, 10k import load test, UAT and pilot onboarding complete.</w:t>
            </w:r>
          </w:p>
        </w:tc>
      </w:tr>
    </w:tbl>
    <w:p>
      <w:pPr>
        <w:spacing w:after="40"/>
      </w:pPr>
    </w:p>
    <w:p>
      <w:pPr>
        <w:pStyle w:val="Heading1"/>
        <w:keepNext/>
      </w:pPr>
      <w:r>
        <w:t>19. Team allocation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b/>
                <w:color w:val="FFFFFF"/>
                <w:sz w:val="14"/>
              </w:rPr>
              <w:t>Role</w:t>
            </w:r>
          </w:p>
        </w:tc>
        <w:tc>
          <w:tcPr>
            <w:tcW w:type="dxa" w:w="5112"/>
            <w:vAlign w:val="center"/>
            <w:shd w:fill="17365D"/>
          </w:tcPr>
          <w:p>
            <w:pPr>
              <w:spacing w:after="0"/>
            </w:pPr>
            <w:r/>
            <w:r>
              <w:rPr>
                <w:b/>
                <w:color w:val="FFFFFF"/>
                <w:sz w:val="14"/>
              </w:rPr>
              <w:t>Suggested R1 ownership</w:t>
            </w:r>
          </w:p>
        </w:tc>
      </w:tr>
      <w:tr>
        <w:tc>
          <w:tcPr>
            <w:tcW w:type="dxa" w:w="5112"/>
            <w:vAlign w:val="center"/>
            <w:shd w:fill="EAF1F8"/>
          </w:tcPr>
          <w:p>
            <w:pPr>
              <w:spacing w:after="0"/>
            </w:pPr>
            <w:r/>
            <w:r>
              <w:rPr>
                <w:b w:val="0"/>
                <w:sz w:val="14"/>
              </w:rPr>
              <w:t>Tech lead</w:t>
            </w:r>
          </w:p>
        </w:tc>
        <w:tc>
          <w:tcPr>
            <w:tcW w:type="dxa" w:w="5112"/>
            <w:vAlign w:val="center"/>
          </w:tcPr>
          <w:p>
            <w:pPr>
              <w:spacing w:after="0"/>
            </w:pPr>
            <w:r/>
            <w:r>
              <w:rPr>
                <w:b w:val="0"/>
                <w:sz w:val="14"/>
              </w:rPr>
              <w:t>Architecture, database/security review, code quality, releases, reference-data change control.</w:t>
            </w:r>
          </w:p>
        </w:tc>
      </w:tr>
      <w:tr>
        <w:tc>
          <w:tcPr>
            <w:tcW w:type="dxa" w:w="5112"/>
            <w:vAlign w:val="center"/>
            <w:shd w:fill="EAF1F8"/>
          </w:tcPr>
          <w:p>
            <w:pPr>
              <w:spacing w:after="0"/>
            </w:pPr>
            <w:r/>
            <w:r>
              <w:rPr>
                <w:b w:val="0"/>
                <w:sz w:val="14"/>
              </w:rPr>
              <w:t>Backend 1</w:t>
            </w:r>
          </w:p>
        </w:tc>
        <w:tc>
          <w:tcPr>
            <w:tcW w:type="dxa" w:w="5112"/>
            <w:vAlign w:val="center"/>
          </w:tcPr>
          <w:p>
            <w:pPr>
              <w:spacing w:after="0"/>
            </w:pPr>
            <w:r/>
            <w:r>
              <w:rPr>
                <w:b w:val="0"/>
                <w:sz w:val="14"/>
              </w:rPr>
              <w:t>CDS/import pipeline, scope engine, threshold/tax-point foundation.</w:t>
            </w:r>
          </w:p>
        </w:tc>
      </w:tr>
      <w:tr>
        <w:tc>
          <w:tcPr>
            <w:tcW w:type="dxa" w:w="5112"/>
            <w:vAlign w:val="center"/>
            <w:shd w:fill="EAF1F8"/>
          </w:tcPr>
          <w:p>
            <w:pPr>
              <w:spacing w:after="0"/>
            </w:pPr>
            <w:r/>
            <w:r>
              <w:rPr>
                <w:b w:val="0"/>
                <w:sz w:val="14"/>
              </w:rPr>
              <w:t>Backend 2</w:t>
            </w:r>
          </w:p>
        </w:tc>
        <w:tc>
          <w:tcPr>
            <w:tcW w:type="dxa" w:w="5112"/>
            <w:vAlign w:val="center"/>
          </w:tcPr>
          <w:p>
            <w:pPr>
              <w:spacing w:after="0"/>
            </w:pPr>
            <w:r/>
            <w:r>
              <w:rPr>
                <w:b w:val="0"/>
                <w:sz w:val="14"/>
              </w:rPr>
              <w:t>Supplier/installations, outreach jobs, documents, notifications.</w:t>
            </w:r>
          </w:p>
        </w:tc>
      </w:tr>
      <w:tr>
        <w:tc>
          <w:tcPr>
            <w:tcW w:type="dxa" w:w="5112"/>
            <w:vAlign w:val="center"/>
            <w:shd w:fill="EAF1F8"/>
          </w:tcPr>
          <w:p>
            <w:pPr>
              <w:spacing w:after="0"/>
            </w:pPr>
            <w:r/>
            <w:r>
              <w:rPr>
                <w:b w:val="0"/>
                <w:sz w:val="14"/>
              </w:rPr>
              <w:t>Frontend</w:t>
            </w:r>
          </w:p>
        </w:tc>
        <w:tc>
          <w:tcPr>
            <w:tcW w:type="dxa" w:w="5112"/>
            <w:vAlign w:val="center"/>
          </w:tcPr>
          <w:p>
            <w:pPr>
              <w:spacing w:after="0"/>
            </w:pPr>
            <w:r/>
            <w:r>
              <w:rPr>
                <w:b w:val="0"/>
                <w:sz w:val="14"/>
              </w:rPr>
              <w:t>Operations dashboard, import views, client views, supplier portal shell.</w:t>
            </w:r>
          </w:p>
        </w:tc>
      </w:tr>
      <w:tr>
        <w:tc>
          <w:tcPr>
            <w:tcW w:type="dxa" w:w="5112"/>
            <w:vAlign w:val="center"/>
            <w:shd w:fill="EAF1F8"/>
          </w:tcPr>
          <w:p>
            <w:pPr>
              <w:spacing w:after="0"/>
            </w:pPr>
            <w:r/>
            <w:r>
              <w:rPr>
                <w:b w:val="0"/>
                <w:sz w:val="14"/>
              </w:rPr>
              <w:t>QA (part-time acceptable)</w:t>
            </w:r>
          </w:p>
        </w:tc>
        <w:tc>
          <w:tcPr>
            <w:tcW w:type="dxa" w:w="5112"/>
            <w:vAlign w:val="center"/>
          </w:tcPr>
          <w:p>
            <w:pPr>
              <w:spacing w:after="0"/>
            </w:pPr>
            <w:r/>
            <w:r>
              <w:rPr>
                <w:b w:val="0"/>
                <w:sz w:val="14"/>
              </w:rPr>
              <w:t>Threshold scenarios, R1 gates, UAT scripts, tenant/security and load tests.</w:t>
            </w:r>
          </w:p>
        </w:tc>
      </w:tr>
      <w:tr>
        <w:tc>
          <w:tcPr>
            <w:tcW w:type="dxa" w:w="5112"/>
            <w:vAlign w:val="center"/>
            <w:shd w:fill="EAF1F8"/>
          </w:tcPr>
          <w:p>
            <w:pPr>
              <w:spacing w:after="0"/>
            </w:pPr>
            <w:r/>
            <w:r>
              <w:rPr>
                <w:b w:val="0"/>
                <w:sz w:val="14"/>
              </w:rPr>
              <w:t>Domain owner</w:t>
            </w:r>
          </w:p>
        </w:tc>
        <w:tc>
          <w:tcPr>
            <w:tcW w:type="dxa" w:w="5112"/>
            <w:vAlign w:val="center"/>
          </w:tcPr>
          <w:p>
            <w:pPr>
              <w:spacing w:after="0"/>
            </w:pPr>
            <w:r/>
            <w:r>
              <w:rPr>
                <w:b w:val="0"/>
                <w:sz w:val="14"/>
              </w:rPr>
              <w:t>Interpretation of forms, reference-data mapping, HMRC workflow, UAT and supplier-language review.</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pPr>
              <w:spacing w:after="0"/>
            </w:pPr>
            <w:r/>
            <w:r>
              <w:rPr>
                <w:b/>
                <w:sz w:val="17"/>
              </w:rPr>
              <w:t xml:space="preserve">Capacity rule: </w:t>
            </w:r>
            <w:r>
              <w:rPr>
                <w:sz w:val="17"/>
              </w:rPr>
              <w:t>The handbook says the minimum viable team is 3 developers + QA + domain owner and that if the team has fewer people, R1 scope holds and R2 slips rather than reversing the order. Treat this as a governance rule.</w:t>
            </w:r>
          </w:p>
        </w:tc>
      </w:tr>
    </w:tbl>
    <w:p>
      <w:pPr>
        <w:spacing w:after="40"/>
      </w:pPr>
    </w:p>
    <w:p>
      <w:pPr>
        <w:pStyle w:val="Heading1"/>
        <w:keepNext/>
      </w:pPr>
      <w:r>
        <w:t>20. External dependencies and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b/>
                <w:color w:val="FFFFFF"/>
                <w:sz w:val="14"/>
              </w:rPr>
              <w:t>Item</w:t>
            </w:r>
          </w:p>
        </w:tc>
        <w:tc>
          <w:tcPr>
            <w:tcW w:type="dxa" w:w="3408"/>
            <w:vAlign w:val="center"/>
            <w:shd w:fill="17365D"/>
          </w:tcPr>
          <w:p>
            <w:pPr>
              <w:spacing w:after="0"/>
            </w:pPr>
            <w:r/>
            <w:r>
              <w:rPr>
                <w:b/>
                <w:color w:val="FFFFFF"/>
                <w:sz w:val="14"/>
              </w:rPr>
              <w:t>Why it blocks design</w:t>
            </w:r>
          </w:p>
        </w:tc>
        <w:tc>
          <w:tcPr>
            <w:tcW w:type="dxa" w:w="3408"/>
            <w:vAlign w:val="center"/>
            <w:shd w:fill="17365D"/>
          </w:tcPr>
          <w:p>
            <w:pPr>
              <w:spacing w:after="0"/>
            </w:pPr>
            <w:r/>
            <w:r>
              <w:rPr>
                <w:b/>
                <w:color w:val="FFFFFF"/>
                <w:sz w:val="14"/>
              </w:rPr>
              <w:t>Decision / action</w:t>
            </w:r>
          </w:p>
        </w:tc>
      </w:tr>
      <w:tr>
        <w:tc>
          <w:tcPr>
            <w:tcW w:type="dxa" w:w="3408"/>
            <w:vAlign w:val="center"/>
            <w:shd w:fill="EAF1F8"/>
          </w:tcPr>
          <w:p>
            <w:pPr>
              <w:spacing w:after="0"/>
            </w:pPr>
            <w:r/>
            <w:r>
              <w:rPr>
                <w:b w:val="0"/>
                <w:sz w:val="14"/>
              </w:rPr>
              <w:t>Real CDS export sample</w:t>
            </w:r>
          </w:p>
        </w:tc>
        <w:tc>
          <w:tcPr>
            <w:tcW w:type="dxa" w:w="3408"/>
            <w:vAlign w:val="center"/>
          </w:tcPr>
          <w:p>
            <w:pPr>
              <w:spacing w:after="0"/>
            </w:pPr>
            <w:r/>
            <w:r>
              <w:rPr>
                <w:b w:val="0"/>
                <w:sz w:val="14"/>
              </w:rPr>
              <w:t>R1 import mapping, scope and UAT depend on real field shapes.</w:t>
            </w:r>
          </w:p>
        </w:tc>
        <w:tc>
          <w:tcPr>
            <w:tcW w:type="dxa" w:w="3408"/>
            <w:vAlign w:val="center"/>
          </w:tcPr>
          <w:p>
            <w:pPr>
              <w:spacing w:after="0"/>
            </w:pPr>
            <w:r/>
            <w:r>
              <w:rPr>
                <w:b w:val="0"/>
                <w:sz w:val="14"/>
              </w:rPr>
              <w:t>Obtain a masked/sample export and freeze mapping fixture.</w:t>
            </w:r>
          </w:p>
        </w:tc>
      </w:tr>
      <w:tr>
        <w:tc>
          <w:tcPr>
            <w:tcW w:type="dxa" w:w="3408"/>
            <w:vAlign w:val="center"/>
            <w:shd w:fill="EAF1F8"/>
          </w:tcPr>
          <w:p>
            <w:pPr>
              <w:spacing w:after="0"/>
            </w:pPr>
            <w:r/>
            <w:r>
              <w:rPr>
                <w:b w:val="0"/>
                <w:sz w:val="14"/>
              </w:rPr>
              <w:t>HMRC Carbon Price Verification Form</w:t>
            </w:r>
          </w:p>
        </w:tc>
        <w:tc>
          <w:tcPr>
            <w:tcW w:type="dxa" w:w="3408"/>
            <w:vAlign w:val="center"/>
          </w:tcPr>
          <w:p>
            <w:pPr>
              <w:spacing w:after="0"/>
            </w:pPr>
            <w:r/>
            <w:r>
              <w:rPr>
                <w:b w:val="0"/>
                <w:sz w:val="14"/>
              </w:rPr>
              <w:t>R2 CPR data model depends on the actual form fields.</w:t>
            </w:r>
          </w:p>
        </w:tc>
        <w:tc>
          <w:tcPr>
            <w:tcW w:type="dxa" w:w="3408"/>
            <w:vAlign w:val="center"/>
          </w:tcPr>
          <w:p>
            <w:pPr>
              <w:spacing w:after="0"/>
            </w:pPr>
            <w:r/>
            <w:r>
              <w:rPr>
                <w:b w:val="0"/>
                <w:sz w:val="14"/>
              </w:rPr>
              <w:t>Obtain form and map fields before R2 form implementation.</w:t>
            </w:r>
          </w:p>
        </w:tc>
      </w:tr>
      <w:tr>
        <w:tc>
          <w:tcPr>
            <w:tcW w:type="dxa" w:w="3408"/>
            <w:vAlign w:val="center"/>
            <w:shd w:fill="EAF1F8"/>
          </w:tcPr>
          <w:p>
            <w:pPr>
              <w:spacing w:after="0"/>
            </w:pPr>
            <w:r/>
            <w:r>
              <w:rPr>
                <w:b w:val="0"/>
                <w:sz w:val="14"/>
              </w:rPr>
              <w:t>EU Commission Communication / template</w:t>
            </w:r>
          </w:p>
        </w:tc>
        <w:tc>
          <w:tcPr>
            <w:tcW w:type="dxa" w:w="3408"/>
            <w:vAlign w:val="center"/>
          </w:tcPr>
          <w:p>
            <w:pPr>
              <w:spacing w:after="0"/>
            </w:pPr>
            <w:r/>
            <w:r>
              <w:rPr>
                <w:b w:val="0"/>
                <w:sz w:val="14"/>
              </w:rPr>
              <w:t>Supplier evidence interoperability and form mapping.</w:t>
            </w:r>
          </w:p>
        </w:tc>
        <w:tc>
          <w:tcPr>
            <w:tcW w:type="dxa" w:w="3408"/>
            <w:vAlign w:val="center"/>
          </w:tcPr>
          <w:p>
            <w:pPr>
              <w:spacing w:after="0"/>
            </w:pPr>
            <w:r/>
            <w:r>
              <w:rPr>
                <w:b w:val="0"/>
                <w:sz w:val="14"/>
              </w:rPr>
              <w:t>Obtain latest document; define controlled EU-to-UK mapping.</w:t>
            </w:r>
          </w:p>
        </w:tc>
      </w:tr>
      <w:tr>
        <w:tc>
          <w:tcPr>
            <w:tcW w:type="dxa" w:w="3408"/>
            <w:vAlign w:val="center"/>
            <w:shd w:fill="EAF1F8"/>
          </w:tcPr>
          <w:p>
            <w:pPr>
              <w:spacing w:after="0"/>
            </w:pPr>
            <w:r/>
            <w:r>
              <w:rPr>
                <w:b w:val="0"/>
                <w:sz w:val="14"/>
              </w:rPr>
              <w:t>Verifier examples</w:t>
            </w:r>
          </w:p>
        </w:tc>
        <w:tc>
          <w:tcPr>
            <w:tcW w:type="dxa" w:w="3408"/>
            <w:vAlign w:val="center"/>
          </w:tcPr>
          <w:p>
            <w:pPr>
              <w:spacing w:after="0"/>
            </w:pPr>
            <w:r/>
            <w:r>
              <w:rPr>
                <w:b w:val="0"/>
                <w:sz w:val="14"/>
              </w:rPr>
              <w:t>R2 verifier validation needs real certificate/report shapes.</w:t>
            </w:r>
          </w:p>
        </w:tc>
        <w:tc>
          <w:tcPr>
            <w:tcW w:type="dxa" w:w="3408"/>
            <w:vAlign w:val="center"/>
          </w:tcPr>
          <w:p>
            <w:pPr>
              <w:spacing w:after="0"/>
            </w:pPr>
            <w:r/>
            <w:r>
              <w:rPr>
                <w:b w:val="0"/>
                <w:sz w:val="14"/>
              </w:rPr>
              <w:t>Obtain two example verifier packages and validate mandatory fields.</w:t>
            </w:r>
          </w:p>
        </w:tc>
      </w:tr>
      <w:tr>
        <w:tc>
          <w:tcPr>
            <w:tcW w:type="dxa" w:w="3408"/>
            <w:vAlign w:val="center"/>
            <w:shd w:fill="EAF1F8"/>
          </w:tcPr>
          <w:p>
            <w:pPr>
              <w:spacing w:after="0"/>
            </w:pPr>
            <w:r/>
            <w:r>
              <w:rPr>
                <w:b w:val="0"/>
                <w:sz w:val="14"/>
              </w:rPr>
              <w:t>HMRC return submission interface</w:t>
            </w:r>
          </w:p>
        </w:tc>
        <w:tc>
          <w:tcPr>
            <w:tcW w:type="dxa" w:w="3408"/>
            <w:vAlign w:val="center"/>
          </w:tcPr>
          <w:p>
            <w:pPr>
              <w:spacing w:after="0"/>
            </w:pPr>
            <w:r/>
            <w:r>
              <w:rPr>
                <w:b w:val="0"/>
                <w:sz w:val="14"/>
              </w:rPr>
              <w:t>R3 cannot promise direct filing API behaviour until interface is published/confirmed.</w:t>
            </w:r>
          </w:p>
        </w:tc>
        <w:tc>
          <w:tcPr>
            <w:tcW w:type="dxa" w:w="3408"/>
            <w:vAlign w:val="center"/>
          </w:tcPr>
          <w:p>
            <w:pPr>
              <w:spacing w:after="0"/>
            </w:pPr>
            <w:r/>
            <w:r>
              <w:rPr>
                <w:b w:val="0"/>
                <w:sz w:val="14"/>
              </w:rPr>
              <w:t>Build payload adapter boundary + filing-ready export first.</w:t>
            </w:r>
          </w:p>
        </w:tc>
      </w:tr>
      <w:tr>
        <w:tc>
          <w:tcPr>
            <w:tcW w:type="dxa" w:w="3408"/>
            <w:vAlign w:val="center"/>
            <w:shd w:fill="EAF1F8"/>
          </w:tcPr>
          <w:p>
            <w:pPr>
              <w:spacing w:after="0"/>
            </w:pPr>
            <w:r/>
            <w:r>
              <w:rPr>
                <w:b w:val="0"/>
                <w:sz w:val="14"/>
              </w:rPr>
              <w:t>Default values</w:t>
            </w:r>
          </w:p>
        </w:tc>
        <w:tc>
          <w:tcPr>
            <w:tcW w:type="dxa" w:w="3408"/>
            <w:vAlign w:val="center"/>
          </w:tcPr>
          <w:p>
            <w:pPr>
              <w:spacing w:after="0"/>
            </w:pPr>
            <w:r/>
            <w:r>
              <w:rPr>
                <w:b w:val="0"/>
                <w:sz w:val="14"/>
              </w:rPr>
              <w:t>Exact values not safely hard-coded until official publication/final fixtures.</w:t>
            </w:r>
          </w:p>
        </w:tc>
        <w:tc>
          <w:tcPr>
            <w:tcW w:type="dxa" w:w="3408"/>
            <w:vAlign w:val="center"/>
          </w:tcPr>
          <w:p>
            <w:pPr>
              <w:spacing w:after="0"/>
            </w:pPr>
            <w:r/>
            <w:r>
              <w:rPr>
                <w:b w:val="0"/>
                <w:sz w:val="14"/>
              </w:rPr>
              <w:t>Create versioned reference-data loader and re-base golden fixtures once published.</w:t>
            </w:r>
          </w:p>
        </w:tc>
      </w:tr>
      <w:tr>
        <w:tc>
          <w:tcPr>
            <w:tcW w:type="dxa" w:w="3408"/>
            <w:vAlign w:val="center"/>
            <w:shd w:fill="EAF1F8"/>
          </w:tcPr>
          <w:p>
            <w:pPr>
              <w:spacing w:after="0"/>
            </w:pPr>
            <w:r/>
            <w:r>
              <w:rPr>
                <w:b w:val="0"/>
                <w:sz w:val="14"/>
              </w:rPr>
              <w:t>Illustrative/actual CBAM rates</w:t>
            </w:r>
          </w:p>
        </w:tc>
        <w:tc>
          <w:tcPr>
            <w:tcW w:type="dxa" w:w="3408"/>
            <w:vAlign w:val="center"/>
          </w:tcPr>
          <w:p>
            <w:pPr>
              <w:spacing w:after="0"/>
            </w:pPr>
            <w:r/>
            <w:r>
              <w:rPr>
                <w:b w:val="0"/>
                <w:sz w:val="14"/>
              </w:rPr>
              <w:t>Rate values are reference data and may change.</w:t>
            </w:r>
          </w:p>
        </w:tc>
        <w:tc>
          <w:tcPr>
            <w:tcW w:type="dxa" w:w="3408"/>
            <w:vAlign w:val="center"/>
          </w:tcPr>
          <w:p>
            <w:pPr>
              <w:spacing w:after="0"/>
            </w:pPr>
            <w:r/>
            <w:r>
              <w:rPr>
                <w:b w:val="0"/>
                <w:sz w:val="14"/>
              </w:rPr>
              <w:t>Seed only authoritative published values; keep formula tests independent.</w:t>
            </w:r>
          </w:p>
        </w:tc>
      </w:tr>
      <w:tr>
        <w:tc>
          <w:tcPr>
            <w:tcW w:type="dxa" w:w="3408"/>
            <w:vAlign w:val="center"/>
            <w:shd w:fill="EAF1F8"/>
          </w:tcPr>
          <w:p>
            <w:pPr>
              <w:spacing w:after="0"/>
            </w:pPr>
            <w:r/>
            <w:r>
              <w:rPr>
                <w:b w:val="0"/>
                <w:sz w:val="14"/>
              </w:rPr>
              <w:t>Statutory approver / SAO interpretation</w:t>
            </w:r>
          </w:p>
        </w:tc>
        <w:tc>
          <w:tcPr>
            <w:tcW w:type="dxa" w:w="3408"/>
            <w:vAlign w:val="center"/>
          </w:tcPr>
          <w:p>
            <w:pPr>
              <w:spacing w:after="0"/>
            </w:pPr>
            <w:r/>
            <w:r>
              <w:rPr>
                <w:b w:val="0"/>
                <w:sz w:val="14"/>
              </w:rPr>
              <w:t>Handbook names SAO; official CBAM material does not establish a CBAM-specific SAO filing duty.</w:t>
            </w:r>
          </w:p>
        </w:tc>
        <w:tc>
          <w:tcPr>
            <w:tcW w:type="dxa" w:w="3408"/>
            <w:vAlign w:val="center"/>
          </w:tcPr>
          <w:p>
            <w:pPr>
              <w:spacing w:after="0"/>
            </w:pPr>
            <w:r/>
            <w:r>
              <w:rPr>
                <w:b w:val="0"/>
                <w:sz w:val="14"/>
              </w:rPr>
              <w:t>Keep approver role configurable; get written tax/legal confirmation.</w:t>
            </w:r>
          </w:p>
        </w:tc>
      </w:tr>
      <w:tr>
        <w:tc>
          <w:tcPr>
            <w:tcW w:type="dxa" w:w="3408"/>
            <w:vAlign w:val="center"/>
            <w:shd w:fill="EAF1F8"/>
          </w:tcPr>
          <w:p>
            <w:pPr>
              <w:spacing w:after="0"/>
            </w:pPr>
            <w:r/>
            <w:r>
              <w:rPr>
                <w:b w:val="0"/>
                <w:sz w:val="14"/>
              </w:rPr>
              <w:t>MRV / verifier detailed guidance</w:t>
            </w:r>
          </w:p>
        </w:tc>
        <w:tc>
          <w:tcPr>
            <w:tcW w:type="dxa" w:w="3408"/>
            <w:vAlign w:val="center"/>
          </w:tcPr>
          <w:p>
            <w:pPr>
              <w:spacing w:after="0"/>
            </w:pPr>
            <w:r/>
            <w:r>
              <w:rPr>
                <w:b w:val="0"/>
                <w:sz w:val="14"/>
              </w:rPr>
              <w:t>Verifier screens need exact field/exception rules.</w:t>
            </w:r>
          </w:p>
        </w:tc>
        <w:tc>
          <w:tcPr>
            <w:tcW w:type="dxa" w:w="3408"/>
            <w:vAlign w:val="center"/>
          </w:tcPr>
          <w:p>
            <w:pPr>
              <w:spacing w:after="0"/>
            </w:pPr>
            <w:r/>
            <w:r>
              <w:rPr>
                <w:b w:val="0"/>
                <w:sz w:val="14"/>
              </w:rPr>
              <w:t>Track official updates and treat guidance as versioned reference material.</w:t>
            </w:r>
          </w:p>
        </w:tc>
      </w:tr>
      <w:tr>
        <w:tc>
          <w:tcPr>
            <w:tcW w:type="dxa" w:w="3408"/>
            <w:vAlign w:val="center"/>
            <w:shd w:fill="EAF1F8"/>
          </w:tcPr>
          <w:p>
            <w:pPr>
              <w:spacing w:after="0"/>
            </w:pPr>
            <w:r/>
            <w:r>
              <w:rPr>
                <w:b w:val="0"/>
                <w:sz w:val="14"/>
              </w:rPr>
              <w:t>Supplier contract terms</w:t>
            </w:r>
          </w:p>
        </w:tc>
        <w:tc>
          <w:tcPr>
            <w:tcW w:type="dxa" w:w="3408"/>
            <w:vAlign w:val="center"/>
          </w:tcPr>
          <w:p>
            <w:pPr>
              <w:spacing w:after="0"/>
            </w:pPr>
            <w:r/>
            <w:r>
              <w:rPr>
                <w:b w:val="0"/>
                <w:sz w:val="14"/>
              </w:rPr>
              <w:t>Who pays for verification and who owns evidence affects outreach and dispute workflow.</w:t>
            </w:r>
          </w:p>
        </w:tc>
        <w:tc>
          <w:tcPr>
            <w:tcW w:type="dxa" w:w="3408"/>
            <w:vAlign w:val="center"/>
          </w:tcPr>
          <w:p>
            <w:pPr>
              <w:spacing w:after="0"/>
            </w:pPr>
            <w:r/>
            <w:r>
              <w:rPr>
                <w:b w:val="0"/>
                <w:sz w:val="14"/>
              </w:rPr>
              <w:t>Add a supplier contract/evidence-responsibility field and workflow before pilot.</w:t>
            </w:r>
          </w:p>
        </w:tc>
      </w:tr>
    </w:tbl>
    <w:p>
      <w:pPr>
        <w:spacing w:after="40"/>
      </w:pPr>
    </w:p>
    <w:p>
      <w:pPr>
        <w:pStyle w:val="Heading1"/>
        <w:keepNext/>
      </w:pPr>
      <w:r>
        <w:t>21. Regulatory/reference-data tables to make editable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b/>
                <w:color w:val="FFFFFF"/>
                <w:sz w:val="14"/>
              </w:rPr>
              <w:t>Reference table</w:t>
            </w:r>
          </w:p>
        </w:tc>
        <w:tc>
          <w:tcPr>
            <w:tcW w:type="dxa" w:w="5112"/>
            <w:vAlign w:val="center"/>
            <w:shd w:fill="17365D"/>
          </w:tcPr>
          <w:p>
            <w:pPr>
              <w:spacing w:after="0"/>
            </w:pPr>
            <w:r/>
            <w:r>
              <w:rPr>
                <w:b/>
                <w:color w:val="FFFFFF"/>
                <w:sz w:val="14"/>
              </w:rPr>
              <w:t>Minimum fields</w:t>
            </w:r>
          </w:p>
        </w:tc>
      </w:tr>
      <w:tr>
        <w:tc>
          <w:tcPr>
            <w:tcW w:type="dxa" w:w="5112"/>
            <w:vAlign w:val="center"/>
            <w:shd w:fill="EAF1F8"/>
          </w:tcPr>
          <w:p>
            <w:pPr>
              <w:spacing w:after="0"/>
            </w:pPr>
            <w:r/>
            <w:r>
              <w:rPr>
                <w:b w:val="0"/>
                <w:sz w:val="14"/>
              </w:rPr>
              <w:t>CBAM commodity codes</w:t>
            </w:r>
          </w:p>
        </w:tc>
        <w:tc>
          <w:tcPr>
            <w:tcW w:type="dxa" w:w="5112"/>
            <w:vAlign w:val="center"/>
          </w:tcPr>
          <w:p>
            <w:pPr>
              <w:spacing w:after="0"/>
            </w:pPr>
            <w:r/>
            <w:r>
              <w:rPr>
                <w:b w:val="0"/>
                <w:sz w:val="14"/>
              </w:rPr>
              <w:t>code, sector, product description, scope flag, exclusion, effective_from, effective_to, source, version</w:t>
            </w:r>
          </w:p>
        </w:tc>
      </w:tr>
      <w:tr>
        <w:tc>
          <w:tcPr>
            <w:tcW w:type="dxa" w:w="5112"/>
            <w:vAlign w:val="center"/>
            <w:shd w:fill="EAF1F8"/>
          </w:tcPr>
          <w:p>
            <w:pPr>
              <w:spacing w:after="0"/>
            </w:pPr>
            <w:r/>
            <w:r>
              <w:rPr>
                <w:b w:val="0"/>
                <w:sz w:val="14"/>
              </w:rPr>
              <w:t>Default emissions</w:t>
            </w:r>
          </w:p>
        </w:tc>
        <w:tc>
          <w:tcPr>
            <w:tcW w:type="dxa" w:w="5112"/>
            <w:vAlign w:val="center"/>
          </w:tcPr>
          <w:p>
            <w:pPr>
              <w:spacing w:after="0"/>
            </w:pPr>
            <w:r/>
            <w:r>
              <w:rPr>
                <w:b w:val="0"/>
                <w:sz w:val="14"/>
              </w:rPr>
              <w:t>good, default_value, unit, method, effective_from/to, publication, version, source</w:t>
            </w:r>
          </w:p>
        </w:tc>
      </w:tr>
      <w:tr>
        <w:tc>
          <w:tcPr>
            <w:tcW w:type="dxa" w:w="5112"/>
            <w:vAlign w:val="center"/>
            <w:shd w:fill="EAF1F8"/>
          </w:tcPr>
          <w:p>
            <w:pPr>
              <w:spacing w:after="0"/>
            </w:pPr>
            <w:r/>
            <w:r>
              <w:rPr>
                <w:b w:val="0"/>
                <w:sz w:val="14"/>
              </w:rPr>
              <w:t>CBAM sector rates</w:t>
            </w:r>
          </w:p>
        </w:tc>
        <w:tc>
          <w:tcPr>
            <w:tcW w:type="dxa" w:w="5112"/>
            <w:vAlign w:val="center"/>
          </w:tcPr>
          <w:p>
            <w:pPr>
              <w:spacing w:after="0"/>
            </w:pPr>
            <w:r/>
            <w:r>
              <w:rPr>
                <w:b w:val="0"/>
                <w:sz w:val="14"/>
              </w:rPr>
              <w:t>sector, quarter, rate_gbp_per_tco2e, effective_from/to, publication, version</w:t>
            </w:r>
          </w:p>
        </w:tc>
      </w:tr>
      <w:tr>
        <w:tc>
          <w:tcPr>
            <w:tcW w:type="dxa" w:w="5112"/>
            <w:vAlign w:val="center"/>
            <w:shd w:fill="EAF1F8"/>
          </w:tcPr>
          <w:p>
            <w:pPr>
              <w:spacing w:after="0"/>
            </w:pPr>
            <w:r/>
            <w:r>
              <w:rPr>
                <w:b w:val="0"/>
                <w:sz w:val="14"/>
              </w:rPr>
              <w:t>Validation rules</w:t>
            </w:r>
          </w:p>
        </w:tc>
        <w:tc>
          <w:tcPr>
            <w:tcW w:type="dxa" w:w="5112"/>
            <w:vAlign w:val="center"/>
          </w:tcPr>
          <w:p>
            <w:pPr>
              <w:spacing w:after="0"/>
            </w:pPr>
            <w:r/>
            <w:r>
              <w:rPr>
                <w:b w:val="0"/>
                <w:sz w:val="14"/>
              </w:rPr>
              <w:t>rule_id, condition, message, severity, sector/code applicability, effective dates, source</w:t>
            </w:r>
          </w:p>
        </w:tc>
      </w:tr>
      <w:tr>
        <w:tc>
          <w:tcPr>
            <w:tcW w:type="dxa" w:w="5112"/>
            <w:vAlign w:val="center"/>
            <w:shd w:fill="EAF1F8"/>
          </w:tcPr>
          <w:p>
            <w:pPr>
              <w:spacing w:after="0"/>
            </w:pPr>
            <w:r/>
            <w:r>
              <w:rPr>
                <w:b w:val="0"/>
                <w:sz w:val="14"/>
              </w:rPr>
              <w:t>Verification rules</w:t>
            </w:r>
          </w:p>
        </w:tc>
        <w:tc>
          <w:tcPr>
            <w:tcW w:type="dxa" w:w="5112"/>
            <w:vAlign w:val="center"/>
          </w:tcPr>
          <w:p>
            <w:pPr>
              <w:spacing w:after="0"/>
            </w:pPr>
            <w:r/>
            <w:r>
              <w:rPr>
                <w:b w:val="0"/>
                <w:sz w:val="14"/>
              </w:rPr>
              <w:t>standard, accreditation requirement, scope, materiality, site_visit requirement, effective dates</w:t>
            </w:r>
          </w:p>
        </w:tc>
      </w:tr>
      <w:tr>
        <w:tc>
          <w:tcPr>
            <w:tcW w:type="dxa" w:w="5112"/>
            <w:vAlign w:val="center"/>
            <w:shd w:fill="EAF1F8"/>
          </w:tcPr>
          <w:p>
            <w:pPr>
              <w:spacing w:after="0"/>
            </w:pPr>
            <w:r/>
            <w:r>
              <w:rPr>
                <w:b w:val="0"/>
                <w:sz w:val="14"/>
              </w:rPr>
              <w:t>Carbon-price schemes</w:t>
            </w:r>
          </w:p>
        </w:tc>
        <w:tc>
          <w:tcPr>
            <w:tcW w:type="dxa" w:w="5112"/>
            <w:vAlign w:val="center"/>
          </w:tcPr>
          <w:p>
            <w:pPr>
              <w:spacing w:after="0"/>
            </w:pPr>
            <w:r/>
            <w:r>
              <w:rPr>
                <w:b w:val="0"/>
                <w:sz w:val="14"/>
              </w:rPr>
              <w:t>scheme, jurisdiction, qualifying status, effective dates, source, evidence type</w:t>
            </w:r>
          </w:p>
        </w:tc>
      </w:tr>
      <w:tr>
        <w:tc>
          <w:tcPr>
            <w:tcW w:type="dxa" w:w="5112"/>
            <w:vAlign w:val="center"/>
            <w:shd w:fill="EAF1F8"/>
          </w:tcPr>
          <w:p>
            <w:pPr>
              <w:spacing w:after="0"/>
            </w:pPr>
            <w:r/>
            <w:r>
              <w:rPr>
                <w:b w:val="0"/>
                <w:sz w:val="14"/>
              </w:rPr>
              <w:t>Exchange rates</w:t>
            </w:r>
          </w:p>
        </w:tc>
        <w:tc>
          <w:tcPr>
            <w:tcW w:type="dxa" w:w="5112"/>
            <w:vAlign w:val="center"/>
          </w:tcPr>
          <w:p>
            <w:pPr>
              <w:spacing w:after="0"/>
            </w:pPr>
            <w:r/>
            <w:r>
              <w:rPr>
                <w:b w:val="0"/>
                <w:sz w:val="14"/>
              </w:rPr>
              <w:t>currency, quarter, GBP rate, source, publication/effective date</w:t>
            </w:r>
          </w:p>
        </w:tc>
      </w:tr>
      <w:tr>
        <w:tc>
          <w:tcPr>
            <w:tcW w:type="dxa" w:w="5112"/>
            <w:vAlign w:val="center"/>
            <w:shd w:fill="EAF1F8"/>
          </w:tcPr>
          <w:p>
            <w:pPr>
              <w:spacing w:after="0"/>
            </w:pPr>
            <w:r/>
            <w:r>
              <w:rPr>
                <w:b w:val="0"/>
                <w:sz w:val="14"/>
              </w:rPr>
              <w:t>Compliance calendar</w:t>
            </w:r>
          </w:p>
        </w:tc>
        <w:tc>
          <w:tcPr>
            <w:tcW w:type="dxa" w:w="5112"/>
            <w:vAlign w:val="center"/>
          </w:tcPr>
          <w:p>
            <w:pPr>
              <w:spacing w:after="0"/>
            </w:pPr>
            <w:r/>
            <w:r>
              <w:rPr>
                <w:b w:val="0"/>
                <w:sz w:val="14"/>
              </w:rPr>
              <w:t>event, accounting period, due date, reminder windows, legal source, effective date</w:t>
            </w:r>
          </w:p>
        </w:tc>
      </w:tr>
      <w:tr>
        <w:tc>
          <w:tcPr>
            <w:tcW w:type="dxa" w:w="5112"/>
            <w:vAlign w:val="center"/>
            <w:shd w:fill="EAF1F8"/>
          </w:tcPr>
          <w:p>
            <w:pPr>
              <w:spacing w:after="0"/>
            </w:pPr>
            <w:r/>
            <w:r>
              <w:rPr>
                <w:b w:val="0"/>
                <w:sz w:val="14"/>
              </w:rPr>
              <w:t>Tax-point rules</w:t>
            </w:r>
          </w:p>
        </w:tc>
        <w:tc>
          <w:tcPr>
            <w:tcW w:type="dxa" w:w="5112"/>
            <w:vAlign w:val="center"/>
          </w:tcPr>
          <w:p>
            <w:pPr>
              <w:spacing w:after="0"/>
            </w:pPr>
            <w:r/>
            <w:r>
              <w:rPr>
                <w:b w:val="0"/>
                <w:sz w:val="14"/>
              </w:rPr>
              <w:t>customs procedure, trigger event, condition, effect, effective dates</w:t>
            </w:r>
          </w:p>
        </w:tc>
      </w:tr>
      <w:tr>
        <w:tc>
          <w:tcPr>
            <w:tcW w:type="dxa" w:w="5112"/>
            <w:vAlign w:val="center"/>
            <w:shd w:fill="EAF1F8"/>
          </w:tcPr>
          <w:p>
            <w:pPr>
              <w:spacing w:after="0"/>
            </w:pPr>
            <w:r/>
            <w:r>
              <w:rPr>
                <w:b w:val="0"/>
                <w:sz w:val="14"/>
              </w:rPr>
              <w:t>Penalty/interest rules</w:t>
            </w:r>
          </w:p>
        </w:tc>
        <w:tc>
          <w:tcPr>
            <w:tcW w:type="dxa" w:w="5112"/>
            <w:vAlign w:val="center"/>
          </w:tcPr>
          <w:p>
            <w:pPr>
              <w:spacing w:after="0"/>
            </w:pPr>
            <w:r/>
            <w:r>
              <w:rPr>
                <w:b w:val="0"/>
                <w:sz w:val="14"/>
              </w:rPr>
              <w:t>type, trigger, rate/method, effective dates, source</w:t>
            </w:r>
          </w:p>
        </w:tc>
      </w:tr>
    </w:tbl>
    <w:p>
      <w:pPr>
        <w:spacing w:after="40"/>
      </w:pPr>
    </w:p>
    <w:p>
      <w:pPr>
        <w:pStyle w:val="Heading1"/>
        <w:keepNext/>
      </w:pPr>
      <w:r>
        <w:t>22. Explicit R1 non-goals</w:t>
      </w:r>
    </w:p>
    <w:p>
      <w:pPr>
        <w:pStyle w:val="ListBullet"/>
        <w:spacing w:after="40"/>
      </w:pPr>
      <w:r>
        <w:t>No production-grade CBAM liability calculator in R1.</w:t>
      </w:r>
    </w:p>
    <w:p>
      <w:pPr>
        <w:pStyle w:val="ListBullet"/>
        <w:spacing w:after="40"/>
      </w:pPr>
      <w:r>
        <w:t>No final HMRC filing integration in R1.</w:t>
      </w:r>
    </w:p>
    <w:p>
      <w:pPr>
        <w:pStyle w:val="ListBullet"/>
        <w:spacing w:after="40"/>
      </w:pPr>
      <w:r>
        <w:t>No complex BI/forecasting layer in R1.</w:t>
      </w:r>
    </w:p>
    <w:p>
      <w:pPr>
        <w:pStyle w:val="ListBullet"/>
        <w:spacing w:after="40"/>
      </w:pPr>
      <w:r>
        <w:t>No autonomous approval or auto-filing.</w:t>
      </w:r>
    </w:p>
    <w:p>
      <w:pPr>
        <w:pStyle w:val="ListBullet"/>
        <w:spacing w:after="40"/>
      </w:pPr>
      <w:r>
        <w:t>No hard-coded regulatory rates/defaults as business constants.</w:t>
      </w:r>
    </w:p>
    <w:p>
      <w:pPr>
        <w:pStyle w:val="ListBullet"/>
        <w:spacing w:after="40"/>
      </w:pPr>
      <w:r>
        <w:t>No assumption that the Day 28 supplier chase itself legally authorises default use.</w:t>
      </w:r>
    </w:p>
    <w:p>
      <w:pPr>
        <w:pStyle w:val="ListBullet"/>
        <w:spacing w:after="40"/>
      </w:pPr>
      <w:r>
        <w:t>No interpretation of SAO as a statutory CBAM role until confirmed.</w:t>
      </w:r>
    </w:p>
    <w:p>
      <w:pPr>
        <w:pStyle w:val="Heading1"/>
        <w:keepNext/>
      </w:pPr>
      <w:r>
        <w:t>23. Official research sources used</w:t>
      </w:r>
    </w:p>
    <w:p>
      <w:pPr>
        <w:pStyle w:val="ListBullet"/>
        <w:spacing w:after="40"/>
      </w:pPr>
      <w:r>
        <w:rPr>
          <w:b/>
        </w:rPr>
        <w:t xml:space="preserve">HMRC – Carbon Border Adjustment Mechanism (CBAM) policy summary — </w:t>
      </w:r>
      <w:r>
        <w:t>https://www.gov.uk/government/publications/carbon-border-adjustment-mechanism-cbam-policy-summary/carbon-border-adjustment-mechanism-cbam-policy-summary</w:t>
      </w:r>
    </w:p>
    <w:p>
      <w:pPr>
        <w:pStyle w:val="ListBullet"/>
        <w:spacing w:after="40"/>
      </w:pPr>
      <w:r>
        <w:rPr>
          <w:b/>
        </w:rPr>
        <w:t xml:space="preserve">HMRC – Check which goods are in scope of CBAM — </w:t>
      </w:r>
      <w:r>
        <w:t>https://www.gov.uk/government/publications/check-which-goods-are-in-scope-of-carbon-border-adjustment-mechanism-cbam</w:t>
      </w:r>
    </w:p>
    <w:p>
      <w:pPr>
        <w:pStyle w:val="ListBullet"/>
        <w:spacing w:after="40"/>
      </w:pPr>
      <w:r>
        <w:rPr>
          <w:b/>
        </w:rPr>
        <w:t xml:space="preserve">HMRC – Work out the date you will need to register for CBAM — </w:t>
      </w:r>
      <w:r>
        <w:t>https://www.gov.uk/guidance/work-out-the-date-youll-need-to-register-for-carbon-border-adjustment-mechanism-cbam</w:t>
      </w:r>
    </w:p>
    <w:p>
      <w:pPr>
        <w:pStyle w:val="ListBullet"/>
        <w:spacing w:after="40"/>
      </w:pPr>
      <w:r>
        <w:rPr>
          <w:b/>
        </w:rPr>
        <w:t xml:space="preserve">HMRC – Keeping records for CBAM — </w:t>
      </w:r>
      <w:r>
        <w:t>https://www.gov.uk/guidance/keeping-records-for-carbon-border-adjustment-mechanism-cbam</w:t>
      </w:r>
    </w:p>
    <w:p>
      <w:pPr>
        <w:pStyle w:val="ListBullet"/>
        <w:spacing w:after="40"/>
      </w:pPr>
      <w:r>
        <w:rPr>
          <w:b/>
        </w:rPr>
        <w:t xml:space="preserve">HMRC – Imported CBAM goods that may not contribute towards the registration threshold — </w:t>
      </w:r>
      <w:r>
        <w:t>https://www.gov.uk/guidance/imported-carbon-border-adjustment-cbam-goods-that-may-not-contribute-towards-the-registration-threshold</w:t>
      </w:r>
    </w:p>
    <w:p>
      <w:pPr>
        <w:pStyle w:val="ListBullet"/>
        <w:spacing w:after="40"/>
      </w:pPr>
      <w:r>
        <w:rPr>
          <w:b/>
        </w:rPr>
        <w:t xml:space="preserve">HMRC – Work out carbon price relief — </w:t>
      </w:r>
      <w:r>
        <w:t>https://www.gov.uk/guidance/work-out-your-carbon-price-relief</w:t>
      </w:r>
    </w:p>
    <w:p>
      <w:pPr>
        <w:pStyle w:val="ListBullet"/>
        <w:spacing w:after="40"/>
      </w:pPr>
      <w:r>
        <w:rPr>
          <w:b/>
        </w:rPr>
        <w:t xml:space="preserve">HMRC – Get a carbon pricing verification form — </w:t>
      </w:r>
      <w:r>
        <w:t>https://www.gov.uk/guidance/get-a-carbon-pricing-verification-form</w:t>
      </w:r>
    </w:p>
    <w:p>
      <w:pPr>
        <w:pStyle w:val="ListBullet"/>
        <w:spacing w:after="40"/>
      </w:pPr>
      <w:r>
        <w:rPr>
          <w:b/>
        </w:rPr>
        <w:t xml:space="preserve">HMRC – CBAM collection / registration service updates — </w:t>
      </w:r>
      <w:r>
        <w:t>https://www.gov.uk/government/collections/check-if-youll-need-to-register-for-carbon-border-adjustment-mechanism-cbam</w:t>
      </w:r>
    </w:p>
    <w:p>
      <w:pPr>
        <w:pStyle w:val="ListBullet"/>
        <w:spacing w:after="40"/>
      </w:pPr>
      <w:r>
        <w:rPr>
          <w:b/>
        </w:rPr>
        <w:t xml:space="preserve">HMRC – Carbon Border Adjustment Mechanism: factsheet — </w:t>
      </w:r>
      <w:r>
        <w:t>https://www.gov.uk/government/publications/factsheet-carbon-border-adjustment-mechanism-cbam/factsheet-carbon-border-adjustment-mechanism</w:t>
      </w:r>
    </w:p>
    <w:p>
      <w:pPr>
        <w:pStyle w:val="ListBullet"/>
        <w:spacing w:after="40"/>
      </w:pPr>
      <w:r>
        <w:rPr>
          <w:b/>
        </w:rPr>
        <w:t xml:space="preserve">Legislation.gov.uk – Finance Act 2026 — </w:t>
      </w:r>
      <w:r>
        <w:t>https://www.legislation.gov.uk/ukpga/2026/11/contents</w:t>
      </w:r>
    </w:p>
    <w:p>
      <w:pPr>
        <w:pStyle w:val="ListBullet"/>
        <w:spacing w:after="40"/>
      </w:pPr>
      <w:r>
        <w:rPr>
          <w:b/>
        </w:rPr>
        <w:t xml:space="preserve">Legislation.gov.uk – The Carbon Border Adjustment Mechanism (Emissions and Verification) Regulations 2026 (SI 2026/995) — </w:t>
      </w:r>
      <w:r>
        <w:t>https://www.legislation.gov.uk/uksi/2026/995/contents</w:t>
      </w:r>
    </w:p>
    <w:p>
      <w:pPr>
        <w:pStyle w:val="ListBullet"/>
        <w:spacing w:after="40"/>
      </w:pPr>
      <w:r>
        <w:rPr>
          <w:b/>
        </w:rPr>
        <w:t xml:space="preserve">Legislation.gov.uk – The Carbon Border Adjustment Mechanism (Calculation and Carbon Price Relief) Regulations 2026 (SI 2026/809) — </w:t>
      </w:r>
      <w:r>
        <w:t>https://www.legislation.gov.uk/uksi/2026/809/contents</w:t>
      </w:r>
    </w:p>
    <w:p>
      <w:pPr>
        <w:pStyle w:val="ListBullet"/>
        <w:spacing w:after="40"/>
      </w:pPr>
      <w:r>
        <w:rPr>
          <w:b/>
        </w:rPr>
        <w:t xml:space="preserve">Legislation.gov.uk – The Carbon Border Adjustment Mechanism (Administrative Provisions) Regulations 2026 (SI 2026/802) — </w:t>
      </w:r>
      <w:r>
        <w:t>https://www.legislation.gov.uk/uksi/2026/802/contents</w:t>
      </w:r>
    </w:p>
    <w:p>
      <w:pPr>
        <w:pStyle w:val="Heading1"/>
        <w:keepNext/>
      </w:pPr>
      <w:r>
        <w:t>24. Handbook cross-reference</w:t>
      </w:r>
    </w:p>
    <w:p>
      <w:pPr>
        <w:spacing w:after="100" w:line="252" w:lineRule="auto"/>
      </w:pPr>
      <w:r>
        <w:t>The six-page uploaded handbook remains the product-management baseline. Page 1 explains the reason and scope; pages 2–3 show the eight-step business flow and glossary/automation; page 4 defines the three release plan; page 5 sets the R1 weekly gates and standing rules; page 6 lists parallel blockers and companion documents. (Handbook, pp. 1–6)</w:t>
      </w:r>
    </w:p>
    <w:tbl>
      <w:tblPr>
        <w:tblStyle w:val="TableGrid"/>
        <w:tblW w:type="auto" w:w="0"/>
        <w:tblLook w:firstColumn="1" w:firstRow="1" w:lastColumn="0" w:lastRow="0" w:noHBand="0" w:noVBand="1" w:val="04A0"/>
      </w:tblPr>
      <w:tblGrid>
        <w:gridCol w:w="10224"/>
      </w:tblGrid>
      <w:tr>
        <w:tc>
          <w:tcPr>
            <w:tcW w:type="dxa" w:w="10224"/>
            <w:shd w:fill="EAF2F8"/>
          </w:tcPr>
          <w:p>
            <w:pPr>
              <w:spacing w:after="0"/>
            </w:pPr>
            <w:r/>
            <w:r>
              <w:rPr>
                <w:b/>
                <w:sz w:val="17"/>
              </w:rPr>
              <w:t xml:space="preserve">Source limitation: </w:t>
            </w:r>
            <w:r>
              <w:rPr>
                <w:sz w:val="17"/>
              </w:rPr>
              <w:t>The uploaded PDF is image-based and has no machine-readable text layer. This document therefore uses the rendered page content as the source for handbook-derived requirements. Regulatory corrections and expansions in this specification are explicitly based on external official research, not silently inferred from the handbook.</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UK CBAM Platform — Prioritised Requirements &amp; Build Specification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CBAM Platform — Prioritised Product Requirements &amp; Build Specification</dc:title>
  <dc:subject>Merged and prioritised CBAM requirements based on the uploaded Team Handbook and September 2026 regulatory research.</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