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3ACD" w:rsidRDefault="002E716B">
      <w:pPr>
        <w:spacing w:after="0"/>
        <w:jc w:val="center"/>
      </w:pPr>
      <w:bookmarkStart w:id="0" w:name="_GoBack"/>
      <w:r>
        <w:rPr>
          <w:b/>
          <w:color w:val="1F2D3D"/>
          <w:sz w:val="28"/>
        </w:rPr>
        <w:t>LITERATURE REVIEW &amp; SUMMARY</w:t>
      </w:r>
    </w:p>
    <w:bookmarkEnd w:id="0"/>
    <w:p w:rsidR="00D63ACD" w:rsidRDefault="002E716B">
      <w:pPr>
        <w:spacing w:after="20"/>
        <w:jc w:val="center"/>
      </w:pPr>
      <w:r>
        <w:rPr>
          <w:b/>
          <w:color w:val="2E5FA3"/>
          <w:sz w:val="21"/>
        </w:rPr>
        <w:t>Mini Project: Teacher Recruitment Website</w:t>
      </w:r>
    </w:p>
    <w:p w:rsidR="00D63ACD" w:rsidRDefault="002E716B">
      <w:pPr>
        <w:spacing w:after="80"/>
        <w:jc w:val="center"/>
      </w:pPr>
      <w:r>
        <w:rPr>
          <w:i/>
          <w:sz w:val="16"/>
        </w:rPr>
        <w:t>Synthesis of six research papers informing the design of an online teacher recruitment and selection system</w:t>
      </w:r>
    </w:p>
    <w:p w:rsidR="00D63ACD" w:rsidRDefault="002E716B">
      <w:pPr>
        <w:spacing w:before="80"/>
      </w:pPr>
      <w:r>
        <w:rPr>
          <w:b/>
          <w:color w:val="2E5FA3"/>
          <w:sz w:val="20"/>
        </w:rPr>
        <w:t>1. Review of the Six Research Papers</w:t>
      </w:r>
    </w:p>
    <w:p w:rsidR="00D63ACD" w:rsidRDefault="002E716B">
      <w:pPr>
        <w:spacing w:after="20"/>
      </w:pPr>
      <w:r>
        <w:rPr>
          <w:b/>
          <w:color w:val="1F2D3D"/>
        </w:rPr>
        <w:t xml:space="preserve">Paper 1. Miller et al. (2019), JNAAC — </w:t>
      </w:r>
      <w:r>
        <w:rPr>
          <w:b/>
          <w:color w:val="1F2D3D"/>
        </w:rPr>
        <w:t>Alternate-Route Teacher Recruitment in Rural Mississippi (MSU MATM program)</w:t>
      </w:r>
    </w:p>
    <w:p w:rsidR="00D63ACD" w:rsidRDefault="002E716B">
      <w:pPr>
        <w:spacing w:after="20"/>
        <w:ind w:left="259"/>
      </w:pPr>
      <w:r>
        <w:rPr>
          <w:b/>
          <w:color w:val="2E5FA3"/>
          <w:sz w:val="16"/>
        </w:rPr>
        <w:t xml:space="preserve">Problem: </w:t>
      </w:r>
      <w:r>
        <w:rPr>
          <w:sz w:val="16"/>
        </w:rPr>
        <w:t>Rural teacher shortage with a hard-to-reach candidate pool; only 21% of the state population holds a bachelor’s degree, and isolation/low pay make rural posts hard to fill</w:t>
      </w:r>
      <w:r>
        <w:rPr>
          <w:sz w:val="16"/>
        </w:rPr>
        <w:t>.</w:t>
      </w:r>
    </w:p>
    <w:p w:rsidR="00D63ACD" w:rsidRDefault="002E716B">
      <w:pPr>
        <w:spacing w:after="20"/>
        <w:ind w:left="259"/>
      </w:pPr>
      <w:r>
        <w:rPr>
          <w:b/>
          <w:color w:val="2E5FA3"/>
          <w:sz w:val="16"/>
        </w:rPr>
        <w:t xml:space="preserve">Method &amp; findings: </w:t>
      </w:r>
      <w:r>
        <w:rPr>
          <w:sz w:val="16"/>
        </w:rPr>
        <w:t>A fully online Master of Arts in Teaching (middle level) program recruited, prepared and placed teachers over five years — 154 participants started and 113 were hired (avg. 22 new teachers/year). The authors identify three strategy fam</w:t>
      </w:r>
      <w:r>
        <w:rPr>
          <w:sz w:val="16"/>
        </w:rPr>
        <w:t>ilies: (a) fostering and maintaining relationships with school principals, university faculty advisors and current students, where word-of-mouth proved the most cost-effective channel; (b) targeting appropriate audiences via state conferences, community jo</w:t>
      </w:r>
      <w:r>
        <w:rPr>
          <w:sz w:val="16"/>
        </w:rPr>
        <w:t>b fairs, campus events and sponsorships; (c) using varied communication methods — a functional website (top awareness source), targeted Facebook advertising (page likes grew ~2,000% in 3 months), newspapers, TV segments, posters and promotional items.</w:t>
      </w:r>
    </w:p>
    <w:p w:rsidR="00D63ACD" w:rsidRDefault="002E716B">
      <w:pPr>
        <w:spacing w:after="20"/>
        <w:ind w:left="259"/>
      </w:pPr>
      <w:r>
        <w:rPr>
          <w:b/>
          <w:color w:val="2E5FA3"/>
          <w:sz w:val="16"/>
        </w:rPr>
        <w:t>Take</w:t>
      </w:r>
      <w:r>
        <w:rPr>
          <w:b/>
          <w:color w:val="2E5FA3"/>
          <w:sz w:val="16"/>
        </w:rPr>
        <w:t xml:space="preserve">-away: </w:t>
      </w:r>
      <w:r>
        <w:rPr>
          <w:sz w:val="16"/>
        </w:rPr>
        <w:t>The website and social media are the primary attraction channels; referral/word-of-mouth loops and sustained program quality drive recruitment success.</w:t>
      </w:r>
    </w:p>
    <w:p w:rsidR="00D63ACD" w:rsidRDefault="002E716B">
      <w:pPr>
        <w:spacing w:after="20"/>
      </w:pPr>
      <w:r>
        <w:rPr>
          <w:b/>
          <w:color w:val="1F2D3D"/>
        </w:rPr>
        <w:t>Paper 2. Zulfikar et al. (2018), AASEC/IOP — Teacher Recruitment System Using SAW and TOPSIS</w:t>
      </w:r>
    </w:p>
    <w:p w:rsidR="00D63ACD" w:rsidRDefault="002E716B">
      <w:pPr>
        <w:spacing w:after="20"/>
        <w:ind w:left="259"/>
      </w:pPr>
      <w:r>
        <w:rPr>
          <w:b/>
          <w:color w:val="2E5FA3"/>
          <w:sz w:val="16"/>
        </w:rPr>
        <w:t>Prob</w:t>
      </w:r>
      <w:r>
        <w:rPr>
          <w:b/>
          <w:color w:val="2E5FA3"/>
          <w:sz w:val="16"/>
        </w:rPr>
        <w:t xml:space="preserve">lem: </w:t>
      </w:r>
      <w:r>
        <w:rPr>
          <w:sz w:val="16"/>
        </w:rPr>
        <w:t>Subjectivity and inconsistency in manual teacher selection risk placing unsuitable teachers in classrooms, lowering school quality.</w:t>
      </w:r>
    </w:p>
    <w:p w:rsidR="00D63ACD" w:rsidRDefault="002E716B">
      <w:pPr>
        <w:spacing w:after="20"/>
        <w:ind w:left="259"/>
      </w:pPr>
      <w:r>
        <w:rPr>
          <w:b/>
          <w:color w:val="2E5FA3"/>
          <w:sz w:val="16"/>
        </w:rPr>
        <w:t xml:space="preserve">Method &amp; findings: </w:t>
      </w:r>
      <w:r>
        <w:rPr>
          <w:sz w:val="16"/>
        </w:rPr>
        <w:t>A decision-support model scoring 13 candidates on 7 weighted criteria (communication skill, educatio</w:t>
      </w:r>
      <w:r>
        <w:rPr>
          <w:sz w:val="16"/>
        </w:rPr>
        <w:t>nal background, general knowledge, tilawah &amp; tahfidz, appearance, work experience, GPA). Both SAW and TOPSIS ranked A10, A3 and A1 as the top three — exactly the candidates actually accepted at the Al-Mishbah Foundation; only minor rank differences occurre</w:t>
      </w:r>
      <w:r>
        <w:rPr>
          <w:sz w:val="16"/>
        </w:rPr>
        <w:t>d at positions 6–9, with TOPSIS slightly more discriminating.</w:t>
      </w:r>
    </w:p>
    <w:p w:rsidR="00D63ACD" w:rsidRDefault="002E716B">
      <w:pPr>
        <w:spacing w:after="20"/>
        <w:ind w:left="259"/>
      </w:pPr>
      <w:r>
        <w:rPr>
          <w:b/>
          <w:color w:val="2E5FA3"/>
          <w:sz w:val="16"/>
        </w:rPr>
        <w:t xml:space="preserve">Take-away: </w:t>
      </w:r>
      <w:r>
        <w:rPr>
          <w:sz w:val="16"/>
        </w:rPr>
        <w:t>This is the core justification for the website’s automated shortlisting/scoring engine: MCDM methods produce consistent, defensible rankings that match real hiring decisions.</w:t>
      </w:r>
    </w:p>
    <w:p w:rsidR="00D63ACD" w:rsidRDefault="002E716B">
      <w:pPr>
        <w:spacing w:after="20"/>
      </w:pPr>
      <w:r>
        <w:rPr>
          <w:b/>
          <w:color w:val="1F2D3D"/>
        </w:rPr>
        <w:t>Paper 3.</w:t>
      </w:r>
      <w:r>
        <w:rPr>
          <w:b/>
          <w:color w:val="1F2D3D"/>
        </w:rPr>
        <w:t xml:space="preserve"> Turnip et al. (2019), SNIKOM/IOP — Teacher Performance Assessment DSS Using SMART</w:t>
      </w:r>
    </w:p>
    <w:p w:rsidR="00D63ACD" w:rsidRDefault="002E716B">
      <w:pPr>
        <w:spacing w:after="20"/>
        <w:ind w:left="259"/>
      </w:pPr>
      <w:r>
        <w:rPr>
          <w:b/>
          <w:color w:val="2E5FA3"/>
          <w:sz w:val="16"/>
        </w:rPr>
        <w:t xml:space="preserve">Problem: </w:t>
      </w:r>
      <w:r>
        <w:rPr>
          <w:sz w:val="16"/>
        </w:rPr>
        <w:t>Conventional teacher assessment in Indonesian schools is slow and delays decision-making.</w:t>
      </w:r>
    </w:p>
    <w:p w:rsidR="00D63ACD" w:rsidRDefault="002E716B">
      <w:pPr>
        <w:spacing w:after="20"/>
        <w:ind w:left="259"/>
      </w:pPr>
      <w:r>
        <w:rPr>
          <w:b/>
          <w:color w:val="2E5FA3"/>
          <w:sz w:val="16"/>
        </w:rPr>
        <w:t xml:space="preserve">Method &amp; findings: </w:t>
      </w:r>
      <w:r>
        <w:rPr>
          <w:sz w:val="16"/>
        </w:rPr>
        <w:t>A web-based DSS with role-based logins (admin, principa</w:t>
      </w:r>
      <w:r>
        <w:rPr>
          <w:sz w:val="16"/>
        </w:rPr>
        <w:t>l, teacher) assessing four criteria — pedagogic, personality, social, professional. SMART swing weighting sets the most important criterion at 100 and the least at 10, normalises and averages the weights, then computes utility scores to rank teachers. Resu</w:t>
      </w:r>
      <w:r>
        <w:rPr>
          <w:sz w:val="16"/>
        </w:rPr>
        <w:t>lts showed a significant difference in decision time and quality before vs. after system use; full UML modelling (use case, class, sequence, activity diagrams) guided implementation.</w:t>
      </w:r>
    </w:p>
    <w:p w:rsidR="00D63ACD" w:rsidRDefault="002E716B">
      <w:pPr>
        <w:spacing w:after="20"/>
        <w:ind w:left="259"/>
      </w:pPr>
      <w:r>
        <w:rPr>
          <w:b/>
          <w:color w:val="2E5FA3"/>
          <w:sz w:val="16"/>
        </w:rPr>
        <w:t xml:space="preserve">Take-away: </w:t>
      </w:r>
      <w:r>
        <w:rPr>
          <w:sz w:val="16"/>
        </w:rPr>
        <w:t>A reusable SMART ranking module with configurable criteria and</w:t>
      </w:r>
      <w:r>
        <w:rPr>
          <w:sz w:val="16"/>
        </w:rPr>
        <w:t xml:space="preserve"> role-based access fits naturally into the recruitment website.</w:t>
      </w:r>
    </w:p>
    <w:p w:rsidR="00D63ACD" w:rsidRDefault="002E716B">
      <w:pPr>
        <w:spacing w:after="20"/>
      </w:pPr>
      <w:r>
        <w:rPr>
          <w:b/>
          <w:color w:val="1F2D3D"/>
        </w:rPr>
        <w:t>Paper 4. Klassen et al. (2025), Computers &amp; Education — Digital Innovations in Teacher Recruitment</w:t>
      </w:r>
    </w:p>
    <w:p w:rsidR="00D63ACD" w:rsidRDefault="002E716B">
      <w:pPr>
        <w:spacing w:after="20"/>
        <w:ind w:left="259"/>
      </w:pPr>
      <w:r>
        <w:rPr>
          <w:b/>
          <w:color w:val="2E5FA3"/>
          <w:sz w:val="16"/>
        </w:rPr>
        <w:t xml:space="preserve">Problem: </w:t>
      </w:r>
      <w:r>
        <w:rPr>
          <w:sz w:val="16"/>
        </w:rPr>
        <w:t xml:space="preserve">Teacher shortages are worsened by Gen-Z applicants’ disengagement from traditional, </w:t>
      </w:r>
      <w:r>
        <w:rPr>
          <w:sz w:val="16"/>
        </w:rPr>
        <w:t>non-interactive recruitment messages.</w:t>
      </w:r>
    </w:p>
    <w:p w:rsidR="00D63ACD" w:rsidRDefault="002E716B">
      <w:pPr>
        <w:spacing w:after="20"/>
        <w:ind w:left="259"/>
      </w:pPr>
      <w:r>
        <w:rPr>
          <w:b/>
          <w:color w:val="2E5FA3"/>
          <w:sz w:val="16"/>
        </w:rPr>
        <w:t xml:space="preserve">Method &amp; findings: </w:t>
      </w:r>
      <w:r>
        <w:rPr>
          <w:sz w:val="16"/>
        </w:rPr>
        <w:t>A two-phase randomised experiment (N = 957, UK undergraduates) compared a persuasive game (“TeachQuest”), a realistic job preview (RJP), and a neutral control game. Both interventions increased teach</w:t>
      </w:r>
      <w:r>
        <w:rPr>
          <w:sz w:val="16"/>
        </w:rPr>
        <w:t>ing interest and person-vocation fit; the RJP also increased teaching self-efficacy; immersion experiences sustained interest at a six-week delayed post-test. Only ~6.9% clicked through to the government ITE website (non-significant).</w:t>
      </w:r>
    </w:p>
    <w:p w:rsidR="00D63ACD" w:rsidRDefault="002E716B">
      <w:pPr>
        <w:spacing w:after="20"/>
        <w:ind w:left="259"/>
      </w:pPr>
      <w:r>
        <w:rPr>
          <w:b/>
          <w:color w:val="2E5FA3"/>
          <w:sz w:val="16"/>
        </w:rPr>
        <w:t xml:space="preserve">Take-away: </w:t>
      </w:r>
      <w:r>
        <w:rPr>
          <w:sz w:val="16"/>
        </w:rPr>
        <w:t>Add engagi</w:t>
      </w:r>
      <w:r>
        <w:rPr>
          <w:sz w:val="16"/>
        </w:rPr>
        <w:t>ng, interactive digital content — realistic job previews, videos, gamified elements — to attract and inform young applicants.</w:t>
      </w:r>
    </w:p>
    <w:p w:rsidR="00D63ACD" w:rsidRDefault="002E716B">
      <w:pPr>
        <w:spacing w:after="20"/>
      </w:pPr>
      <w:r>
        <w:rPr>
          <w:b/>
          <w:color w:val="1F2D3D"/>
        </w:rPr>
        <w:t>Paper 5. Mankki (2026), Teaching &amp; Teacher Education — Mentoring Expertise in SBTE Recruitment (Finland)</w:t>
      </w:r>
    </w:p>
    <w:p w:rsidR="00D63ACD" w:rsidRDefault="002E716B">
      <w:pPr>
        <w:spacing w:after="20"/>
        <w:ind w:left="259"/>
      </w:pPr>
      <w:r>
        <w:rPr>
          <w:b/>
          <w:color w:val="2E5FA3"/>
          <w:sz w:val="16"/>
        </w:rPr>
        <w:t xml:space="preserve">Problem: </w:t>
      </w:r>
      <w:r>
        <w:rPr>
          <w:sz w:val="16"/>
        </w:rPr>
        <w:t>Mentoring is cen</w:t>
      </w:r>
      <w:r>
        <w:rPr>
          <w:sz w:val="16"/>
        </w:rPr>
        <w:t>tral to school-based teacher educators’ work, yet its role in recruitment is unclear and under-researched.</w:t>
      </w:r>
    </w:p>
    <w:p w:rsidR="00D63ACD" w:rsidRDefault="002E716B">
      <w:pPr>
        <w:spacing w:after="20"/>
        <w:ind w:left="259"/>
      </w:pPr>
      <w:r>
        <w:rPr>
          <w:b/>
          <w:color w:val="2E5FA3"/>
          <w:sz w:val="16"/>
        </w:rPr>
        <w:t xml:space="preserve">Method &amp; findings: </w:t>
      </w:r>
      <w:r>
        <w:rPr>
          <w:sz w:val="16"/>
        </w:rPr>
        <w:t>Analysis of 158 job advertisements plus interviews with 8 teacher-training-school principals showed mentoring is mentioned only va</w:t>
      </w:r>
      <w:r>
        <w:rPr>
          <w:sz w:val="16"/>
        </w:rPr>
        <w:t>guely (typically one sentence) in ads. Principals prioritise solid classroom teaching skill, treat mentoring as learnable on the job, value openness/dialogue, and see prior mentoring experience as an advantage — yet deliberately avoid strict experience req</w:t>
      </w:r>
      <w:r>
        <w:rPr>
          <w:sz w:val="16"/>
        </w:rPr>
        <w:t>uirements because they shrink an already small applicant pool.</w:t>
      </w:r>
    </w:p>
    <w:p w:rsidR="00D63ACD" w:rsidRDefault="002E716B">
      <w:pPr>
        <w:spacing w:after="20"/>
        <w:ind w:left="259"/>
      </w:pPr>
      <w:r>
        <w:rPr>
          <w:b/>
          <w:color w:val="2E5FA3"/>
          <w:sz w:val="16"/>
        </w:rPr>
        <w:t xml:space="preserve">Take-away: </w:t>
      </w:r>
      <w:r>
        <w:rPr>
          <w:sz w:val="16"/>
        </w:rPr>
        <w:t>Write clear, specific job advertisements and balance criteria carefully: over-restrictive requirements deter good candidates and narrow the pool.</w:t>
      </w:r>
    </w:p>
    <w:p w:rsidR="00D63ACD" w:rsidRDefault="002E716B">
      <w:pPr>
        <w:spacing w:after="20"/>
      </w:pPr>
      <w:r>
        <w:rPr>
          <w:b/>
          <w:color w:val="1F2D3D"/>
        </w:rPr>
        <w:t>Paper 6. Hogan (1988), University of</w:t>
      </w:r>
      <w:r>
        <w:rPr>
          <w:b/>
          <w:color w:val="1F2D3D"/>
        </w:rPr>
        <w:t xml:space="preserve"> Northern Iowa — Teacher Recruitment and Selection Methods and Procedures</w:t>
      </w:r>
    </w:p>
    <w:p w:rsidR="00D63ACD" w:rsidRDefault="002E716B">
      <w:pPr>
        <w:spacing w:after="20"/>
        <w:ind w:left="259"/>
      </w:pPr>
      <w:r>
        <w:rPr>
          <w:b/>
          <w:color w:val="2E5FA3"/>
          <w:sz w:val="16"/>
        </w:rPr>
        <w:t xml:space="preserve">Problem: </w:t>
      </w:r>
      <w:r>
        <w:rPr>
          <w:sz w:val="16"/>
        </w:rPr>
        <w:t>Teacher recruitment was historically passive and selection unstructured, biased and legally risky.</w:t>
      </w:r>
    </w:p>
    <w:p w:rsidR="00D63ACD" w:rsidRDefault="002E716B">
      <w:pPr>
        <w:spacing w:after="20"/>
        <w:ind w:left="259"/>
      </w:pPr>
      <w:r>
        <w:rPr>
          <w:b/>
          <w:color w:val="2E5FA3"/>
          <w:sz w:val="16"/>
        </w:rPr>
        <w:t xml:space="preserve">Method &amp; findings: </w:t>
      </w:r>
      <w:r>
        <w:rPr>
          <w:sz w:val="16"/>
        </w:rPr>
        <w:t xml:space="preserve">This classic paper synthesises best practices: widen </w:t>
      </w:r>
      <w:r>
        <w:rPr>
          <w:sz w:val="16"/>
        </w:rPr>
        <w:t>the recruitment base beyond local applicants; use structured interviews (improving reliability, validity and applicability); gather multiple information sources beyond credentials (work samples, demonstrations); train interviewers continuously; document ev</w:t>
      </w:r>
      <w:r>
        <w:rPr>
          <w:sz w:val="16"/>
        </w:rPr>
        <w:t>ery decision; guard against non-task biases (age, gender, appearance, stereotypes); and provide orientation/induction for new hires.</w:t>
      </w:r>
    </w:p>
    <w:p w:rsidR="00D63ACD" w:rsidRDefault="002E716B">
      <w:pPr>
        <w:spacing w:after="20"/>
        <w:ind w:left="259"/>
      </w:pPr>
      <w:r>
        <w:rPr>
          <w:b/>
          <w:color w:val="2E5FA3"/>
          <w:sz w:val="16"/>
        </w:rPr>
        <w:t xml:space="preserve">Take-away: </w:t>
      </w:r>
      <w:r>
        <w:rPr>
          <w:sz w:val="16"/>
        </w:rPr>
        <w:t>The foundation for the website’s structured interview module, evaluation rubrics, and decision documentation/aud</w:t>
      </w:r>
      <w:r>
        <w:rPr>
          <w:sz w:val="16"/>
        </w:rPr>
        <w:t>it trail.</w:t>
      </w:r>
    </w:p>
    <w:p w:rsidR="00D63ACD" w:rsidRDefault="002E716B">
      <w:pPr>
        <w:spacing w:before="80"/>
      </w:pPr>
      <w:r>
        <w:rPr>
          <w:b/>
          <w:color w:val="2E5FA3"/>
          <w:sz w:val="20"/>
        </w:rPr>
        <w:t>2. Evidence from Decision-Support Experiments</w:t>
      </w:r>
    </w:p>
    <w:p w:rsidR="00D63ACD" w:rsidRDefault="002E716B">
      <w:pPr>
        <w:spacing w:after="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4206240" cy="13583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saw_topsi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35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ACD" w:rsidRDefault="002E716B">
      <w:pPr>
        <w:spacing w:after="0"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2194560" cy="14847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weigh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48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ACD" w:rsidRDefault="002E716B">
      <w:pPr>
        <w:spacing w:after="60"/>
        <w:jc w:val="center"/>
      </w:pPr>
      <w:r>
        <w:rPr>
          <w:i/>
          <w:sz w:val="14"/>
        </w:rPr>
        <w:t>Fig. 1 (top): SAW and TOPSIS produce nearly identical rankings — MCDM gives consistent, defensible shortlists. Fig. 2: criteria and weights must be configurable per vacancy.</w:t>
      </w:r>
    </w:p>
    <w:p w:rsidR="00D63ACD" w:rsidRDefault="002E716B">
      <w:pPr>
        <w:spacing w:before="80"/>
      </w:pPr>
      <w:r>
        <w:rPr>
          <w:b/>
          <w:color w:val="2E5FA3"/>
          <w:sz w:val="20"/>
        </w:rPr>
        <w:t xml:space="preserve">3. Synthesis — What </w:t>
      </w:r>
      <w:r>
        <w:rPr>
          <w:b/>
          <w:color w:val="2E5FA3"/>
          <w:sz w:val="20"/>
        </w:rPr>
        <w:t>the Literature Says</w:t>
      </w:r>
    </w:p>
    <w:p w:rsidR="00D63ACD" w:rsidRDefault="002E716B">
      <w:r>
        <w:rPr>
          <w:sz w:val="16"/>
        </w:rPr>
        <w:t>Across the six papers a consistent two-sided model emerges. On the ATTRACTION side, reach candidates where they are — web, social media, referrals, events — with authentic, engaging content (Klassen; Miller; Mankki). On the SELECTION si</w:t>
      </w:r>
      <w:r>
        <w:rPr>
          <w:sz w:val="16"/>
        </w:rPr>
        <w:t>de, replace gut-feel with structured, criteria-based, documented evaluation (Hogan), supported by transparent multi-criteria decision models — SAW, TOPSIS, SMART — which demonstrably reduce subjectivity and match real hiring outcomes (Zulfikar; Turnip). Fa</w:t>
      </w:r>
      <w:r>
        <w:rPr>
          <w:sz w:val="16"/>
        </w:rPr>
        <w:t>irness warnings recur throughout: keep criteria job-related, avoid over-restrictive experience demands that shrink the pool (Mankki), document every decision for legal defensibility (Hogan), and recognise that financial incentives alone do not recruit — re</w:t>
      </w:r>
      <w:r>
        <w:rPr>
          <w:sz w:val="16"/>
        </w:rPr>
        <w:t>lationships and program quality do (Miller).</w:t>
      </w:r>
    </w:p>
    <w:p w:rsidR="00D63ACD" w:rsidRDefault="002E716B">
      <w:pPr>
        <w:spacing w:before="80"/>
      </w:pPr>
      <w:r>
        <w:rPr>
          <w:b/>
          <w:color w:val="2E5FA3"/>
          <w:sz w:val="20"/>
        </w:rPr>
        <w:t>4. Implications — Features of the Proposed Website</w:t>
      </w:r>
    </w:p>
    <w:p w:rsidR="00D63ACD" w:rsidRDefault="002E716B">
      <w:pPr>
        <w:spacing w:after="20"/>
        <w:ind w:left="259"/>
      </w:pPr>
      <w:r>
        <w:rPr>
          <w:b/>
          <w:color w:val="2E5FA3"/>
          <w:sz w:val="16"/>
        </w:rPr>
        <w:t xml:space="preserve">F1. Job Portal &amp; CMS: </w:t>
      </w:r>
      <w:r>
        <w:rPr>
          <w:sz w:val="16"/>
        </w:rPr>
        <w:t>Post vacancies with clear, specific criteria (Mankki); publish realistic previews/videos (Klassen).</w:t>
      </w:r>
    </w:p>
    <w:p w:rsidR="00D63ACD" w:rsidRDefault="002E716B">
      <w:pPr>
        <w:spacing w:after="20"/>
        <w:ind w:left="259"/>
      </w:pPr>
      <w:r>
        <w:rPr>
          <w:b/>
          <w:color w:val="2E5FA3"/>
          <w:sz w:val="16"/>
        </w:rPr>
        <w:t xml:space="preserve">F2. Online Application: </w:t>
      </w:r>
      <w:r>
        <w:rPr>
          <w:sz w:val="16"/>
        </w:rPr>
        <w:t>Structured for</w:t>
      </w:r>
      <w:r>
        <w:rPr>
          <w:sz w:val="16"/>
        </w:rPr>
        <w:t>ms, document upload, and application status tracking (Miller; Hogan).</w:t>
      </w:r>
    </w:p>
    <w:p w:rsidR="00D63ACD" w:rsidRDefault="002E716B">
      <w:pPr>
        <w:spacing w:after="20"/>
        <w:ind w:left="259"/>
      </w:pPr>
      <w:r>
        <w:rPr>
          <w:b/>
          <w:color w:val="2E5FA3"/>
          <w:sz w:val="16"/>
        </w:rPr>
        <w:t xml:space="preserve">F3. Automated Shortlisting Engine: </w:t>
      </w:r>
      <w:r>
        <w:rPr>
          <w:sz w:val="16"/>
        </w:rPr>
        <w:t>Configurable criteria &amp; weights; computes SAW, TOPSIS and SMART scores and ranks candidates (Zulfikar; Turnip).</w:t>
      </w:r>
    </w:p>
    <w:p w:rsidR="00D63ACD" w:rsidRDefault="002E716B">
      <w:pPr>
        <w:spacing w:after="20"/>
        <w:ind w:left="259"/>
      </w:pPr>
      <w:r>
        <w:rPr>
          <w:b/>
          <w:color w:val="2E5FA3"/>
          <w:sz w:val="16"/>
        </w:rPr>
        <w:t xml:space="preserve">F4. Interview Management: </w:t>
      </w:r>
      <w:r>
        <w:rPr>
          <w:sz w:val="16"/>
        </w:rPr>
        <w:t>Panel schedul</w:t>
      </w:r>
      <w:r>
        <w:rPr>
          <w:sz w:val="16"/>
        </w:rPr>
        <w:t>ing, structured evaluation rubric, consensus scoring, and interviewer training notes (Hogan).</w:t>
      </w:r>
    </w:p>
    <w:p w:rsidR="00D63ACD" w:rsidRDefault="002E716B">
      <w:pPr>
        <w:spacing w:after="20"/>
        <w:ind w:left="259"/>
      </w:pPr>
      <w:r>
        <w:rPr>
          <w:b/>
          <w:color w:val="2E5FA3"/>
          <w:sz w:val="16"/>
        </w:rPr>
        <w:t xml:space="preserve">F5. Communication &amp; Notifications: </w:t>
      </w:r>
      <w:r>
        <w:rPr>
          <w:sz w:val="16"/>
        </w:rPr>
        <w:t>Email/SMS status updates, feedback loops, and referral tracking (Miller).</w:t>
      </w:r>
    </w:p>
    <w:p w:rsidR="00D63ACD" w:rsidRDefault="002E716B">
      <w:pPr>
        <w:spacing w:after="20"/>
        <w:ind w:left="259"/>
      </w:pPr>
      <w:r>
        <w:rPr>
          <w:b/>
          <w:color w:val="2E5FA3"/>
          <w:sz w:val="16"/>
        </w:rPr>
        <w:t xml:space="preserve">F6. Reports &amp; Dashboard: </w:t>
      </w:r>
      <w:r>
        <w:rPr>
          <w:sz w:val="16"/>
        </w:rPr>
        <w:t>Rankings, charts, and decisi</w:t>
      </w:r>
      <w:r>
        <w:rPr>
          <w:sz w:val="16"/>
        </w:rPr>
        <w:t>on logs/audit trail for transparency and legal compliance (Hogan; Zulfikar).</w:t>
      </w:r>
    </w:p>
    <w:p w:rsidR="00D63ACD" w:rsidRDefault="002E716B">
      <w:pPr>
        <w:spacing w:before="80"/>
      </w:pPr>
      <w:r>
        <w:rPr>
          <w:b/>
          <w:color w:val="2E5FA3"/>
          <w:sz w:val="20"/>
        </w:rPr>
        <w:t>5. Proposed System Architecture</w:t>
      </w:r>
    </w:p>
    <w:p w:rsidR="00D63ACD" w:rsidRDefault="002E716B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035040" cy="29660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ACD" w:rsidRDefault="002E716B">
      <w:r>
        <w:rPr>
          <w:b/>
          <w:color w:val="1F2D3D"/>
          <w:sz w:val="16"/>
        </w:rPr>
        <w:t xml:space="preserve">Conclusion: The reviewed literature supports a web platform that couples modern digital attraction (web/social presence, engaging previews) with </w:t>
      </w:r>
      <w:r>
        <w:rPr>
          <w:b/>
          <w:color w:val="1F2D3D"/>
          <w:sz w:val="16"/>
        </w:rPr>
        <w:t>objective, MCDM-based shortlisting and structured interviews — delivering faster, fairer, well-documented teacher recruitment than conventional manual practice.</w:t>
      </w:r>
    </w:p>
    <w:sectPr w:rsidR="00D63ACD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E716B"/>
    <w:rsid w:val="00326F90"/>
    <w:rsid w:val="00AA1D8D"/>
    <w:rsid w:val="00B47730"/>
    <w:rsid w:val="00CB0664"/>
    <w:rsid w:val="00D63A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B56B4F8-C0CA-41DD-808C-64BB3F2C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0"/>
    </w:pPr>
    <w:rPr>
      <w:rFonts w:ascii="Calibri" w:eastAsia="Calibri" w:hAnsi="Calibri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7A4396-84B5-404D-80EC-18D6E9991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1169</Words>
  <Characters>6666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7820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2026-09-24T06:51:00Z</dcterms:created>
  <dcterms:modified xsi:type="dcterms:W3CDTF">2026-09-24T06:51:00Z</dcterms:modified>
  <cp:category/>
</cp:coreProperties>
</file>