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A0DF5E" w:rsidP="0D25D2BD" w:rsidRDefault="44A0DF5E" w14:paraId="439DE321" w14:textId="399E4DF7">
      <w:pPr>
        <w:pStyle w:val="Header"/>
        <w:tabs>
          <w:tab w:val="center" w:leader="none" w:pos="4680"/>
          <w:tab w:val="right" w:leader="none" w:pos="9360"/>
        </w:tabs>
        <w:bidi w:val="0"/>
        <w:spacing w:before="0" w:beforeAutospacing="off" w:after="0" w:afterAutospacing="off" w:line="240" w:lineRule="auto"/>
        <w:ind w:left="0" w:right="0"/>
        <w:jc w:val="center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32"/>
          <w:szCs w:val="32"/>
          <w:lang w:val="en-US"/>
        </w:rPr>
      </w:pPr>
      <w:r w:rsidRPr="0D25D2BD" w:rsidR="44A0DF5E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A6A6A6" w:themeColor="background1" w:themeTint="FF" w:themeShade="A6"/>
          <w:sz w:val="32"/>
          <w:szCs w:val="32"/>
          <w:lang w:val="en-US"/>
        </w:rPr>
        <w:t xml:space="preserve">               BUSINESS PLAN</w:t>
      </w:r>
      <w:r>
        <w:tab/>
      </w:r>
    </w:p>
    <w:tbl>
      <w:tblPr>
        <w:tblStyle w:val="TableNormal"/>
        <w:tblW w:w="9361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62"/>
        <w:gridCol w:w="1350"/>
        <w:gridCol w:w="317"/>
        <w:gridCol w:w="1335"/>
        <w:gridCol w:w="345"/>
        <w:gridCol w:w="350"/>
        <w:gridCol w:w="315"/>
        <w:gridCol w:w="315"/>
        <w:gridCol w:w="315"/>
        <w:gridCol w:w="1522"/>
        <w:gridCol w:w="2835"/>
      </w:tblGrid>
      <w:tr w:rsidR="0D25D2BD" w:rsidTr="5DE281EE" w14:paraId="2DC0D529">
        <w:trPr>
          <w:trHeight w:val="300"/>
        </w:trPr>
        <w:tc>
          <w:tcPr>
            <w:tcW w:w="405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3EF7787" w14:textId="787B327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48F7C7A2" w14:textId="25778FC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D25D2BD" w:rsidP="0D25D2BD" w:rsidRDefault="0D25D2BD" w14:paraId="1014B124" w14:textId="6053329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45C0D354" w14:textId="234C33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D25D2BD" w:rsidP="0D25D2BD" w:rsidRDefault="0D25D2BD" w14:paraId="1DB50EEA" w14:textId="61C45C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D25D2BD" w:rsidP="0D25D2BD" w:rsidRDefault="0D25D2BD" w14:paraId="538CAC43" w14:textId="396C82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D25D2BD" w:rsidTr="5DE281EE" w14:paraId="7ADC3430">
        <w:trPr>
          <w:trHeight w:val="855"/>
        </w:trPr>
        <w:tc>
          <w:tcPr>
            <w:tcW w:w="362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A696B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A368CDD" w14:textId="6620FAD7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WHAT + HOW + WHO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3D3CF89E" w14:textId="0FEFBDA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WHAT</w:t>
            </w:r>
            <w:r>
              <w:br/>
            </w: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do we do?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170C9551" w14:textId="6FB1F850">
            <w:pPr>
              <w:spacing w:beforeAutospacing="on"/>
              <w:ind w:lef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184568B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We create and sell dedicated high-quality timepieces.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0A8AFB48" w14:textId="1B33E29D">
            <w:pPr>
              <w:spacing w:beforeAutospacing="on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807ABF9" w14:textId="70523D2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0D25D2BD" w:rsidTr="5DE281EE" w14:paraId="27EBA9E2">
        <w:trPr>
          <w:trHeight w:val="1515"/>
        </w:trPr>
        <w:tc>
          <w:tcPr>
            <w:tcW w:w="362" w:type="dxa"/>
            <w:vMerge/>
            <w:tcBorders/>
            <w:tcMar/>
            <w:vAlign w:val="center"/>
          </w:tcPr>
          <w:p w14:paraId="2876F2AF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E1E6C18" w14:textId="36F4A79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HOW</w:t>
            </w:r>
            <w:r>
              <w:br/>
            </w: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 xml:space="preserve">do we do it?     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4D34F06A" w14:textId="36062FD2">
            <w:pPr>
              <w:pStyle w:val="Normal"/>
              <w:ind w:left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DE281EE" w:rsidR="5DE281E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1. </w:t>
            </w:r>
            <w:r w:rsidRPr="5DE281EE" w:rsidR="63F2278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We source the finest materials to ensure durability and aesthetic appeal.</w:t>
            </w:r>
            <w:r w:rsidRPr="5DE281EE" w:rsidR="63F2278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  <w:p w:rsidR="0D25D2BD" w:rsidP="5DE281EE" w:rsidRDefault="0D25D2BD" w14:paraId="15578089" w14:textId="725B6A66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DE281EE" w:rsidR="6393251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2. </w:t>
            </w:r>
            <w:r w:rsidRPr="5DE281EE" w:rsidR="0012D91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We work with master watchmakers and artisans who have decades of experience.</w:t>
            </w:r>
          </w:p>
          <w:p w:rsidR="0D25D2BD" w:rsidP="5DE281EE" w:rsidRDefault="0D25D2BD" w14:paraId="7186004E" w14:textId="0FA39FD9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DE281EE" w:rsidR="3605C99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3. </w:t>
            </w:r>
            <w:r w:rsidRPr="5DE281EE" w:rsidR="08B2A35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Our design process involves extensive research, prototyping, and attention to the smallest details. 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6F467393" w14:textId="2CEA57F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03506D8" w14:textId="1E023F7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0EAA5CA8">
        <w:trPr>
          <w:trHeight w:val="660"/>
        </w:trPr>
        <w:tc>
          <w:tcPr>
            <w:tcW w:w="362" w:type="dxa"/>
            <w:vMerge/>
            <w:tcBorders/>
            <w:tcMar/>
            <w:vAlign w:val="center"/>
          </w:tcPr>
          <w:p w14:paraId="201F1987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131CD2AC" w14:textId="61505C1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WHO</w:t>
            </w:r>
            <w:r>
              <w:br/>
            </w: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do we serve?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545A4787" w14:textId="761758C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ADF353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We cater to </w:t>
            </w:r>
            <w:r w:rsidRPr="5DE281EE" w:rsidR="32D172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individuals</w:t>
            </w:r>
            <w:r w:rsidRPr="5DE281EE" w:rsidR="4ADF353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who appreciate the artistry of premium watches as well as those who nee</w:t>
            </w:r>
            <w:r w:rsidRPr="5DE281EE" w:rsidR="515A8F5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 watches for daily use.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0F48B09F" w14:textId="4407A9C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FC5F092" w14:textId="5E2925F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66BABFA0">
        <w:trPr>
          <w:trHeight w:val="660"/>
        </w:trPr>
        <w:tc>
          <w:tcPr>
            <w:tcW w:w="362" w:type="dxa"/>
            <w:vMerge w:val="restart"/>
            <w:tcBorders>
              <w:top w:val="nil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3A5A63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5B295B7E" w14:textId="5076EBB7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WHY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9ABE749" w14:textId="22EB7F5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DEFINE CUSTOMER PROBLEM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2748E7A" w:rsidP="5DE281EE" w:rsidRDefault="32748E7A" w14:paraId="46EF60CA" w14:textId="7317EED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3274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No variety in designs for the individuals who appreciate fine timepieces.</w:t>
            </w:r>
          </w:p>
          <w:p w:rsidR="0D25D2BD" w:rsidP="5DE281EE" w:rsidRDefault="0D25D2BD" w14:paraId="329B37DA" w14:textId="5995E42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04F9D44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Strongly built watches are not available at affordable prices.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6EA11348" w14:textId="206866C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AE71DC4" w14:textId="0E6F243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6B743B06">
        <w:trPr>
          <w:trHeight w:val="660"/>
        </w:trPr>
        <w:tc>
          <w:tcPr>
            <w:tcW w:w="362" w:type="dxa"/>
            <w:vMerge/>
            <w:tcBorders/>
            <w:tcMar/>
            <w:vAlign w:val="center"/>
          </w:tcPr>
          <w:p w14:paraId="588669E5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BEA841B" w14:textId="7E10872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DEFINE SOLUTION PROVIDED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2298A6AD" w14:textId="7333D69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C3E83B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We provide a variety of designs and builds for the individuals who appreciate the style. We </w:t>
            </w:r>
            <w:r w:rsidRPr="5DE281EE" w:rsidR="4C3E83B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provide</w:t>
            </w:r>
            <w:r w:rsidRPr="5DE281EE" w:rsidR="4C3E83B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DE281EE" w:rsidR="213C2A5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different types</w:t>
            </w:r>
            <w:r w:rsidRPr="5DE281EE" w:rsidR="213C2A5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of watches at affordable rates that are strongly built for </w:t>
            </w:r>
          </w:p>
          <w:p w:rsidR="0D25D2BD" w:rsidP="5DE281EE" w:rsidRDefault="0D25D2BD" w14:paraId="0F3C57E1" w14:textId="0EF32B9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3A003D7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</w:t>
            </w:r>
            <w:r w:rsidRPr="5DE281EE" w:rsidR="213C2A5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aily</w:t>
            </w:r>
            <w:r w:rsidRPr="5DE281EE" w:rsidR="7366D72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DE281EE" w:rsidR="213C2A5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use.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65841B40" w14:textId="4FD56D8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15F002E9" w14:textId="2C8E494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31448E79">
        <w:trPr>
          <w:trHeight w:val="660"/>
        </w:trPr>
        <w:tc>
          <w:tcPr>
            <w:tcW w:w="362" w:type="dxa"/>
            <w:vMerge w:val="restart"/>
            <w:tcBorders>
              <w:top w:val="nil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A696B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BE85044" w14:textId="2BD6970F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REVENUE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CADB297" w14:textId="3243AFD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PRICING + BILLING STRATEGIES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0BA21F7D" w14:textId="3E6E68B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51CB8AE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We price the premium watches </w:t>
            </w:r>
            <w:r w:rsidRPr="5DE281EE" w:rsidR="24A8AFE5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 lakh INR</w:t>
            </w:r>
            <w:r w:rsidRPr="5DE281EE" w:rsidR="24A8AF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onwards.</w:t>
            </w:r>
          </w:p>
          <w:p w:rsidR="0D25D2BD" w:rsidP="5DE281EE" w:rsidRDefault="0D25D2BD" w14:paraId="698517F1" w14:textId="59BE493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24A8AF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We price the daily use watches </w:t>
            </w:r>
            <w:r w:rsidRPr="5DE281EE" w:rsidR="09B7CB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10000</w:t>
            </w:r>
            <w:r w:rsidRPr="5DE281EE" w:rsidR="24A8AFE5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DE281EE" w:rsidR="3AB5A59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INR</w:t>
            </w:r>
            <w:r w:rsidRPr="5DE281EE" w:rsidR="3AB5A59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DE281EE" w:rsidR="24A8AF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onwards.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8563066" w14:textId="632CA62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559E7FB1" w14:textId="154A176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69601366">
        <w:trPr>
          <w:trHeight w:val="660"/>
        </w:trPr>
        <w:tc>
          <w:tcPr>
            <w:tcW w:w="362" w:type="dxa"/>
            <w:vMerge/>
            <w:tcBorders/>
            <w:tcMar/>
            <w:vAlign w:val="center"/>
          </w:tcPr>
          <w:p w14:paraId="3EA58280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F9CA78B" w14:textId="2A0C73A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INCOME STREAMS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05E1A594" w14:textId="2FE7069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53CA32B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Sales (Online and Offline), Limited Editions, Customization </w:t>
            </w:r>
            <w:r w:rsidRPr="5DE281EE" w:rsidR="53CA32B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Fees</w:t>
            </w:r>
            <w:r w:rsidRPr="5DE281EE" w:rsidR="544E64D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and</w:t>
            </w:r>
            <w:r w:rsidRPr="5DE281EE" w:rsidR="53CA32B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Subscription services</w:t>
            </w:r>
            <w:r w:rsidRPr="5DE281EE" w:rsidR="780DF42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41582E14" w14:textId="0EFB7B1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45ABDB5B" w14:textId="74B565D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1B4F1187">
        <w:trPr>
          <w:trHeight w:val="660"/>
        </w:trPr>
        <w:tc>
          <w:tcPr>
            <w:tcW w:w="362" w:type="dxa"/>
            <w:vMerge w:val="restart"/>
            <w:tcBorders>
              <w:top w:val="nil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3A5A63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00AC0EC9" w14:textId="556C26A0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D9760D8" w14:textId="50733FA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CUSTOMER REACH STRATEGY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224AB50D" w14:textId="7D301D2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7F04B04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Online Presence, Social Media Marketing, SEO,</w:t>
            </w:r>
          </w:p>
          <w:p w:rsidR="0D25D2BD" w:rsidP="5DE281EE" w:rsidRDefault="0D25D2BD" w14:paraId="118A768B" w14:textId="205BC5E4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7F04B04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Retail Presence,</w:t>
            </w:r>
          </w:p>
          <w:p w:rsidR="0D25D2BD" w:rsidP="5DE281EE" w:rsidRDefault="0D25D2BD" w14:paraId="6D23799E" w14:textId="2BFA104A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7F04B04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Customer Engagement and Support.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01C4C03E" w14:textId="2FE0B09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56D51253" w14:textId="1E498C6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7BD28E14">
        <w:trPr>
          <w:trHeight w:val="660"/>
        </w:trPr>
        <w:tc>
          <w:tcPr>
            <w:tcW w:w="362" w:type="dxa"/>
            <w:vMerge/>
            <w:tcBorders/>
            <w:tcMar/>
            <w:vAlign w:val="center"/>
          </w:tcPr>
          <w:p w14:paraId="7E940E49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3914372C" w14:textId="7E6EE48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REFERRAL GENERATION STRATEGY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7C2171D0" w14:textId="1DEE373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791412E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Our foremost strategy of generating referrals is to </w:t>
            </w:r>
            <w:r w:rsidRPr="5DE281EE" w:rsidR="791412E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provide</w:t>
            </w:r>
            <w:r w:rsidRPr="5DE281EE" w:rsidR="791412E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excellent customer service in terms of product quality and post-sales support.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74637279" w14:textId="592D919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1B038687" w14:textId="1929EC2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7B183A37">
        <w:trPr>
          <w:trHeight w:val="660"/>
        </w:trPr>
        <w:tc>
          <w:tcPr>
            <w:tcW w:w="362" w:type="dxa"/>
            <w:vMerge w:val="restart"/>
            <w:tcBorders>
              <w:top w:val="nil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A696B"/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43B9F884" w14:textId="2E5BB55F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COMPET</w:t>
            </w:r>
            <w:r w:rsidRPr="5DE281EE" w:rsidR="193590EB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I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T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ION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5498292" w14:textId="0110790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TOP COMPETITORS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65964D91" w14:textId="4C647A6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A741F5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1.ROLEX</w:t>
            </w:r>
          </w:p>
          <w:p w:rsidR="0D25D2BD" w:rsidP="5DE281EE" w:rsidRDefault="0D25D2BD" w14:paraId="72416F6D" w14:textId="7F872E99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A741F5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2.HUBLOT</w:t>
            </w:r>
          </w:p>
          <w:p w:rsidR="0D25D2BD" w:rsidP="5DE281EE" w:rsidRDefault="0D25D2BD" w14:paraId="5B491067" w14:textId="55D1889C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A741F5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3.TISSOT</w:t>
            </w:r>
          </w:p>
          <w:p w:rsidR="0D25D2BD" w:rsidP="5DE281EE" w:rsidRDefault="0D25D2BD" w14:paraId="7AA40DB8" w14:textId="477633F6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4A741F5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4.TITAN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AE7C0F8" w14:textId="1434836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7FA4E7B" w14:textId="2C67947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69E3A4D2">
        <w:trPr>
          <w:trHeight w:val="660"/>
        </w:trPr>
        <w:tc>
          <w:tcPr>
            <w:tcW w:w="362" w:type="dxa"/>
            <w:vMerge/>
            <w:tcBorders/>
            <w:tcMar/>
            <w:vAlign w:val="center"/>
          </w:tcPr>
          <w:p w14:paraId="46F251A2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A3725BA" w14:textId="5CF6666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OUR COMPETITIVE ADVANTAGE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001243C5" w14:textId="634F4832">
            <w:pPr>
              <w:pStyle w:val="Normal"/>
              <w:ind w:lef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7E40067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1.Watches are available in all price ranges for different economically targeted audience</w:t>
            </w:r>
          </w:p>
          <w:p w:rsidR="0D25D2BD" w:rsidP="5DE281EE" w:rsidRDefault="0D25D2BD" w14:paraId="36FAC30E" w14:textId="71BDA607">
            <w:pPr>
              <w:pStyle w:val="Normal"/>
              <w:ind w:lef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  <w:p w:rsidR="0D25D2BD" w:rsidP="5DE281EE" w:rsidRDefault="0D25D2BD" w14:paraId="671C010C" w14:textId="1B58FE2E">
            <w:pPr>
              <w:pStyle w:val="Normal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DE281EE" w:rsidR="7E40067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2.Advertisement in form of visual media will help reach out to more people.</w:t>
            </w:r>
          </w:p>
          <w:p w:rsidR="0D25D2BD" w:rsidP="5DE281EE" w:rsidRDefault="0D25D2BD" w14:paraId="7A503E31" w14:textId="3F7D409C">
            <w:pPr>
              <w:pStyle w:val="Normal"/>
              <w:ind w:left="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598C987" w14:textId="22386AE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2742F2B7" w14:textId="7FB44B0A">
            <w:pPr>
              <w:pStyle w:val="Normal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</w:tr>
      <w:tr w:rsidR="0D25D2BD" w:rsidTr="5DE281EE" w14:paraId="7C72E6DD">
        <w:trPr>
          <w:trHeight w:val="660"/>
        </w:trPr>
        <w:tc>
          <w:tcPr>
            <w:tcW w:w="362" w:type="dxa"/>
            <w:vMerge w:val="restart"/>
            <w:tcBorders>
              <w:top w:val="nil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3A5A63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78CADED" w14:textId="729DA7A6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METRICS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1E639856" w14:textId="65587E1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SUCCESS MILESTONE MARKER 1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34ADDB1B" w14:textId="3BC3273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5AABB2D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Achieving 5CR in Sales and Revenue.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5DF76B45" w14:textId="56D1F6D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5E44D473" w14:textId="7010FEC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625DE3EF">
        <w:trPr>
          <w:trHeight w:val="1372"/>
        </w:trPr>
        <w:tc>
          <w:tcPr>
            <w:tcW w:w="362" w:type="dxa"/>
            <w:vMerge/>
            <w:tcBorders/>
            <w:tcMar/>
            <w:vAlign w:val="center"/>
          </w:tcPr>
          <w:p w14:paraId="1DD57DA6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CEDDE1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6974CDAE" w14:textId="48F355E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3A5A63"/>
                <w:sz w:val="16"/>
                <w:szCs w:val="16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3A5A63"/>
                <w:sz w:val="16"/>
                <w:szCs w:val="16"/>
                <w:lang w:val="en-US"/>
              </w:rPr>
              <w:t>SUCCESS MILESTONE MARKER 2</w:t>
            </w:r>
          </w:p>
        </w:tc>
        <w:tc>
          <w:tcPr>
            <w:tcW w:w="1652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29206B81" w14:textId="002796D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5DE281EE" w:rsidR="0467D32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Expanding Reach by selling Product through E-Commerce Platforms and going digital</w:t>
            </w:r>
            <w:r w:rsidRPr="5DE281EE" w:rsidR="64AF802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</w:t>
            </w:r>
          </w:p>
        </w:tc>
        <w:tc>
          <w:tcPr>
            <w:tcW w:w="345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20061823" w14:textId="2A1BB72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5652" w:type="dxa"/>
            <w:gridSpan w:val="6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3861202B" w14:textId="2343656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 </w:t>
            </w:r>
          </w:p>
        </w:tc>
      </w:tr>
      <w:tr w:rsidR="0D25D2BD" w:rsidTr="5DE281EE" w14:paraId="396CE34F">
        <w:trPr>
          <w:trHeight w:val="375"/>
        </w:trPr>
        <w:tc>
          <w:tcPr>
            <w:tcW w:w="362" w:type="dxa"/>
            <w:vMerge w:val="restart"/>
            <w:tcBorders>
              <w:top w:val="nil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5A696B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064B0C84" w14:textId="618AEF1A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SITUATIONAL ANALYSIS (SWOT)</w:t>
            </w:r>
          </w:p>
        </w:tc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7EAE7DAD" w14:textId="5FDA775E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color="BFBFBF" w:themeColor="background1" w:themeShade="BF" w:sz="6"/>
              <w:left w:val="nil" w:color="BFBFBF" w:themeColor="background1" w:themeShade="BF" w:sz="6"/>
              <w:bottom w:val="single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0B08FAA" w14:textId="2464289C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tcW w:w="7332" w:type="dxa"/>
            <w:gridSpan w:val="8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5ADA21B6" w14:textId="72DAECB7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INTERNAL FACTORS</w:t>
            </w:r>
          </w:p>
        </w:tc>
      </w:tr>
      <w:tr w:rsidR="0D25D2BD" w:rsidTr="5DE281EE" w14:paraId="2C6B9EEF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775AF81B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2FF6D400" w14:textId="14EFC938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 xml:space="preserve">STRENGTHS 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(+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)</w:t>
            </w:r>
          </w:p>
        </w:tc>
        <w:tc>
          <w:tcPr>
            <w:tcW w:w="315" w:type="dxa"/>
            <w:tcBorders>
              <w:top w:val="nil" w:color="BFBFBF" w:themeColor="background1" w:themeShade="BF" w:sz="6"/>
              <w:left w:val="nil"/>
              <w:bottom w:val="nil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D7EE423" w14:textId="6E52FDB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 w:color="BFBFBF" w:themeColor="background1" w:themeShade="BF" w:sz="6"/>
              <w:left w:val="nil"/>
              <w:bottom w:val="nil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30AFAA5A" w14:textId="609BD01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D16A709" w14:textId="617B9C9C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1B449575" w14:textId="23ABCF92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 xml:space="preserve">WEAKNESSES 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(–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)</w:t>
            </w:r>
          </w:p>
        </w:tc>
      </w:tr>
      <w:tr w:rsidR="0D25D2BD" w:rsidTr="5DE281EE" w14:paraId="28E1347C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0ABE5802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190D9CDA" w14:textId="032753E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6CE4630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Quality Craftsmanship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99D7A02" w14:textId="52553CE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DE00C62" w14:textId="12FAFE7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4A566E8" w14:textId="4B86D18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1A631EBF" w14:textId="1F856E21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48703D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Supply Chain Vulnerabilities</w:t>
            </w:r>
          </w:p>
        </w:tc>
      </w:tr>
      <w:tr w:rsidR="0D25D2BD" w:rsidTr="5DE281EE" w14:paraId="2998285A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5AC75AA4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64E5C6D7" w14:textId="3D8AE423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4E25B73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2"/>
                <w:szCs w:val="22"/>
                <w:lang w:val="en-US"/>
              </w:rPr>
              <w:t xml:space="preserve"> </w:t>
            </w:r>
            <w:r w:rsidRPr="5DE281EE" w:rsidR="4E25B73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Effective Marketing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01D0979D" w14:textId="0A52488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8B34692" w14:textId="6210587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4D437082" w14:textId="0AB92A6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31DA764E" w14:textId="375D80D0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79B4AC2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Competition</w:t>
            </w:r>
          </w:p>
        </w:tc>
      </w:tr>
      <w:tr w:rsidR="0D25D2BD" w:rsidTr="5DE281EE" w14:paraId="46D4BF8F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55CC26B1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47D86BD6" w14:textId="118722A7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658AFB2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Diverse Product Portfolio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62F6F9F2" w14:textId="55E770B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06ADD698" w14:textId="62351A1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6AE57D8F" w14:textId="3645B8E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00D887E5" w14:textId="4F1AB92D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5B244FC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Brand Recognition</w:t>
            </w:r>
          </w:p>
        </w:tc>
      </w:tr>
      <w:tr w:rsidR="0D25D2BD" w:rsidTr="5DE281EE" w14:paraId="39AAACAE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68E31299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02E6F2DC" w14:textId="5787B5C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6B0B9BD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Customer Service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2854B045" w14:textId="777C2E5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37665431" w14:textId="25215FB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17AD60A4" w14:textId="34F3E4B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145B3A7C" w14:textId="4BC33F2B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7E6C67D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Production Capacity</w:t>
            </w:r>
          </w:p>
        </w:tc>
      </w:tr>
      <w:tr w:rsidR="0D25D2BD" w:rsidTr="5DE281EE" w14:paraId="6AA6722B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043EF099"/>
        </w:tc>
        <w:tc>
          <w:tcPr>
            <w:tcW w:w="1350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 w:color="BFBFBF" w:themeColor="background1" w:themeShade="BF" w:sz="6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7647EFE" w14:textId="4CACACFF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11B5D29" w14:textId="22F51C08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</w:p>
        </w:tc>
        <w:tc>
          <w:tcPr>
            <w:tcW w:w="7332" w:type="dxa"/>
            <w:gridSpan w:val="8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0EA15D0A" w14:textId="479BA337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en-US"/>
              </w:rPr>
              <w:t>EXTERNAL FACTORS</w:t>
            </w:r>
          </w:p>
        </w:tc>
      </w:tr>
      <w:tr w:rsidR="0D25D2BD" w:rsidTr="5DE281EE" w14:paraId="12B02D84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4E2DF8AA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12C4582E" w14:textId="4BF6B881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OPPORTUNITIES (+)</w:t>
            </w:r>
          </w:p>
        </w:tc>
        <w:tc>
          <w:tcPr>
            <w:tcW w:w="315" w:type="dxa"/>
            <w:tcBorders>
              <w:top w:val="nil" w:color="BFBFBF" w:themeColor="background1" w:themeShade="BF" w:sz="6"/>
              <w:left w:val="nil"/>
              <w:bottom w:val="nil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30A18A2B" w14:textId="5127833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 w:color="BFBFBF" w:themeColor="background1" w:themeShade="BF" w:sz="6"/>
              <w:left w:val="nil"/>
              <w:bottom w:val="nil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47B79D4" w14:textId="0260BA1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top"/>
          </w:tcPr>
          <w:p w:rsidR="0D25D2BD" w:rsidP="0D25D2BD" w:rsidRDefault="0D25D2BD" w14:paraId="2BF7DDE5" w14:textId="65D877F5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E3E8E8"/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0405D461" w14:textId="526AFF51">
            <w:pPr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5A696B"/>
                <w:sz w:val="16"/>
                <w:szCs w:val="16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 xml:space="preserve">THREATS 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(–</w:t>
            </w:r>
            <w:r w:rsidRPr="5DE281EE" w:rsidR="4373FA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5A696B"/>
                <w:sz w:val="16"/>
                <w:szCs w:val="16"/>
                <w:lang w:val="en-US"/>
              </w:rPr>
              <w:t>)</w:t>
            </w:r>
          </w:p>
        </w:tc>
      </w:tr>
      <w:tr w:rsidR="0D25D2BD" w:rsidTr="5DE281EE" w14:paraId="09D78BE4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56FB592F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4ACA8247" w14:textId="29C5356F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83738B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Emerging markets or customer segments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5B803F5E" w14:textId="29C3FAA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227E3F44" w14:textId="380673E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3F9770DC" w14:textId="5EE7495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7D67378E" w14:textId="2C839669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7C239C8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Intense competition</w:t>
            </w:r>
          </w:p>
        </w:tc>
      </w:tr>
      <w:tr w:rsidR="0D25D2BD" w:rsidTr="5DE281EE" w14:paraId="083F5C27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430E2301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2F9DFB41" w14:textId="1C7595B5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47E0803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Technological advancements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72F7DBB7" w14:textId="6FB7B5E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76362243" w14:textId="1C9B93F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715D8BED" w14:textId="2B4E6FD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2CF3B3BC" w14:textId="52C6070E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69D7C0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Changing regulations or taxes</w:t>
            </w:r>
          </w:p>
        </w:tc>
      </w:tr>
      <w:tr w:rsidR="0D25D2BD" w:rsidTr="5DE281EE" w14:paraId="69788FD1">
        <w:trPr>
          <w:trHeight w:val="375"/>
        </w:trPr>
        <w:tc>
          <w:tcPr>
            <w:tcW w:w="362" w:type="dxa"/>
            <w:vMerge/>
            <w:tcBorders/>
            <w:tcMar/>
            <w:vAlign w:val="center"/>
          </w:tcPr>
          <w:p w14:paraId="4715FCDB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04F376A6" w14:textId="4E8EAA34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4381A74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Market gaps or unmet needs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5385A5A5" w14:textId="53AA967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1403368F" w14:textId="5019FE8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1E1383FC" w14:textId="5AE3C27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44EE0FC9" w14:textId="75E82053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524AA8E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Rising raw material costs</w:t>
            </w:r>
          </w:p>
        </w:tc>
      </w:tr>
      <w:tr w:rsidR="0D25D2BD" w:rsidTr="5DE281EE" w14:paraId="765F6E2E">
        <w:trPr>
          <w:trHeight w:val="673"/>
        </w:trPr>
        <w:tc>
          <w:tcPr>
            <w:tcW w:w="362" w:type="dxa"/>
            <w:vMerge/>
            <w:tcBorders/>
            <w:tcMar/>
            <w:vAlign w:val="center"/>
          </w:tcPr>
          <w:p w14:paraId="7C1BFA68"/>
        </w:tc>
        <w:tc>
          <w:tcPr>
            <w:tcW w:w="3697" w:type="dxa"/>
            <w:gridSpan w:val="5"/>
            <w:tcBorders>
              <w:top w:val="single" w:color="BFBFBF" w:themeColor="background1" w:themeShade="BF" w:sz="6"/>
              <w:left w:val="nil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56D05354" w14:textId="2CB7B596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4550077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Economic growth or stability</w:t>
            </w:r>
          </w:p>
        </w:tc>
        <w:tc>
          <w:tcPr>
            <w:tcW w:w="315" w:type="dxa"/>
            <w:tcBorders>
              <w:top w:val="nil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1F9C8566" w14:textId="50A8DFB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color="BFBFBF" w:themeColor="background1" w:themeShade="BF" w:sz="6"/>
              <w:right w:val="nil"/>
            </w:tcBorders>
            <w:shd w:val="clear" w:color="auto" w:fill="7A8C8E"/>
            <w:tcMar>
              <w:left w:w="105" w:type="dxa"/>
              <w:right w:w="105" w:type="dxa"/>
            </w:tcMar>
            <w:vAlign w:val="center"/>
          </w:tcPr>
          <w:p w:rsidR="0D25D2BD" w:rsidP="0D25D2BD" w:rsidRDefault="0D25D2BD" w14:paraId="4699BACF" w14:textId="2CA1CC2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25D2BD" w:rsidR="0D25D2B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top"/>
          </w:tcPr>
          <w:p w:rsidR="0D25D2BD" w:rsidP="5DE281EE" w:rsidRDefault="0D25D2BD" w14:paraId="494B50D5" w14:textId="14C9FA6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3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0D25D2BD" w:rsidP="5DE281EE" w:rsidRDefault="0D25D2BD" w14:paraId="3E985129" w14:textId="1154A11E">
            <w:pPr>
              <w:pStyle w:val="Normal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E281EE" w:rsidR="4373FA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  <w:r w:rsidRPr="5DE281EE" w:rsidR="081022D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Supply chain disruptions</w:t>
            </w:r>
          </w:p>
        </w:tc>
      </w:tr>
    </w:tbl>
    <w:p w:rsidR="0D25D2BD" w:rsidP="0D25D2BD" w:rsidRDefault="0D25D2BD" w14:paraId="3569F3EC" w14:textId="154208BC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D25D2BD" w:rsidP="0D25D2BD" w:rsidRDefault="0D25D2BD" w14:paraId="0524FDE4" w14:textId="7F84284F">
      <w:pPr>
        <w:tabs>
          <w:tab w:val="center" w:leader="none" w:pos="4680"/>
          <w:tab w:val="right" w:leader="none" w:pos="9360"/>
        </w:tabs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32"/>
          <w:szCs w:val="32"/>
          <w:lang w:val="en-US"/>
        </w:rPr>
      </w:pPr>
    </w:p>
    <w:p w:rsidR="0D25D2BD" w:rsidP="0D25D2BD" w:rsidRDefault="0D25D2BD" w14:paraId="68B396DF" w14:textId="09138D4A">
      <w:pPr>
        <w:pStyle w:val="Header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A6A6A6" w:themeColor="background1" w:themeTint="FF" w:themeShade="A6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f8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cdc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bdd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BB848"/>
    <w:rsid w:val="0012D915"/>
    <w:rsid w:val="0180C752"/>
    <w:rsid w:val="031C97B3"/>
    <w:rsid w:val="035E2A0B"/>
    <w:rsid w:val="0467D321"/>
    <w:rsid w:val="04F9D44B"/>
    <w:rsid w:val="081022D4"/>
    <w:rsid w:val="0852619A"/>
    <w:rsid w:val="08B2A352"/>
    <w:rsid w:val="09B7CBA9"/>
    <w:rsid w:val="0B94D8AC"/>
    <w:rsid w:val="0BD5A0BB"/>
    <w:rsid w:val="0D25D2BD"/>
    <w:rsid w:val="0D71711C"/>
    <w:rsid w:val="123BC6C4"/>
    <w:rsid w:val="1244E23F"/>
    <w:rsid w:val="145EC27C"/>
    <w:rsid w:val="184568B8"/>
    <w:rsid w:val="193590EB"/>
    <w:rsid w:val="1A6EAC27"/>
    <w:rsid w:val="1E977F2B"/>
    <w:rsid w:val="1F34ABB1"/>
    <w:rsid w:val="20510B70"/>
    <w:rsid w:val="213C2A5E"/>
    <w:rsid w:val="2451139F"/>
    <w:rsid w:val="24A8AFE5"/>
    <w:rsid w:val="25E21AF6"/>
    <w:rsid w:val="26B0D78A"/>
    <w:rsid w:val="2D20190E"/>
    <w:rsid w:val="2DA5D80C"/>
    <w:rsid w:val="2E138C8A"/>
    <w:rsid w:val="2EBBE96F"/>
    <w:rsid w:val="30B96F89"/>
    <w:rsid w:val="32748E7A"/>
    <w:rsid w:val="32D1720A"/>
    <w:rsid w:val="34F18621"/>
    <w:rsid w:val="3605C99B"/>
    <w:rsid w:val="38FBB848"/>
    <w:rsid w:val="39F3558C"/>
    <w:rsid w:val="3A003D72"/>
    <w:rsid w:val="3AB5A591"/>
    <w:rsid w:val="3D5D75E6"/>
    <w:rsid w:val="3EA965D5"/>
    <w:rsid w:val="3F86CD8A"/>
    <w:rsid w:val="4075CB20"/>
    <w:rsid w:val="407F55DA"/>
    <w:rsid w:val="428F3B23"/>
    <w:rsid w:val="4373FA87"/>
    <w:rsid w:val="4381A746"/>
    <w:rsid w:val="4411E327"/>
    <w:rsid w:val="44A0DF5E"/>
    <w:rsid w:val="44AAB98F"/>
    <w:rsid w:val="45500770"/>
    <w:rsid w:val="45B5A10E"/>
    <w:rsid w:val="4686BB82"/>
    <w:rsid w:val="47E08035"/>
    <w:rsid w:val="483738B1"/>
    <w:rsid w:val="48703DE5"/>
    <w:rsid w:val="49616BE8"/>
    <w:rsid w:val="49F9D216"/>
    <w:rsid w:val="4A741F5D"/>
    <w:rsid w:val="4A7E631F"/>
    <w:rsid w:val="4A7FF6B6"/>
    <w:rsid w:val="4ADF3534"/>
    <w:rsid w:val="4B962F57"/>
    <w:rsid w:val="4C3E83B9"/>
    <w:rsid w:val="4E25B733"/>
    <w:rsid w:val="4FDE784E"/>
    <w:rsid w:val="515A8F5A"/>
    <w:rsid w:val="51CB8AE0"/>
    <w:rsid w:val="524AA8EF"/>
    <w:rsid w:val="53CA32B1"/>
    <w:rsid w:val="5416CC1A"/>
    <w:rsid w:val="544E64D3"/>
    <w:rsid w:val="5AABB2D2"/>
    <w:rsid w:val="5B244FC2"/>
    <w:rsid w:val="5D13948E"/>
    <w:rsid w:val="5D13948E"/>
    <w:rsid w:val="5D26DBC9"/>
    <w:rsid w:val="5DE281EE"/>
    <w:rsid w:val="60D49FDC"/>
    <w:rsid w:val="636BBA19"/>
    <w:rsid w:val="6393251E"/>
    <w:rsid w:val="63F22788"/>
    <w:rsid w:val="640C409E"/>
    <w:rsid w:val="64AF802E"/>
    <w:rsid w:val="64B91369"/>
    <w:rsid w:val="6517975C"/>
    <w:rsid w:val="658AFB22"/>
    <w:rsid w:val="69B25ED1"/>
    <w:rsid w:val="69C59D79"/>
    <w:rsid w:val="69D7C0E4"/>
    <w:rsid w:val="6B0B9BD7"/>
    <w:rsid w:val="6B2F6D92"/>
    <w:rsid w:val="6C7A9BD3"/>
    <w:rsid w:val="6C7BC9C8"/>
    <w:rsid w:val="6CE46309"/>
    <w:rsid w:val="6D80D325"/>
    <w:rsid w:val="6E179A29"/>
    <w:rsid w:val="6F1713E0"/>
    <w:rsid w:val="6F1CA386"/>
    <w:rsid w:val="70B873E7"/>
    <w:rsid w:val="7366D722"/>
    <w:rsid w:val="780DF42F"/>
    <w:rsid w:val="788FFB8A"/>
    <w:rsid w:val="78D3871B"/>
    <w:rsid w:val="791412EF"/>
    <w:rsid w:val="79B4AC23"/>
    <w:rsid w:val="7C239C85"/>
    <w:rsid w:val="7E400678"/>
    <w:rsid w:val="7E6C67DB"/>
    <w:rsid w:val="7F04B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5D5"/>
  <w15:chartTrackingRefBased/>
  <w15:docId w15:val="{9810B26F-6213-4AFD-ADD9-88D96951D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88e7ccf153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2023-09-26T14:40:25.0159986Z</dcterms:created>
  <dcterms:modified xsi:type="dcterms:W3CDTF">2023-09-26T16:09:53.9348768Z</dcterms:modified>
  <dc:creator>PAWAR SHREYASH</dc:creator>
  <lastModifiedBy>PAWAR SHREYASH</lastModifiedBy>
</coreProperties>
</file>