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89CBF" w14:textId="06EAB040" w:rsidR="00262288" w:rsidRPr="00006FCE" w:rsidRDefault="00AC7009" w:rsidP="00AC7009">
      <w:pPr>
        <w:rPr>
          <w:rFonts w:hint="eastAsia"/>
        </w:rPr>
      </w:pPr>
      <w:r>
        <w:rPr>
          <w:rFonts w:hint="eastAsia"/>
        </w:rPr>
        <w:t xml:space="preserve">第 条  </w:t>
      </w:r>
      <w:r w:rsidR="00006FCE">
        <w:rPr>
          <w:rFonts w:hint="eastAsia"/>
          <w:i/>
          <w:iCs/>
        </w:rPr>
        <w:t>深刻认识到</w:t>
      </w:r>
      <w:r w:rsidR="00006FCE">
        <w:rPr>
          <w:rFonts w:hint="eastAsia"/>
        </w:rPr>
        <w:t>基础设施建设在推动LDC融入国际贸易体系中所具有的支撑性作用</w:t>
      </w:r>
    </w:p>
    <w:p w14:paraId="5EB8C36F" w14:textId="15BE1F8B" w:rsidR="0047656C" w:rsidRDefault="00AC7009" w:rsidP="00AC7009">
      <w:pPr>
        <w:pStyle w:val="a3"/>
        <w:numPr>
          <w:ilvl w:val="0"/>
          <w:numId w:val="4"/>
        </w:numPr>
        <w:ind w:firstLineChars="0"/>
      </w:pPr>
      <w:r>
        <w:rPr>
          <w:rFonts w:hint="eastAsia"/>
        </w:rPr>
        <w:t xml:space="preserve">   </w:t>
      </w:r>
      <w:r w:rsidR="00AF7421" w:rsidRPr="00AF7421">
        <w:rPr>
          <w:rFonts w:hint="eastAsia"/>
          <w:i/>
          <w:iCs/>
        </w:rPr>
        <w:t>呼吁</w:t>
      </w:r>
      <w:r w:rsidR="0047656C">
        <w:rPr>
          <w:rFonts w:hint="eastAsia"/>
        </w:rPr>
        <w:t>各国加强合作，共同</w:t>
      </w:r>
      <w:r w:rsidR="002563C1">
        <w:rPr>
          <w:rFonts w:hint="eastAsia"/>
        </w:rPr>
        <w:t>推动LDC交通基础设施建设</w:t>
      </w:r>
    </w:p>
    <w:p w14:paraId="6F123AB9" w14:textId="194663F8" w:rsidR="0047656C" w:rsidRDefault="00AC7009" w:rsidP="00AC7009">
      <w:pPr>
        <w:pStyle w:val="a3"/>
        <w:ind w:firstLineChars="0" w:firstLine="0"/>
      </w:pPr>
      <w:r>
        <w:rPr>
          <w:rFonts w:hint="eastAsia"/>
        </w:rPr>
        <w:t>（子）</w:t>
      </w:r>
      <w:r w:rsidR="002563C1">
        <w:rPr>
          <w:rFonts w:hint="eastAsia"/>
        </w:rPr>
        <w:t>建议明确LDC交通设施布局，强调核心城镇优先，鼓励各国</w:t>
      </w:r>
      <w:r w:rsidR="00DC0F4D">
        <w:rPr>
          <w:rFonts w:hint="eastAsia"/>
        </w:rPr>
        <w:t>政府及相关企业优先</w:t>
      </w:r>
      <w:proofErr w:type="gramStart"/>
      <w:r w:rsidR="00DC0F4D">
        <w:rPr>
          <w:rFonts w:hint="eastAsia"/>
        </w:rPr>
        <w:t>就核心</w:t>
      </w:r>
      <w:proofErr w:type="gramEnd"/>
      <w:r w:rsidR="00DC0F4D">
        <w:rPr>
          <w:rFonts w:hint="eastAsia"/>
        </w:rPr>
        <w:t>城镇交通设施建设签署合作协议；</w:t>
      </w:r>
    </w:p>
    <w:p w14:paraId="24AFCE30" w14:textId="6C0B508D" w:rsidR="00DC0F4D" w:rsidRDefault="00AC7009" w:rsidP="00AC7009">
      <w:pPr>
        <w:pStyle w:val="a3"/>
        <w:ind w:firstLineChars="0" w:firstLine="0"/>
      </w:pPr>
      <w:r>
        <w:rPr>
          <w:rFonts w:hint="eastAsia"/>
        </w:rPr>
        <w:t>（丑）</w:t>
      </w:r>
      <w:r w:rsidR="00DC0F4D">
        <w:rPr>
          <w:rFonts w:hint="eastAsia"/>
        </w:rPr>
        <w:t>考虑灾害、战争等不可抗力因素对交通基础设施建设的风险，建议各国基于现有交通道路体系进行扩展建设，进一步建议现有交通道路体系的扩建应以便利内陆与核心港口间联通为核心工作；</w:t>
      </w:r>
    </w:p>
    <w:p w14:paraId="6972CA8E" w14:textId="33815489" w:rsidR="00DC0F4D" w:rsidRDefault="00AC7009" w:rsidP="00AC7009">
      <w:pPr>
        <w:pStyle w:val="a3"/>
        <w:ind w:firstLineChars="0" w:firstLine="0"/>
      </w:pPr>
      <w:r>
        <w:rPr>
          <w:rFonts w:hint="eastAsia"/>
        </w:rPr>
        <w:t>（寅）强调海路交通基础设施建设对于推动最不发达国家融入世界贸易体系具基础性作用，</w:t>
      </w:r>
      <w:r w:rsidR="00AF7421">
        <w:rPr>
          <w:rFonts w:hint="eastAsia"/>
        </w:rPr>
        <w:t>呼吁各国以便利贸易为原则开展港口、航道建设，加快打造贸易港口枢纽；</w:t>
      </w:r>
    </w:p>
    <w:p w14:paraId="34D71CF9" w14:textId="77777777" w:rsidR="00006FCE" w:rsidRDefault="00006FCE" w:rsidP="00AC7009">
      <w:pPr>
        <w:pStyle w:val="a3"/>
        <w:ind w:firstLineChars="0" w:firstLine="0"/>
        <w:rPr>
          <w:rFonts w:hint="eastAsia"/>
        </w:rPr>
      </w:pPr>
    </w:p>
    <w:p w14:paraId="7ECF8AA8" w14:textId="5DBD71B2" w:rsidR="00AF7421" w:rsidRDefault="00AF7421" w:rsidP="00AF7421">
      <w:pPr>
        <w:ind w:left="0" w:firstLine="0"/>
      </w:pPr>
      <w:r>
        <w:rPr>
          <w:rFonts w:hint="eastAsia"/>
        </w:rPr>
        <w:t xml:space="preserve">        （二）</w:t>
      </w:r>
      <w:r>
        <w:rPr>
          <w:rFonts w:hint="eastAsia"/>
          <w:i/>
          <w:iCs/>
        </w:rPr>
        <w:t>呼吁</w:t>
      </w:r>
      <w:r>
        <w:rPr>
          <w:rFonts w:hint="eastAsia"/>
        </w:rPr>
        <w:t>各国密切合作，共同推动LDC</w:t>
      </w:r>
      <w:r w:rsidR="00006FCE">
        <w:rPr>
          <w:rFonts w:hint="eastAsia"/>
        </w:rPr>
        <w:t>电</w:t>
      </w:r>
      <w:r>
        <w:rPr>
          <w:rFonts w:hint="eastAsia"/>
        </w:rPr>
        <w:t>讯基础设施建设</w:t>
      </w:r>
    </w:p>
    <w:p w14:paraId="146F5117" w14:textId="44471EF9" w:rsidR="00AF7421" w:rsidRPr="00DA4E58" w:rsidRDefault="00AF7421" w:rsidP="00DA4E58">
      <w:pPr>
        <w:ind w:left="1470" w:hangingChars="700" w:hanging="1470"/>
      </w:pPr>
      <w:r>
        <w:rPr>
          <w:rFonts w:hint="eastAsia"/>
        </w:rPr>
        <w:t xml:space="preserve">              （子）</w:t>
      </w:r>
      <w:r w:rsidR="00DA4E58" w:rsidRPr="004672D3">
        <w:rPr>
          <w:rFonts w:hint="eastAsia"/>
        </w:rPr>
        <w:t>建议</w:t>
      </w:r>
      <w:r w:rsidR="00DA4E58">
        <w:rPr>
          <w:rFonts w:hint="eastAsia"/>
        </w:rPr>
        <w:t>各国加快建设重点城镇电力与通讯设施，优先保障贸易核心枢纽</w:t>
      </w:r>
      <w:r w:rsidR="004672D3">
        <w:rPr>
          <w:rFonts w:hint="eastAsia"/>
        </w:rPr>
        <w:t>内部与枢纽间</w:t>
      </w:r>
      <w:r w:rsidR="00DA4E58">
        <w:rPr>
          <w:rFonts w:hint="eastAsia"/>
        </w:rPr>
        <w:t>中电讯传输稳定；</w:t>
      </w:r>
    </w:p>
    <w:p w14:paraId="40CB61C3" w14:textId="1F42CBD3" w:rsidR="00006FCE" w:rsidRPr="00DA4E58" w:rsidRDefault="00006FCE" w:rsidP="00DA4E58">
      <w:pPr>
        <w:ind w:left="1470" w:hangingChars="700" w:hanging="1470"/>
      </w:pPr>
      <w:r>
        <w:rPr>
          <w:rFonts w:hint="eastAsia"/>
        </w:rPr>
        <w:t xml:space="preserve">              （丑）</w:t>
      </w:r>
      <w:r w:rsidR="00DA4E58" w:rsidRPr="004672D3">
        <w:rPr>
          <w:rFonts w:hint="eastAsia"/>
        </w:rPr>
        <w:t>支持</w:t>
      </w:r>
      <w:r w:rsidR="00DA4E58">
        <w:rPr>
          <w:rFonts w:hint="eastAsia"/>
        </w:rPr>
        <w:t>各LDC国家在保障贸易核心枢纽电讯稳定</w:t>
      </w:r>
      <w:r w:rsidR="004672D3">
        <w:rPr>
          <w:rFonts w:hint="eastAsia"/>
        </w:rPr>
        <w:t>基础上</w:t>
      </w:r>
      <w:r w:rsidR="00DA4E58">
        <w:rPr>
          <w:rFonts w:hint="eastAsia"/>
        </w:rPr>
        <w:t>，逐步扩大电讯基础设施建设范围，</w:t>
      </w:r>
      <w:r w:rsidR="004672D3">
        <w:rPr>
          <w:rFonts w:hint="eastAsia"/>
        </w:rPr>
        <w:t>以促进通讯普及率稳健提升；</w:t>
      </w:r>
    </w:p>
    <w:p w14:paraId="0BB721BE" w14:textId="66D8E9F2" w:rsidR="00006FCE" w:rsidRPr="004672D3" w:rsidRDefault="00006FCE" w:rsidP="004672D3">
      <w:pPr>
        <w:ind w:left="1470" w:hangingChars="700" w:hanging="1470"/>
      </w:pPr>
      <w:r>
        <w:rPr>
          <w:rFonts w:hint="eastAsia"/>
        </w:rPr>
        <w:t xml:space="preserve">              （寅）</w:t>
      </w:r>
      <w:r w:rsidR="004672D3" w:rsidRPr="004672D3">
        <w:rPr>
          <w:rFonts w:hint="eastAsia"/>
        </w:rPr>
        <w:t>重申</w:t>
      </w:r>
      <w:r w:rsidR="004672D3">
        <w:rPr>
          <w:rFonts w:hint="eastAsia"/>
        </w:rPr>
        <w:t>LDC电讯建设市场应完善公平竞争体系，扩大参与主体范围，支持LDC国家降低对电讯设施单一来源之依赖；</w:t>
      </w:r>
    </w:p>
    <w:p w14:paraId="4EDE27F8" w14:textId="0CF2C1D3" w:rsidR="00006FCE" w:rsidRDefault="00006FCE" w:rsidP="004672D3">
      <w:pPr>
        <w:ind w:left="1470" w:hangingChars="700" w:hanging="1470"/>
      </w:pPr>
      <w:r>
        <w:rPr>
          <w:rFonts w:hint="eastAsia"/>
        </w:rPr>
        <w:t xml:space="preserve">              （卯）</w:t>
      </w:r>
      <w:r w:rsidR="00DA4E58" w:rsidRPr="004672D3">
        <w:rPr>
          <w:rFonts w:hint="eastAsia"/>
        </w:rPr>
        <w:t>强调</w:t>
      </w:r>
      <w:r w:rsidR="00DA4E58">
        <w:rPr>
          <w:rFonts w:hint="eastAsia"/>
        </w:rPr>
        <w:t>跨国企业在电力与通讯设施建设领域的建设性作用日益增长，呼吁各LDC优化投资环境，鼓励跨国企业以低轨互联网星座计划等项目形式参与LDC电讯基础设施建设。</w:t>
      </w:r>
    </w:p>
    <w:p w14:paraId="024150AD" w14:textId="77777777" w:rsidR="004672D3" w:rsidRDefault="004672D3" w:rsidP="004672D3">
      <w:pPr>
        <w:ind w:left="1470" w:hangingChars="700" w:hanging="1470"/>
      </w:pPr>
    </w:p>
    <w:p w14:paraId="61AF0C86" w14:textId="50F7EA08" w:rsidR="004672D3" w:rsidRDefault="004672D3" w:rsidP="004672D3">
      <w:pPr>
        <w:pStyle w:val="a3"/>
        <w:numPr>
          <w:ilvl w:val="0"/>
          <w:numId w:val="4"/>
        </w:numPr>
        <w:ind w:firstLineChars="0"/>
      </w:pPr>
      <w:r w:rsidRPr="004672D3">
        <w:rPr>
          <w:rFonts w:hint="eastAsia"/>
          <w:i/>
          <w:iCs/>
        </w:rPr>
        <w:t>呼吁</w:t>
      </w:r>
      <w:r>
        <w:rPr>
          <w:rFonts w:hint="eastAsia"/>
        </w:rPr>
        <w:t>各国共同合作，推动LDC能源基础设施的建设</w:t>
      </w:r>
    </w:p>
    <w:p w14:paraId="68424257" w14:textId="437C6B34" w:rsidR="004672D3" w:rsidRDefault="004672D3" w:rsidP="00591325">
      <w:pPr>
        <w:pStyle w:val="a3"/>
        <w:numPr>
          <w:ilvl w:val="0"/>
          <w:numId w:val="5"/>
        </w:numPr>
        <w:ind w:firstLineChars="0"/>
      </w:pPr>
      <w:r w:rsidRPr="00591325">
        <w:rPr>
          <w:rFonts w:hint="eastAsia"/>
          <w:i/>
          <w:iCs/>
        </w:rPr>
        <w:t>声明</w:t>
      </w:r>
      <w:r>
        <w:rPr>
          <w:rFonts w:hint="eastAsia"/>
        </w:rPr>
        <w:t>对LDC各国传统能源基础设施建设持支持态度，呼吁通过强化双多边协议合作</w:t>
      </w:r>
      <w:r w:rsidR="00591325">
        <w:rPr>
          <w:rFonts w:hint="eastAsia"/>
        </w:rPr>
        <w:t>与多边监管，保障LDC能源基础设施安全稳定性与运输便捷性；</w:t>
      </w:r>
    </w:p>
    <w:p w14:paraId="023EEFA6" w14:textId="6C761C62" w:rsidR="00591325" w:rsidRPr="004672D3" w:rsidRDefault="00591325" w:rsidP="00591325">
      <w:pPr>
        <w:pStyle w:val="a3"/>
        <w:numPr>
          <w:ilvl w:val="0"/>
          <w:numId w:val="5"/>
        </w:numPr>
        <w:ind w:firstLineChars="0"/>
        <w:rPr>
          <w:rFonts w:hint="eastAsia"/>
        </w:rPr>
      </w:pPr>
      <w:r>
        <w:rPr>
          <w:rFonts w:hint="eastAsia"/>
          <w:i/>
          <w:iCs/>
        </w:rPr>
        <w:t>强调</w:t>
      </w:r>
      <w:r>
        <w:rPr>
          <w:rFonts w:hint="eastAsia"/>
        </w:rPr>
        <w:t>可再生能源基础设施建设对LDC能源基础设施深化建设具导向性意义，鼓励各国加快对LDC境内可再生能源基础设施项目建设的投资，持续优化共享可再生能源技术，保障可再生能源定向供应机制。</w:t>
      </w:r>
    </w:p>
    <w:sectPr w:rsidR="00591325" w:rsidRPr="004672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0135"/>
    <w:multiLevelType w:val="hybridMultilevel"/>
    <w:tmpl w:val="7EB212A2"/>
    <w:lvl w:ilvl="0" w:tplc="C78E2A9E">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5327E92"/>
    <w:multiLevelType w:val="hybridMultilevel"/>
    <w:tmpl w:val="AB94029A"/>
    <w:lvl w:ilvl="0" w:tplc="DB8875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7845BD"/>
    <w:multiLevelType w:val="hybridMultilevel"/>
    <w:tmpl w:val="34A85D24"/>
    <w:lvl w:ilvl="0" w:tplc="DAE886B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D3850C8"/>
    <w:multiLevelType w:val="hybridMultilevel"/>
    <w:tmpl w:val="65E2144C"/>
    <w:lvl w:ilvl="0" w:tplc="700CE218">
      <w:start w:val="1"/>
      <w:numFmt w:val="ideographZodiac"/>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7CAF278B"/>
    <w:multiLevelType w:val="hybridMultilevel"/>
    <w:tmpl w:val="E9D654F8"/>
    <w:lvl w:ilvl="0" w:tplc="EF38FE36">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48395898">
    <w:abstractNumId w:val="1"/>
  </w:num>
  <w:num w:numId="2" w16cid:durableId="1998997097">
    <w:abstractNumId w:val="2"/>
  </w:num>
  <w:num w:numId="3" w16cid:durableId="919559967">
    <w:abstractNumId w:val="0"/>
  </w:num>
  <w:num w:numId="4" w16cid:durableId="262080241">
    <w:abstractNumId w:val="4"/>
  </w:num>
  <w:num w:numId="5" w16cid:durableId="1981499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6C"/>
    <w:rsid w:val="00006FCE"/>
    <w:rsid w:val="002563C1"/>
    <w:rsid w:val="00262288"/>
    <w:rsid w:val="004672D3"/>
    <w:rsid w:val="0047656C"/>
    <w:rsid w:val="00591325"/>
    <w:rsid w:val="006C6FA9"/>
    <w:rsid w:val="00AC7009"/>
    <w:rsid w:val="00AF7421"/>
    <w:rsid w:val="00DA4E58"/>
    <w:rsid w:val="00DC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CB31D"/>
  <w15:chartTrackingRefBased/>
  <w15:docId w15:val="{C77FAA69-A722-4534-904C-CB2E11D5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ind w:left="107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left="72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5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398</Words>
  <Characters>410</Characters>
  <Application>Microsoft Office Word</Application>
  <DocSecurity>0</DocSecurity>
  <Lines>15</Lines>
  <Paragraphs>14</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rongle du</dc:creator>
  <cp:keywords/>
  <dc:description/>
  <cp:lastModifiedBy>rongle du</cp:lastModifiedBy>
  <cp:revision>1</cp:revision>
  <dcterms:created xsi:type="dcterms:W3CDTF">2024-03-16T15:24:00Z</dcterms:created>
  <dcterms:modified xsi:type="dcterms:W3CDTF">2024-03-16T17:05:00Z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df846d88-e098-4ce5-8a05-de5fecde2cfb</vt:lpwstr>
  </property>
</Properties>
</file>