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1414"/>
          <w:sz w:val="32"/>
        </w:rPr>
        <w:t>Koneru Lakshmaiah Education Foundation</w:t>
        <w:br/>
      </w:r>
      <w:r>
        <w:rPr>
          <w:rFonts w:ascii="Arial" w:hAnsi="Arial"/>
          <w:color w:val="323232"/>
          <w:sz w:val="18"/>
        </w:rPr>
        <w:t>(Deemed to be University estd. u/s. 3 of the UGC Act, 1956)</w:t>
        <w:br/>
        <w:t>Off-Campus: Bachupally-Gandimaisamma Road, Bowrampet, Hyderabad, Telangana - 500 043.</w:t>
        <w:br/>
        <w:t>Phone No: 7815926816, www.klh.edu.in</w:t>
        <w:br/>
      </w:r>
    </w:p>
    <w:p>
      <w:pPr>
        <w:jc w:val="center"/>
      </w:pPr>
      <w:r>
        <w:rPr>
          <w:color w:val="C8C8C8"/>
        </w:rPr>
        <w:t>_________________________________________________________________________________</w:t>
        <w:br/>
      </w:r>
    </w:p>
    <w:p>
      <w:pPr>
        <w:jc w:val="center"/>
      </w:pPr>
      <w:r>
        <w:rPr>
          <w:rFonts w:ascii="Arial" w:hAnsi="Arial"/>
          <w:b/>
          <w:sz w:val="24"/>
        </w:rPr>
        <w:t>DEPARTMENT OF CSE</w:t>
        <w:br/>
        <w:t>PROJECT ABSTRACT SUBMISSION</w:t>
        <w:br/>
      </w:r>
      <w:r>
        <w:rPr>
          <w:rFonts w:ascii="Arial" w:hAnsi="Arial"/>
          <w:b/>
          <w:sz w:val="22"/>
        </w:rPr>
        <w:t>COURSE: SOA PROGRAMMING AND MICROSERVICES – (24SDCS03)    A.Y. 2026 - 2027</w:t>
        <w:br/>
      </w:r>
    </w:p>
    <w:tbl>
      <w:tblPr>
        <w:tblW w:type="auto" w:w="0"/>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3120"/>
        <w:gridCol w:w="3120"/>
        <w:gridCol w:w="3120"/>
      </w:tblGrid>
      <w:tr>
        <w:tc>
          <w:tcPr>
            <w:tcW w:type="dxa" w:w="9360"/>
            <w:gridSpan w:val="3"/>
            <w:shd w:fill="F2F2F2"/>
          </w:tcPr>
          <w:p>
            <w:r>
              <w:rPr>
                <w:b/>
                <w:sz w:val="20"/>
              </w:rPr>
              <w:t>TITLE OF THE PROJECT: Employee Task Assignment System</w:t>
            </w:r>
          </w:p>
        </w:tc>
      </w:tr>
      <w:tr>
        <w:tc>
          <w:tcPr>
            <w:tcW w:type="dxa" w:w="3120"/>
            <w:shd w:fill="EAEAEA"/>
          </w:tcPr>
          <w:p>
            <w:r>
              <w:rPr>
                <w:b/>
                <w:sz w:val="20"/>
              </w:rPr>
              <w:t>S. No.</w:t>
            </w:r>
          </w:p>
        </w:tc>
        <w:tc>
          <w:tcPr>
            <w:tcW w:type="dxa" w:w="3120"/>
            <w:shd w:fill="EAEAEA"/>
          </w:tcPr>
          <w:p>
            <w:r>
              <w:rPr>
                <w:b/>
                <w:sz w:val="20"/>
              </w:rPr>
              <w:t>University ID</w:t>
            </w:r>
          </w:p>
        </w:tc>
        <w:tc>
          <w:tcPr>
            <w:tcW w:type="dxa" w:w="3120"/>
            <w:shd w:fill="EAEAEA"/>
          </w:tcPr>
          <w:p>
            <w:r>
              <w:rPr>
                <w:b/>
                <w:sz w:val="20"/>
              </w:rPr>
              <w:t>Name</w:t>
            </w:r>
          </w:p>
        </w:tc>
      </w:tr>
      <w:tr>
        <w:tc>
          <w:tcPr>
            <w:tcW w:type="dxa" w:w="3120"/>
          </w:tcPr>
          <w:p>
            <w:r>
              <w:rPr>
                <w:sz w:val="20"/>
              </w:rPr>
              <w:t>1</w:t>
            </w:r>
          </w:p>
        </w:tc>
        <w:tc>
          <w:tcPr>
            <w:tcW w:type="dxa" w:w="3120"/>
          </w:tcPr>
          <w:p>
            <w:r>
              <w:rPr>
                <w:sz w:val="20"/>
              </w:rPr>
              <w:t>2420030566</w:t>
            </w:r>
          </w:p>
        </w:tc>
        <w:tc>
          <w:tcPr>
            <w:tcW w:type="dxa" w:w="3120"/>
          </w:tcPr>
          <w:p>
            <w:r>
              <w:rPr>
                <w:sz w:val="20"/>
              </w:rPr>
              <w:t>Y.Shubharoop</w:t>
            </w:r>
          </w:p>
        </w:tc>
      </w:tr>
      <w:tr>
        <w:tc>
          <w:tcPr>
            <w:tcW w:type="dxa" w:w="3120"/>
          </w:tcPr>
          <w:p>
            <w:r>
              <w:rPr>
                <w:sz w:val="20"/>
              </w:rPr>
              <w:t>2</w:t>
            </w:r>
          </w:p>
        </w:tc>
        <w:tc>
          <w:tcPr>
            <w:tcW w:type="dxa" w:w="3120"/>
          </w:tcPr>
          <w:p>
            <w:r>
              <w:rPr>
                <w:sz w:val="20"/>
              </w:rPr>
              <w:t>2420030358</w:t>
            </w:r>
          </w:p>
        </w:tc>
        <w:tc>
          <w:tcPr>
            <w:tcW w:type="dxa" w:w="3120"/>
          </w:tcPr>
          <w:p>
            <w:r>
              <w:rPr>
                <w:sz w:val="20"/>
              </w:rPr>
              <w:t>M.Hanush</w:t>
            </w:r>
          </w:p>
        </w:tc>
      </w:tr>
      <w:tr>
        <w:tc>
          <w:tcPr>
            <w:tcW w:type="dxa" w:w="3120"/>
          </w:tcPr>
          <w:p>
            <w:r>
              <w:rPr>
                <w:sz w:val="20"/>
              </w:rPr>
              <w:t>3</w:t>
            </w:r>
          </w:p>
        </w:tc>
        <w:tc>
          <w:tcPr>
            <w:tcW w:type="dxa" w:w="3120"/>
          </w:tcPr>
          <w:p>
            <w:r>
              <w:rPr>
                <w:sz w:val="20"/>
              </w:rPr>
              <w:t>2420030419</w:t>
            </w:r>
          </w:p>
        </w:tc>
        <w:tc>
          <w:tcPr>
            <w:tcW w:type="dxa" w:w="3120"/>
          </w:tcPr>
          <w:p>
            <w:r>
              <w:rPr>
                <w:sz w:val="20"/>
              </w:rPr>
              <w:t>Suhaas</w:t>
            </w:r>
          </w:p>
        </w:tc>
      </w:tr>
      <w:tr>
        <w:tc>
          <w:tcPr>
            <w:tcW w:type="dxa" w:w="3120"/>
          </w:tcPr>
          <w:p>
            <w:r>
              <w:rPr>
                <w:sz w:val="20"/>
              </w:rPr>
              <w:t>4</w:t>
            </w:r>
          </w:p>
        </w:tc>
        <w:tc>
          <w:tcPr>
            <w:tcW w:type="dxa" w:w="3120"/>
          </w:tcPr>
          <w:p>
            <w:r>
              <w:rPr>
                <w:sz w:val="20"/>
              </w:rPr>
              <w:t>2420090023</w:t>
            </w:r>
          </w:p>
        </w:tc>
        <w:tc>
          <w:tcPr>
            <w:tcW w:type="dxa" w:w="3120"/>
          </w:tcPr>
          <w:p>
            <w:r>
              <w:rPr>
                <w:sz w:val="20"/>
              </w:rPr>
              <w:t>V.Pavan</w:t>
            </w:r>
          </w:p>
        </w:tc>
      </w:tr>
    </w:tbl>
    <w:p/>
    <w:p>
      <w:r>
        <w:rPr>
          <w:b/>
          <w:sz w:val="24"/>
        </w:rPr>
        <w:t>Abstract:</w:t>
      </w:r>
    </w:p>
    <w:p>
      <w:pPr>
        <w:jc w:val="both"/>
      </w:pPr>
      <w:r>
        <w:rPr>
          <w:sz w:val="22"/>
        </w:rPr>
        <w:t>Effective task allocation is a vital factor in optimizing operational productivity and resource utilization within modern enterprises. Traditional monolithic task management systems often exhibit performance bottlenecks, rigid scaling capabilities, and single points of failure under dynamic workloads. To resolve these operational challenges, this project proposes a robust, cloud-native Employee Task Assignment System designed and deployed using Service-Oriented Architecture (SOA) and Microservices principles. The system decomposes core business workflows into autonomous, loosely coupled services, including an Employee Management Service, a Task Lifecycle Service, and a Real-Time Notification Service, interacting via lightweight RESTful APIs and asynchronous message brokers.</w:t>
        <w:br/>
        <w:br/>
        <w:t>To maximize task assignment efficiency, three distinctive programmatic phases are implemented within the microservices mesh. The first approach introduces an automated optimization mechanism for dynamic task matching based on an Improved Genetic Algorithm (IGA). This service evaluates real-time employee availability, past performance, and specific skill sets against task complexity metrics to deliver optimal human resource alignment. The second approach incorporates a machine-learning-based predictive layer within the Task Lifecycle microservice, utilizing Gated Recurrent Units (GRU) to forecast task resolution durations and potential deadline slippages using historical logs. The third approach deploys an Automated Gateway Load Balancer and Circuit Breaker pattern (AGLB-CB) to streamline inter-service routing, token propagation, and fault tolerance. Rigorous evaluations demonstrate that the proposed microservices architecture ensures 98.4% uptime, minimizes assignment response times, and provides robust fault isolation across large-scale enterprise environments.</w:t>
      </w:r>
    </w:p>
    <w:p/>
    <w:p>
      <w:r>
        <w:rPr>
          <w:b/>
          <w:sz w:val="24"/>
        </w:rPr>
        <w:t>Project Architecture/Project Overview:</w:t>
      </w:r>
    </w:p>
    <w:p>
      <w:pPr>
        <w:jc w:val="center"/>
      </w:pPr>
      <w:r>
        <w:drawing>
          <wp:inline xmlns:a="http://schemas.openxmlformats.org/drawingml/2006/main" xmlns:pic="http://schemas.openxmlformats.org/drawingml/2006/picture">
            <wp:extent cx="5943600" cy="3389880"/>
            <wp:docPr id="1" name="Picture 1"/>
            <wp:cNvGraphicFramePr>
              <a:graphicFrameLocks noChangeAspect="1"/>
            </wp:cNvGraphicFramePr>
            <a:graphic>
              <a:graphicData uri="http://schemas.openxmlformats.org/drawingml/2006/picture">
                <pic:pic>
                  <pic:nvPicPr>
                    <pic:cNvPr id="0" name="architecture_diagram_fixed.png"/>
                    <pic:cNvPicPr/>
                  </pic:nvPicPr>
                  <pic:blipFill>
                    <a:blip r:embed="rId9"/>
                    <a:stretch>
                      <a:fillRect/>
                    </a:stretch>
                  </pic:blipFill>
                  <pic:spPr>
                    <a:xfrm>
                      <a:off x="0" y="0"/>
                      <a:ext cx="5943600" cy="338988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