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80"/>
      </w:pPr>
      <w:r>
        <w:rPr>
          <w:rFonts w:ascii="Calibri" w:hAnsi="Calibri" w:eastAsia="Microsoft YaHei"/>
          <w:b/>
          <w:color w:val="000000"/>
          <w:sz w:val="46"/>
        </w:rPr>
        <w:t>开源项目选型与 MVP 建议</w:t>
      </w:r>
    </w:p>
    <w:p>
      <w:pPr>
        <w:spacing w:after="240"/>
      </w:pPr>
      <w:r>
        <w:rPr>
          <w:rFonts w:ascii="Calibri" w:hAnsi="Calibri" w:eastAsia="Microsoft YaHei"/>
          <w:color w:val="464A50"/>
          <w:sz w:val="26"/>
        </w:rPr>
        <w:t>三系统交易研究闭环</w:t>
      </w:r>
    </w:p>
    <w:p>
      <w:pPr>
        <w:spacing w:after="40"/>
      </w:pPr>
      <w:r>
        <w:rPr>
          <w:rFonts w:ascii="Calibri" w:hAnsi="Calibri" w:eastAsia="Microsoft YaHei"/>
          <w:b/>
          <w:color w:val="23262B"/>
          <w:sz w:val="21"/>
        </w:rPr>
        <w:t xml:space="preserve">项目: </w:t>
      </w:r>
      <w:r>
        <w:rPr>
          <w:rFonts w:ascii="Calibri" w:hAnsi="Calibri" w:eastAsia="Microsoft YaHei"/>
          <w:color w:val="23262B"/>
          <w:sz w:val="21"/>
        </w:rPr>
        <w:t>Evidence-to-Alpha Trading System</w:t>
      </w:r>
    </w:p>
    <w:p>
      <w:pPr>
        <w:spacing w:after="40"/>
      </w:pPr>
      <w:r>
        <w:rPr>
          <w:rFonts w:ascii="Calibri" w:hAnsi="Calibri" w:eastAsia="Microsoft YaHei"/>
          <w:b/>
          <w:color w:val="23262B"/>
          <w:sz w:val="21"/>
        </w:rPr>
        <w:t xml:space="preserve">版本: </w:t>
      </w:r>
      <w:r>
        <w:rPr>
          <w:rFonts w:ascii="Calibri" w:hAnsi="Calibri" w:eastAsia="Microsoft YaHei"/>
          <w:color w:val="23262B"/>
          <w:sz w:val="21"/>
        </w:rPr>
        <w:t>v0.2.0 Integration MVP</w:t>
      </w:r>
    </w:p>
    <w:p>
      <w:pPr>
        <w:spacing w:after="40"/>
      </w:pPr>
      <w:r>
        <w:rPr>
          <w:rFonts w:ascii="Calibri" w:hAnsi="Calibri" w:eastAsia="Microsoft YaHei"/>
          <w:b/>
          <w:color w:val="23262B"/>
          <w:sz w:val="21"/>
        </w:rPr>
        <w:t xml:space="preserve">日期: </w:t>
      </w:r>
      <w:r>
        <w:rPr>
          <w:rFonts w:ascii="Calibri" w:hAnsi="Calibri" w:eastAsia="Microsoft YaHei"/>
          <w:color w:val="23262B"/>
          <w:sz w:val="21"/>
        </w:rPr>
        <w:t>2026-08-20</w:t>
      </w:r>
    </w:p>
    <w:p>
      <w:pPr>
        <w:spacing w:after="40"/>
      </w:pPr>
      <w:r>
        <w:rPr>
          <w:rFonts w:ascii="Calibri" w:hAnsi="Calibri" w:eastAsia="Microsoft YaHei"/>
          <w:b/>
          <w:color w:val="23262B"/>
          <w:sz w:val="21"/>
        </w:rPr>
        <w:t xml:space="preserve">状态: </w:t>
      </w:r>
      <w:r>
        <w:rPr>
          <w:rFonts w:ascii="Calibri" w:hAnsi="Calibri" w:eastAsia="Microsoft YaHei"/>
          <w:color w:val="23262B"/>
          <w:sz w:val="21"/>
        </w:rPr>
        <w:t>选型已冻结；研究/Paper 可用；Live 阻断</w:t>
      </w:r>
    </w:p>
    <w:p>
      <w:pPr>
        <w:pBdr>
          <w:bottom w:val="single" w:sz="8" w:space="1" w:color="D7DBE2"/>
        </w:pBdr>
        <w:spacing w:after="200"/>
      </w:pPr>
    </w:p>
    <w:p>
      <w:pPr>
        <w:pStyle w:val="Heading1"/>
      </w:pPr>
      <w:r>
        <w:t>执行结论</w:t>
      </w:r>
    </w:p>
    <w:p>
      <w:r>
        <w:rPr>
          <w:rFonts w:ascii="Calibri" w:hAnsi="Calibri" w:eastAsia="Microsoft YaHei"/>
          <w:b/>
        </w:rPr>
        <w:t>建议：</w:t>
      </w:r>
      <w:r>
        <w:rPr>
          <w:rFonts w:ascii="Calibri" w:hAnsi="Calibri" w:eastAsia="Microsoft YaHei"/>
          <w:i w:val="0"/>
        </w:rPr>
        <w:t>基于现有两个项目增加薄集成层。不要直接引入第三套完整交易引擎，也不要重写多因子平台。</w:t>
      </w:r>
    </w:p>
    <w:p>
      <w:r>
        <w:rPr>
          <w:rFonts w:ascii="Calibri" w:hAnsi="Calibri" w:eastAsia="Microsoft YaHei"/>
          <w:i w:val="0"/>
        </w:rPr>
        <w:t>新项目把新闻证据转换为 point-in-time 事件 Alpha，并在 multi-factor-alpha-platform 的 V4 组合控制之前注入有限幅度权重调整。因子平台继续拥有因子、V4 风控、T+1 回测与归因；新闻系统继续拥有采集、事件、证据和影响分析。</w:t>
      </w:r>
    </w:p>
    <w:p>
      <w:r>
        <w:rPr>
          <w:rFonts w:ascii="Calibri" w:hAnsi="Calibri" w:eastAsia="Microsoft YaHei"/>
          <w:i w:val="0"/>
        </w:rPr>
        <w:t>闭环：新闻证据 -&gt; 事件版本 -&gt; 事件 Alpha -&gt; 因子 + 事件预 V4 权重 -&gt; V4 风控 -&gt; T+1 回测/Paper OMS -&gt; 归因反馈。</w:t>
      </w:r>
    </w:p>
    <w:p>
      <w:pPr>
        <w:pStyle w:val="Heading1"/>
      </w:pPr>
      <w:r>
        <w:t>三项目职责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450"/>
        <w:gridCol w:w="3800"/>
        <w:gridCol w:w="3110"/>
      </w:tblGrid>
      <w:tr>
        <w:trPr>
          <w:cantSplit/>
          <w:tblHeader w:val="true"/>
        </w:trPr>
        <w:tc>
          <w:tcPr>
            <w:tcW w:type="dxa" w:w="24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项目</w:t>
            </w:r>
          </w:p>
        </w:tc>
        <w:tc>
          <w:tcPr>
            <w:tcW w:type="dxa" w:w="3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保留职责</w:t>
            </w:r>
          </w:p>
        </w:tc>
        <w:tc>
          <w:tcPr>
            <w:tcW w:type="dxa" w:w="311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集成边界</w:t>
            </w:r>
          </w:p>
        </w:tc>
      </w:tr>
      <w:tr>
        <w:trPr>
          <w:cantSplit/>
        </w:trP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9"/>
              </w:rPr>
              <w:t>News Claws / 127.0.0.1:8765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9"/>
              </w:rPr>
              <w:t>新闻采集、事件聚类、来源证据、可信度、公司/行业影响、时间线</w:t>
            </w:r>
          </w:p>
        </w:tc>
        <w:tc>
          <w:tcPr>
            <w:tcW w:type="dxa" w:w="3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9"/>
              </w:rPr>
              <w:t>只读 GET；逐版本导出，不读内部 SQLite</w:t>
            </w:r>
          </w:p>
        </w:tc>
      </w:tr>
      <w:tr>
        <w:trPr>
          <w:cantSplit/>
        </w:trP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9"/>
              </w:rPr>
              <w:t>Evidence-to-Alpha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9"/>
              </w:rPr>
              <w:t>时间契约、事件信号、三路融合、追溯、Paper OMS、研究门禁</w:t>
            </w:r>
          </w:p>
        </w:tc>
        <w:tc>
          <w:tcPr>
            <w:tcW w:type="dxa" w:w="3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9"/>
              </w:rPr>
              <w:t>编排层；不复制新闻前端和因子库</w:t>
            </w:r>
          </w:p>
        </w:tc>
      </w:tr>
      <w:tr>
        <w:trPr>
          <w:cantSplit/>
        </w:trP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9"/>
              </w:rPr>
              <w:t>multi-factor-alpha-platform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9"/>
              </w:rPr>
              <w:t>V3 权重、V4 风控、T+1 回测、风险归因、发布门禁</w:t>
            </w:r>
          </w:p>
        </w:tc>
        <w:tc>
          <w:tcPr>
            <w:tcW w:type="dxa" w:w="3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9"/>
              </w:rPr>
              <w:t>CSV/Parquet 文件契约；可选子进程验证</w:t>
            </w:r>
          </w:p>
        </w:tc>
      </w:tr>
    </w:tbl>
    <w:p>
      <w:pPr>
        <w:spacing w:after="40"/>
      </w:pPr>
    </w:p>
    <w:p>
      <w:pPr>
        <w:pStyle w:val="Heading1"/>
      </w:pPr>
      <w:r>
        <w:t>现有多因子项目评估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rPr>
          <w:cantSplit/>
          <w:tblHeader w:val="true"/>
        </w:trPr>
        <w:tc>
          <w:tcPr>
            <w:tcW w:type="dxa" w:w="21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维度</w:t>
            </w:r>
          </w:p>
        </w:tc>
        <w:tc>
          <w:tcPr>
            <w:tcW w:type="dxa" w:w="72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直接验证结果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9"/>
              </w:rPr>
              <w:t>维护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9"/>
              </w:rPr>
              <w:t>提交 9792ed27059b1179b39cca8fca2982fe22baf86e；2026-06-21 23:50:03 +08:00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9"/>
              </w:rPr>
              <w:t>许可证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9"/>
              </w:rPr>
              <w:t>MIT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9"/>
              </w:rPr>
              <w:t>可复用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9"/>
              </w:rPr>
              <w:t>run_backtest.py、run_v4_pipeline.py、V3 权重契约、V4 风控、归因和发布门禁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9"/>
              </w:rPr>
              <w:t>部署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9"/>
              </w:rPr>
              <w:t>中等：Python、pandas、pyarrow、cvxpy；大型权重和价格文件需在本地恢复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9"/>
              </w:rPr>
              <w:t>公共仓库缺口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9"/>
              </w:rPr>
              <w:t>v3_weights.parquet 与 data/processed/prices.parquet 未提交；sector map 可见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9"/>
              </w:rPr>
              <w:t>Live 状态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9"/>
              </w:rPr>
              <w:t>BLOCKED：真实 PB borrow feed 和 dry-run manifest 未满足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/>
          <w:i w:val="0"/>
        </w:rPr>
        <w:t>本轮生成的预 V4 cache 被该仓库 production loader 接受，清单为 input_mode=prod、validation_state=PASS、cvxpy 路径通过；同时 borrow_feed_present=false。</w:t>
      </w:r>
    </w:p>
    <w:p>
      <w:pPr>
        <w:pStyle w:val="Heading1"/>
      </w:pPr>
      <w:r>
        <w:t>新闻系统评估</w:t>
      </w:r>
    </w:p>
    <w:p>
      <w:pPr>
        <w:pStyle w:val="ListBullet"/>
      </w:pPr>
      <w:r>
        <w:rPr>
          <w:rFonts w:ascii="Calibri" w:hAnsi="Calibri" w:eastAsia="Microsoft YaHei"/>
        </w:rPr>
        <w:t>只读端点已跑通：事件列表、逐版本详情、时间线、统计和来源列表。</w:t>
      </w:r>
    </w:p>
    <w:p>
      <w:pPr>
        <w:pStyle w:val="ListBullet"/>
      </w:pPr>
      <w:r>
        <w:rPr>
          <w:rFonts w:ascii="Calibri" w:hAnsi="Calibri" w:eastAsia="Microsoft YaHei"/>
        </w:rPr>
        <w:t>逐版本详情包含 claim/evidence、source URL、NVDA/TSM ticker、行业影响、可靠性、新颖性和不确定性。</w:t>
      </w:r>
    </w:p>
    <w:p>
      <w:pPr>
        <w:pStyle w:val="ListBullet"/>
      </w:pPr>
      <w:r>
        <w:rPr>
          <w:rFonts w:ascii="Calibri" w:hAnsi="Calibri" w:eastAsia="Microsoft YaHei"/>
        </w:rPr>
        <w:t>当前数据为 1 个 synthetic event、2 个版本；默认禁止进入研究，只有显式 opt-in 才能运行。</w:t>
      </w:r>
    </w:p>
    <w:p>
      <w:pPr>
        <w:pStyle w:val="ListBullet"/>
      </w:pPr>
      <w:r>
        <w:rPr>
          <w:rFonts w:ascii="Calibri" w:hAnsi="Calibri" w:eastAsia="Microsoft YaHei"/>
        </w:rPr>
        <w:t>discovered_at/created_at 早于 published_at 时采用最大时间作为 observed_at，宁可延后，不提前可见性。</w:t>
      </w:r>
    </w:p>
    <w:p>
      <w:pPr>
        <w:pStyle w:val="Heading1"/>
      </w:pPr>
      <w:r>
        <w:t>开源候选对比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760"/>
        <w:gridCol w:w="1750"/>
        <w:gridCol w:w="900"/>
        <w:gridCol w:w="3070"/>
        <w:gridCol w:w="1880"/>
      </w:tblGrid>
      <w:tr>
        <w:trPr>
          <w:cantSplit/>
          <w:tblHeader w:val="true"/>
        </w:trPr>
        <w:tc>
          <w:tcPr>
            <w:tcW w:type="dxa" w:w="17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项目</w:t>
            </w:r>
          </w:p>
        </w:tc>
        <w:tc>
          <w:tcPr>
            <w:tcW w:type="dxa" w:w="17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维护/许可</w:t>
            </w:r>
          </w:p>
        </w:tc>
        <w:tc>
          <w:tcPr>
            <w:tcW w:type="dxa" w:w="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部署</w:t>
            </w:r>
          </w:p>
        </w:tc>
        <w:tc>
          <w:tcPr>
            <w:tcW w:type="dxa" w:w="307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可复用</w:t>
            </w:r>
          </w:p>
        </w:tc>
        <w:tc>
          <w:tcPr>
            <w:tcW w:type="dxa" w:w="18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决策</w:t>
            </w:r>
          </w:p>
        </w:tc>
      </w:tr>
      <w:tr>
        <w:trPr>
          <w:cantSplit/>
        </w:trPr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9"/>
              </w:rPr>
              <w:t>Microsoft Qlib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9"/>
              </w:rPr>
              <w:t>活跃；MIT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9"/>
              </w:rPr>
              <w:t>中高</w:t>
            </w:r>
          </w:p>
        </w:tc>
        <w:tc>
          <w:tcPr>
            <w:tcW w:type="dxa" w:w="30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9"/>
              </w:rPr>
              <w:t>工作流、记录器、组合分析</w:t>
            </w:r>
          </w:p>
        </w:tc>
        <w:tc>
          <w:tcPr>
            <w:tcW w:type="dxa" w:w="1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9"/>
              </w:rPr>
              <w:t>参考，不做内核</w:t>
            </w:r>
          </w:p>
        </w:tc>
      </w:tr>
      <w:tr>
        <w:trPr>
          <w:cantSplit/>
        </w:trPr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9"/>
              </w:rPr>
              <w:t>Zipline Reloaded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9"/>
              </w:rPr>
              <w:t>活跃；Apache-2.0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9"/>
              </w:rPr>
              <w:t>中</w:t>
            </w:r>
          </w:p>
        </w:tc>
        <w:tc>
          <w:tcPr>
            <w:tcW w:type="dxa" w:w="30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9"/>
              </w:rPr>
              <w:t>日历、事件循环、绩效</w:t>
            </w:r>
          </w:p>
        </w:tc>
        <w:tc>
          <w:tcPr>
            <w:tcW w:type="dxa" w:w="1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9"/>
              </w:rPr>
              <w:t>后续适配器</w:t>
            </w:r>
          </w:p>
        </w:tc>
      </w:tr>
      <w:tr>
        <w:trPr>
          <w:cantSplit/>
        </w:trPr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9"/>
              </w:rPr>
              <w:t>NautilusTrader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9"/>
              </w:rPr>
              <w:t>高活跃；LGPL-3.0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9"/>
              </w:rPr>
              <w:t>高</w:t>
            </w:r>
          </w:p>
        </w:tc>
        <w:tc>
          <w:tcPr>
            <w:tcW w:type="dxa" w:w="30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9"/>
              </w:rPr>
              <w:t>订单、成交、持仓</w:t>
            </w:r>
          </w:p>
        </w:tc>
        <w:tc>
          <w:tcPr>
            <w:tcW w:type="dxa" w:w="1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9"/>
              </w:rPr>
              <w:t>实盘阶段再评估</w:t>
            </w:r>
          </w:p>
        </w:tc>
      </w:tr>
      <w:tr>
        <w:trPr>
          <w:cantSplit/>
        </w:trPr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9"/>
              </w:rPr>
              <w:t>QuantConnect LEAN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9"/>
              </w:rPr>
              <w:t>高活跃；Apache-2.0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9"/>
              </w:rPr>
              <w:t>高</w:t>
            </w:r>
          </w:p>
        </w:tc>
        <w:tc>
          <w:tcPr>
            <w:tcW w:type="dxa" w:w="30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9"/>
              </w:rPr>
              <w:t>多资产、Paper/Live、券商</w:t>
            </w:r>
          </w:p>
        </w:tc>
        <w:tc>
          <w:tcPr>
            <w:tcW w:type="dxa" w:w="1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9"/>
              </w:rPr>
              <w:t>过重，不引入</w:t>
            </w:r>
          </w:p>
        </w:tc>
      </w:tr>
      <w:tr>
        <w:trPr>
          <w:cantSplit/>
        </w:trPr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9"/>
              </w:rPr>
              <w:t>vectorbt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9"/>
              </w:rPr>
              <w:t>活跃；Commons Clause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9"/>
              </w:rPr>
              <w:t>低中</w:t>
            </w:r>
          </w:p>
        </w:tc>
        <w:tc>
          <w:tcPr>
            <w:tcW w:type="dxa" w:w="30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9"/>
              </w:rPr>
              <w:t>参数扫描、事件消融</w:t>
            </w:r>
          </w:p>
        </w:tc>
        <w:tc>
          <w:tcPr>
            <w:tcW w:type="dxa" w:w="1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9"/>
              </w:rPr>
              <w:t>许可证风险，排除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/>
          <w:i w:val="0"/>
        </w:rPr>
        <w:t>候选信息基于 2026-08-20 已记录的 GitHub、README、LICENSE 和 PyPI 调研。本轮 GitHub REST 公共 API 被共享出口限流，未把失败请求当作新证据。</w:t>
      </w:r>
    </w:p>
    <w:p>
      <w:pPr>
        <w:pStyle w:val="Heading1"/>
      </w:pPr>
      <w:r>
        <w:t>最简单 MVP</w:t>
      </w:r>
    </w:p>
    <w:p>
      <w:pPr>
        <w:pStyle w:val="ListNumber"/>
        <w:numPr>
          <w:ilvl w:val="0"/>
          <w:numId w:val="10"/>
        </w:numPr>
      </w:pPr>
      <w:r>
        <w:rPr>
          <w:rFonts w:ascii="Calibri" w:hAnsi="Calibri" w:eastAsia="Microsoft YaHei"/>
        </w:rPr>
        <w:t>从新闻 API 逐版本导出事件、证据、URL 和 ticker。</w:t>
      </w:r>
    </w:p>
    <w:p>
      <w:pPr>
        <w:pStyle w:val="ListNumber"/>
        <w:numPr>
          <w:ilvl w:val="0"/>
          <w:numId w:val="10"/>
        </w:numPr>
      </w:pPr>
      <w:r>
        <w:rPr>
          <w:rFonts w:ascii="Calibri" w:hAnsi="Calibri" w:eastAsia="Microsoft YaHei"/>
        </w:rPr>
        <w:t>从 V3 权重、行业映射和 adj_close 生成 as-of 因子基线。</w:t>
      </w:r>
    </w:p>
    <w:p>
      <w:pPr>
        <w:pStyle w:val="ListNumber"/>
        <w:numPr>
          <w:ilvl w:val="0"/>
          <w:numId w:val="10"/>
        </w:numPr>
      </w:pPr>
      <w:r>
        <w:rPr>
          <w:rFonts w:ascii="Calibri" w:hAnsi="Calibri" w:eastAsia="Microsoft YaHei"/>
        </w:rPr>
        <w:t>输出因子基线、事件基线、因子 + 事件三路权重。</w:t>
      </w:r>
    </w:p>
    <w:p>
      <w:pPr>
        <w:pStyle w:val="ListNumber"/>
        <w:numPr>
          <w:ilvl w:val="0"/>
          <w:numId w:val="10"/>
        </w:numPr>
      </w:pPr>
      <w:r>
        <w:rPr>
          <w:rFonts w:ascii="Calibri" w:hAnsi="Calibri" w:eastAsia="Microsoft YaHei"/>
        </w:rPr>
        <w:t>预 V4 delta 保持净敞口不变，并限制单票和总换手。</w:t>
      </w:r>
    </w:p>
    <w:p>
      <w:pPr>
        <w:pStyle w:val="ListNumber"/>
        <w:numPr>
          <w:ilvl w:val="0"/>
          <w:numId w:val="10"/>
        </w:numPr>
      </w:pPr>
      <w:r>
        <w:rPr>
          <w:rFonts w:ascii="Calibri" w:hAnsi="Calibri" w:eastAsia="Microsoft YaHei"/>
        </w:rPr>
        <w:t>生成 V4 cache，运行 V4 production loader 和三路 T+1 回测。</w:t>
      </w:r>
    </w:p>
    <w:p>
      <w:pPr>
        <w:pStyle w:val="ListNumber"/>
        <w:numPr>
          <w:ilvl w:val="0"/>
          <w:numId w:val="10"/>
        </w:numPr>
      </w:pPr>
      <w:r>
        <w:rPr>
          <w:rFonts w:ascii="Calibri" w:hAnsi="Calibri" w:eastAsia="Microsoft YaHei"/>
        </w:rPr>
        <w:t>生成 T+1 Paper 订单，逐笔携带 signal/event/evidence lineage。</w:t>
      </w:r>
    </w:p>
    <w:p>
      <w:pPr>
        <w:pStyle w:val="ListNumber"/>
        <w:numPr>
          <w:ilvl w:val="0"/>
          <w:numId w:val="10"/>
        </w:numPr>
      </w:pPr>
      <w:r>
        <w:rPr>
          <w:rFonts w:ascii="Calibri" w:hAnsi="Calibri" w:eastAsia="Microsoft YaHei"/>
        </w:rPr>
        <w:t>提供只读结果 API；没有任何券商或真实订单写入口。</w:t>
      </w:r>
    </w:p>
    <w:p>
      <w:r>
        <w:br w:type="page"/>
      </w:r>
    </w:p>
    <w:p>
      <w:pPr>
        <w:pStyle w:val="Heading1"/>
      </w:pPr>
      <w:r>
        <w:t>验证状态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2150"/>
        <w:gridCol w:w="5610"/>
      </w:tblGrid>
      <w:tr>
        <w:trPr>
          <w:cantSplit/>
          <w:tblHeader w:val="true"/>
        </w:trPr>
        <w:tc>
          <w:tcPr>
            <w:tcW w:type="dxa" w:w="1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分类</w:t>
            </w:r>
          </w:p>
        </w:tc>
        <w:tc>
          <w:tcPr>
            <w:tcW w:type="dxa" w:w="21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结论</w:t>
            </w:r>
          </w:p>
        </w:tc>
        <w:tc>
          <w:tcPr>
            <w:tcW w:type="dxa" w:w="561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证据/限制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9"/>
              </w:rPr>
              <w:t>已验证事实</w:t>
            </w:r>
          </w:p>
        </w:tc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9"/>
              </w:rPr>
              <w:t>集成接口可运行</w:t>
            </w:r>
          </w:p>
        </w:tc>
        <w:tc>
          <w:tcPr>
            <w:tcW w:type="dxa" w:w="5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9"/>
              </w:rPr>
              <w:t>新闻 GET、2 个版本、11/11 门禁、V4 prod loader、三路 backtest、Paper 闭合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9"/>
              </w:rPr>
              <w:t>推断</w:t>
            </w:r>
          </w:p>
        </w:tc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9"/>
              </w:rPr>
              <w:t>同契约真实数据可接入</w:t>
            </w:r>
          </w:p>
        </w:tc>
        <w:tc>
          <w:tcPr>
            <w:tcW w:type="dxa" w:w="5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9"/>
              </w:rPr>
              <w:t>真实 V3 大文件尚未发现，仍需用户本地副本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9"/>
              </w:rPr>
              <w:t>未知</w:t>
            </w:r>
          </w:p>
        </w:tc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9"/>
              </w:rPr>
              <w:t>经济增量和实盘质量</w:t>
            </w:r>
          </w:p>
        </w:tc>
        <w:tc>
          <w:tcPr>
            <w:tcW w:type="dxa" w:w="5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9"/>
              </w:rPr>
              <w:t>真实事件、OOS、容量、borrow、成交尚未验证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9"/>
              </w:rPr>
              <w:t>决策</w:t>
            </w:r>
          </w:p>
        </w:tc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9"/>
              </w:rPr>
              <w:t>研究/Paper 可用</w:t>
            </w:r>
          </w:p>
        </w:tc>
        <w:tc>
          <w:tcPr>
            <w:tcW w:type="dxa" w:w="5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9"/>
              </w:rPr>
              <w:t>当前 INCONCLUSIVE；Live BLOCKED</w:t>
            </w:r>
          </w:p>
        </w:tc>
      </w:tr>
    </w:tbl>
    <w:p>
      <w:pPr>
        <w:spacing w:after="40"/>
      </w:pPr>
    </w:p>
    <w:p>
      <w:pPr>
        <w:pStyle w:val="Heading1"/>
      </w:pPr>
      <w:r>
        <w:t>最终选择</w:t>
      </w:r>
    </w:p>
    <w:p>
      <w:r>
        <w:rPr>
          <w:rFonts w:ascii="Calibri" w:hAnsi="Calibri" w:eastAsia="Microsoft YaHei"/>
          <w:i w:val="0"/>
        </w:rPr>
        <w:t>选择“基于现有项目改造并新增薄集成层”。这比直接使用通用引擎部署更简单，也比完全自研更尊重现有资产和责任边界。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646A74"/>
        <w:sz w:val="18"/>
      </w:rPr>
      <w:t xml:space="preserve">v0.2.0 | Internal research document | Page </w:t>
    </w:r>
    <w:fldSimple w:instr="PAGE">
      <w:r>
        <w:rPr>
          <w:color w:val="646A74"/>
          <w:sz w:val="18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 w:eastAsia="Microsoft YaHei"/>
        <w:color w:val="646A74"/>
        <w:sz w:val="18"/>
      </w:rPr>
      <w:t>Evidence-to-Alpha | 开源选型与 MVP 建议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Microsoft YaHei"/>
      <w:color w:val="23262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ind w:left="720" w:hanging="3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ind w:left="720" w:hanging="36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