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产品需求文档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证据驱动的事件增强交易系统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v0.1.0 MVP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需求已冻结；MVP 目标为研究与纸面交易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产品目标</w:t>
      </w:r>
    </w:p>
    <w:p>
      <w:r>
        <w:rPr>
          <w:rFonts w:ascii="Calibri" w:hAnsi="Calibri" w:eastAsia="Microsoft YaHei"/>
          <w:i w:val="0"/>
        </w:rPr>
        <w:t>在严格使用当时可得新闻证据的条件下，验证事件信号能否为既有多因子策略带来稳定、可解释、扣除成本后的增量信息。系统允许 PROMOTE、REJECT、INCONCLUSIVE 三种结论，后两种结论同样必须保留完整证据链。</w:t>
      </w:r>
    </w:p>
    <w:p>
      <w:pPr>
        <w:pStyle w:val="Heading1"/>
      </w:pPr>
      <w:r>
        <w:t>2. 用户与场景</w:t>
      </w:r>
    </w:p>
    <w:p>
      <w:pPr>
        <w:pStyle w:val="ListBullet"/>
      </w:pPr>
      <w:r>
        <w:rPr>
          <w:rFonts w:ascii="Calibri" w:hAnsi="Calibri" w:eastAsia="Microsoft YaHei"/>
        </w:rPr>
        <w:t>量化研究员导入新闻系统只读快照，生成事件研究和信号。</w:t>
      </w:r>
    </w:p>
    <w:p>
      <w:pPr>
        <w:pStyle w:val="ListBullet"/>
      </w:pPr>
      <w:r>
        <w:rPr>
          <w:rFonts w:ascii="Calibri" w:hAnsi="Calibri" w:eastAsia="Microsoft YaHei"/>
        </w:rPr>
        <w:t>组合研究员将事件信号作为有限幅度 overlay 叠加到因子基线。</w:t>
      </w:r>
    </w:p>
    <w:p>
      <w:pPr>
        <w:pStyle w:val="ListBullet"/>
      </w:pPr>
      <w:r>
        <w:rPr>
          <w:rFonts w:ascii="Calibri" w:hAnsi="Calibri" w:eastAsia="Microsoft YaHei"/>
        </w:rPr>
        <w:t>验证人员检查泄漏、成本、安慰剂、延迟和样本外证据。</w:t>
      </w:r>
    </w:p>
    <w:p>
      <w:pPr>
        <w:pStyle w:val="ListBullet"/>
      </w:pPr>
      <w:r>
        <w:rPr>
          <w:rFonts w:ascii="Calibri" w:hAnsi="Calibri" w:eastAsia="Microsoft YaHei"/>
        </w:rPr>
        <w:t>研究负责人将任一订单追溯到事件版本、原始证据、映射和因子版本。</w:t>
      </w:r>
    </w:p>
    <w:p>
      <w:pPr>
        <w:pStyle w:val="Heading1"/>
      </w:pPr>
      <w:r>
        <w:t>3. 范围与非范围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范围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MVP 内容</w:t>
            </w:r>
          </w:p>
        </w:tc>
        <w:trPr>
          <w:tblHeader/>
        </w:trPr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包含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事件契约、版本选择、实体映射、信号、事件研究、组合叠加、Paper OMS、验证、审计、CLI、只读 API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不包含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新闻采集/前端、券商连接、真实资金、生产凭据、复杂 ML、实时撮合、高可用集群</w:t>
            </w:r>
          </w:p>
        </w:tc>
      </w:tr>
    </w:tbl>
    <w:p>
      <w:pPr>
        <w:spacing w:after="40"/>
      </w:pPr>
    </w:p>
    <w:p>
      <w:pPr>
        <w:pStyle w:val="Heading1"/>
      </w:pPr>
      <w:r>
        <w:t>4. 功能需求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编号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需求</w:t>
            </w:r>
          </w:p>
        </w:tc>
        <w:trPr>
          <w:tblHeader/>
        </w:trPr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FR-01 事件数据适配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读取 event_id、event_version、published_at、observed_at、asof、影响主体和证据 ID；同一事件版本不可被不同内容覆盖。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FR-02 Point-in-time 选择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运行只选择 asof 不晚于截止时间的最新版本；未来版本不得影响历史运行。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FR-03 实体映射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映射公司或行业实体到股票代码、行业和影响倍数；失败映射必须披露。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FR-04 信号生成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方向、可信度、新颖性、冲突和时间衰减共同决定信号；信号携带配置哈希、事件版本和证据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FR-05 事件研究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计算 1、3、5、20 个交易日绝对和相对基准收益；数据不足必须标记。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FR-06 信号融合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提供因子基线、事件基线和 overlay，并受单票调整、换手和单票权重限制。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FR-07 Paper OMS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下一可交易日开盘按滑点和手续费成交，维护现金、持仓和 PnL，完成账本闭合。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FR-08 研究验证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执行时间泄漏、证据完整性、版本不可变、T+1、成本翻倍、延迟一日、安慰剂、基线和样本量检查。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FR-09 追溯输出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输出研究结论、门禁、事件研究、信号、订单、成交和 SQLite 账本。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FR-10 只读服务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提供健康检查、最新运行、信号、订单、成交和事件研究 JSON 端点。</w:t>
            </w:r>
          </w:p>
        </w:tc>
      </w:tr>
    </w:tbl>
    <w:p>
      <w:pPr>
        <w:spacing w:after="40"/>
      </w:pPr>
    </w:p>
    <w:p>
      <w:pPr>
        <w:pStyle w:val="Heading1"/>
      </w:pPr>
      <w:r>
        <w:t>5. 非功能需求</w:t>
      </w:r>
    </w:p>
    <w:p>
      <w:pPr>
        <w:pStyle w:val="ListBullet"/>
      </w:pPr>
      <w:r>
        <w:rPr>
          <w:rFonts w:ascii="Calibri" w:hAnsi="Calibri" w:eastAsia="Microsoft YaHei"/>
        </w:rPr>
        <w:t>确定性：相同输入和配置产生相同配置哈希、信号和订单。</w:t>
      </w:r>
    </w:p>
    <w:p>
      <w:pPr>
        <w:pStyle w:val="ListBullet"/>
      </w:pPr>
      <w:r>
        <w:rPr>
          <w:rFonts w:ascii="Calibri" w:hAnsi="Calibri" w:eastAsia="Microsoft YaHei"/>
        </w:rPr>
        <w:t>安全：不读取券商凭据，不提供写交易端点。</w:t>
      </w:r>
    </w:p>
    <w:p>
      <w:pPr>
        <w:pStyle w:val="ListBullet"/>
      </w:pPr>
      <w:r>
        <w:rPr>
          <w:rFonts w:ascii="Calibri" w:hAnsi="Calibri" w:eastAsia="Microsoft YaHei"/>
        </w:rPr>
        <w:t>可复现：运行报告记录输入摘要、配置和版本。</w:t>
      </w:r>
    </w:p>
    <w:p>
      <w:pPr>
        <w:pStyle w:val="ListBullet"/>
      </w:pPr>
      <w:r>
        <w:rPr>
          <w:rFonts w:ascii="Calibri" w:hAnsi="Calibri" w:eastAsia="Microsoft YaHei"/>
        </w:rPr>
        <w:t>可部署：Python 3.11+ 直接运行，提供 Docker 配置。</w:t>
      </w:r>
    </w:p>
    <w:p>
      <w:pPr>
        <w:pStyle w:val="ListBullet"/>
      </w:pPr>
      <w:r>
        <w:rPr>
          <w:rFonts w:ascii="Calibri" w:hAnsi="Calibri" w:eastAsia="Microsoft YaHei"/>
        </w:rPr>
        <w:t>可测试：核心领域逻辑由标准库单元测试覆盖。</w:t>
      </w:r>
    </w:p>
    <w:p>
      <w:pPr>
        <w:pStyle w:val="ListBullet"/>
      </w:pPr>
      <w:r>
        <w:rPr>
          <w:rFonts w:ascii="Calibri" w:hAnsi="Calibri" w:eastAsia="Microsoft YaHei"/>
        </w:rPr>
        <w:t>可审计：重要结论区分已验证事实、推断、未知和决策。</w:t>
      </w:r>
    </w:p>
    <w:p>
      <w:pPr>
        <w:pStyle w:val="Heading1"/>
      </w:pPr>
      <w:r>
        <w:t>6.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通过标准</w:t>
            </w:r>
          </w:p>
        </w:tc>
        <w:trPr>
          <w:tblHeader/>
        </w:trPr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时间与版本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未来版本不能进入历史运行；observed_at 不早于 published_at。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证据链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所有信号引用的 evidence_id 存在；事件版本和配置哈希保留。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交易时序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每笔成交日期严格晚于信号截止日期。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组合限制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权重和为 1，overlay、换手和单票权重不超限。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账本闭合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现金、持仓、市值、费用和总权益闭合到 0.01。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研究结论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基线和增强独立报告；样本不足返回 INCONCLUSIVE。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交付质量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测试、验证证据和文档渲染均通过；生产发布仍需人工授权。</w:t>
            </w:r>
          </w:p>
        </w:tc>
      </w:tr>
    </w:tbl>
    <w:p>
      <w:pPr>
        <w:spacing w:after="40"/>
      </w:pPr>
    </w:p>
    <w:p>
      <w:pPr>
        <w:pStyle w:val="Heading1"/>
      </w:pPr>
      <w:r>
        <w:t>7. 研究结论边界</w:t>
      </w:r>
    </w:p>
    <w:p>
      <w:r>
        <w:rPr>
          <w:rFonts w:ascii="Calibri" w:hAnsi="Calibri" w:eastAsia="Microsoft YaHei"/>
          <w:i w:val="0"/>
        </w:rPr>
        <w:t>本系统是研究和纸面交易系统。没有真实成交数据、稳定样本外表现和独立风险验证之前，不得称为有效实盘交易系统。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>v0.1.0 MVP | Internal working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产品需求文档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