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Calibri" w:hAnsi="Calibri" w:eastAsia="Microsoft YaHei"/>
          <w:b/>
          <w:color w:val="000000"/>
          <w:sz w:val="46"/>
        </w:rPr>
        <w:t>开发与部署文档</w:t>
      </w:r>
    </w:p>
    <w:p>
      <w:pPr>
        <w:spacing w:after="240"/>
      </w:pPr>
      <w:r>
        <w:rPr>
          <w:rFonts w:ascii="Calibri" w:hAnsi="Calibri" w:eastAsia="Microsoft YaHei"/>
          <w:color w:val="464A50"/>
          <w:sz w:val="26"/>
        </w:rPr>
        <w:t>Evidence-to-Alpha Trading System v0.1.0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项目: </w:t>
      </w:r>
      <w:r>
        <w:rPr>
          <w:rFonts w:ascii="Calibri" w:hAnsi="Calibri" w:eastAsia="Microsoft YaHei"/>
          <w:color w:val="23262B"/>
          <w:sz w:val="21"/>
        </w:rPr>
        <w:t>Evidence-to-Alpha Trading System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版本: </w:t>
      </w:r>
      <w:r>
        <w:rPr>
          <w:rFonts w:ascii="Calibri" w:hAnsi="Calibri" w:eastAsia="Microsoft YaHei"/>
          <w:color w:val="23262B"/>
          <w:sz w:val="21"/>
        </w:rPr>
        <w:t>v0.1.0 MVP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日期: </w:t>
      </w:r>
      <w:r>
        <w:rPr>
          <w:rFonts w:ascii="Calibri" w:hAnsi="Calibri" w:eastAsia="Microsoft YaHei"/>
          <w:color w:val="23262B"/>
          <w:sz w:val="21"/>
        </w:rPr>
        <w:t>2026-08-20</w:t>
      </w:r>
    </w:p>
    <w:p>
      <w:pPr>
        <w:spacing w:after="40"/>
      </w:pPr>
      <w:r>
        <w:rPr>
          <w:rFonts w:ascii="Calibri" w:hAnsi="Calibri" w:eastAsia="Microsoft YaHei"/>
          <w:b/>
          <w:color w:val="23262B"/>
          <w:sz w:val="21"/>
        </w:rPr>
        <w:t xml:space="preserve">状态: </w:t>
      </w:r>
      <w:r>
        <w:rPr>
          <w:rFonts w:ascii="Calibri" w:hAnsi="Calibri" w:eastAsia="Microsoft YaHei"/>
          <w:color w:val="23262B"/>
          <w:sz w:val="21"/>
        </w:rPr>
        <w:t>实现候选已完成；本地发布候选待冻结</w:t>
      </w:r>
    </w:p>
    <w:p>
      <w:pPr>
        <w:pBdr>
          <w:bottom w:val="single" w:sz="8" w:space="1" w:color="D7DBE2"/>
        </w:pBdr>
        <w:spacing w:after="200"/>
      </w:pPr>
    </w:p>
    <w:p>
      <w:pPr>
        <w:pStyle w:val="Heading1"/>
      </w:pPr>
      <w:r>
        <w:t>1. 架构决策</w:t>
      </w:r>
    </w:p>
    <w:p>
      <w:r>
        <w:rPr>
          <w:rFonts w:ascii="Calibri" w:hAnsi="Calibri" w:eastAsia="Microsoft YaHei"/>
          <w:i w:val="0"/>
        </w:rPr>
        <w:t>采用 Python 标准库实现薄集成服务，不 fork 完整交易引擎。核心价值是证据和版本契约，而不是重新实现通用量化平台。Zipline Reloaded 可作为后续回测适配器；NautilusTrader 或 LEAN 只在真实执行评估阶段再考虑。</w:t>
      </w:r>
    </w:p>
    <w:p>
      <w:pPr>
        <w:pStyle w:val="Heading1"/>
      </w:pPr>
      <w:r>
        <w:t>2. 组件与责任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750"/>
        <w:gridCol w:w="3110"/>
      </w:tblGrid>
      <w:tr>
        <w:tc>
          <w:tcPr>
            <w:tcW w:type="dxa" w:w="1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组件</w:t>
            </w:r>
          </w:p>
        </w:tc>
        <w:tc>
          <w:tcPr>
            <w:tcW w:type="dxa" w:w="47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责任</w:t>
            </w:r>
          </w:p>
        </w:tc>
        <w:tc>
          <w:tcPr>
            <w:tcW w:type="dxa" w:w="311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关键证据</w:t>
            </w:r>
          </w:p>
        </w:tc>
        <w:trPr>
          <w:tblHeader/>
        </w:trPr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contracts</w:t>
            </w:r>
          </w:p>
        </w:tc>
        <w:tc>
          <w:tcPr>
            <w:tcW w:type="dxa" w:w="4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解析并验证事件、证据、映射、行情和权重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时间字段、版本、输入摘要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store</w:t>
            </w:r>
          </w:p>
        </w:tc>
        <w:tc>
          <w:tcPr>
            <w:tcW w:type="dxa" w:w="4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SQLite 事件版本和运行账本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不可变键、run_id、artifact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signals</w:t>
            </w:r>
          </w:p>
        </w:tc>
        <w:tc>
          <w:tcPr>
            <w:tcW w:type="dxa" w:w="4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门控、衰减、配置哈希、逐条 lineage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signal_id、event_ref、evidence_id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study</w:t>
            </w:r>
          </w:p>
        </w:tc>
        <w:tc>
          <w:tcPr>
            <w:tcW w:type="dxa" w:w="4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1/3/5/20 日异常收益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窗口状态、基准收益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portfolio</w:t>
            </w:r>
          </w:p>
        </w:tc>
        <w:tc>
          <w:tcPr>
            <w:tcW w:type="dxa" w:w="4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基线、事件、overlay 和约束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权重和、单票、换手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oms</w:t>
            </w:r>
          </w:p>
        </w:tc>
        <w:tc>
          <w:tcPr>
            <w:tcW w:type="dxa" w:w="4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T+1 订单、滑点、手续费、持仓与闭合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order、fill、reconciliation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validation</w:t>
            </w:r>
          </w:p>
        </w:tc>
        <w:tc>
          <w:tcPr>
            <w:tcW w:type="dxa" w:w="4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泄漏、证据、压力和结论门禁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audit.json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api/cli</w:t>
            </w:r>
          </w:p>
        </w:tc>
        <w:tc>
          <w:tcPr>
            <w:tcW w:type="dxa" w:w="4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只读服务和可复现命令入口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health、report、demo</w:t>
            </w:r>
          </w:p>
        </w:tc>
      </w:tr>
    </w:tbl>
    <w:p>
      <w:pPr>
        <w:spacing w:after="40"/>
      </w:pPr>
    </w:p>
    <w:p>
      <w:pPr>
        <w:pStyle w:val="Heading1"/>
      </w:pPr>
      <w:r>
        <w:t>3. 数据与版本契约</w:t>
      </w:r>
    </w:p>
    <w:p>
      <w:pPr>
        <w:pStyle w:val="ListBullet"/>
      </w:pPr>
      <w:r>
        <w:rPr>
          <w:rFonts w:ascii="Calibri" w:hAnsi="Calibri" w:eastAsia="Microsoft YaHei"/>
        </w:rPr>
        <w:t>事件唯一键为 event_id + event_version；published_at、observed_at、asof 为带时区 ISO-8601。</w:t>
      </w:r>
    </w:p>
    <w:p>
      <w:pPr>
        <w:pStyle w:val="ListBullet"/>
      </w:pPr>
      <w:r>
        <w:rPr>
          <w:rFonts w:ascii="Calibri" w:hAnsi="Calibri" w:eastAsia="Microsoft YaHei"/>
        </w:rPr>
        <w:t>published_at &lt;= observed_at &lt;= asof；运行截止时间决定可见版本。</w:t>
      </w:r>
    </w:p>
    <w:p>
      <w:pPr>
        <w:pStyle w:val="ListBullet"/>
      </w:pPr>
      <w:r>
        <w:rPr>
          <w:rFonts w:ascii="Calibri" w:hAnsi="Calibri" w:eastAsia="Microsoft YaHei"/>
        </w:rPr>
        <w:t>订单和成交记录 run_id、ticker、side、quantity、factor_version、signal_ids、event_refs、evidence_ids。</w:t>
      </w:r>
    </w:p>
    <w:p>
      <w:pPr>
        <w:pStyle w:val="ListBullet"/>
      </w:pPr>
      <w:r>
        <w:rPr>
          <w:rFonts w:ascii="Calibri" w:hAnsi="Calibri" w:eastAsia="Microsoft YaHei"/>
        </w:rPr>
        <w:t>没有事件调整的因子基线订单允许事件引用为空，但 factor_version 不可为空。</w:t>
      </w:r>
    </w:p>
    <w:p>
      <w:pPr>
        <w:pStyle w:val="Heading1"/>
      </w:pPr>
      <w:r>
        <w:t>4. 核心流程</w:t>
      </w:r>
    </w:p>
    <w:p>
      <w:pPr>
        <w:pStyle w:val="ListNumber"/>
      </w:pPr>
      <w:r>
        <w:rPr>
          <w:rFonts w:ascii="Calibri" w:hAnsi="Calibri" w:eastAsia="Microsoft YaHei"/>
        </w:rPr>
        <w:t>读取并验证输入，登记所有事件版本到 SQLite。</w:t>
      </w:r>
    </w:p>
    <w:p>
      <w:pPr>
        <w:pStyle w:val="ListNumber"/>
      </w:pPr>
      <w:r>
        <w:rPr>
          <w:rFonts w:ascii="Calibri" w:hAnsi="Calibri" w:eastAsia="Microsoft YaHei"/>
        </w:rPr>
        <w:t>按截止时间选择每个事件的最新可见版本。</w:t>
      </w:r>
    </w:p>
    <w:p>
      <w:pPr>
        <w:pStyle w:val="ListNumber"/>
      </w:pPr>
      <w:r>
        <w:rPr>
          <w:rFonts w:ascii="Calibri" w:hAnsi="Calibri" w:eastAsia="Microsoft YaHei"/>
        </w:rPr>
        <w:t>映射实体并生成带配置哈希的事件信号。</w:t>
      </w:r>
    </w:p>
    <w:p>
      <w:pPr>
        <w:pStyle w:val="ListNumber"/>
      </w:pPr>
      <w:r>
        <w:rPr>
          <w:rFonts w:ascii="Calibri" w:hAnsi="Calibri" w:eastAsia="Microsoft YaHei"/>
        </w:rPr>
        <w:t>计算事件研究和异常收益，生成三条组合路径。</w:t>
      </w:r>
    </w:p>
    <w:p>
      <w:pPr>
        <w:pStyle w:val="ListNumber"/>
      </w:pPr>
      <w:r>
        <w:rPr>
          <w:rFonts w:ascii="Calibri" w:hAnsi="Calibri" w:eastAsia="Microsoft YaHei"/>
        </w:rPr>
        <w:t>下一交易日生成纸面成交，执行成本和账本闭合。</w:t>
      </w:r>
    </w:p>
    <w:p>
      <w:pPr>
        <w:pStyle w:val="ListNumber"/>
      </w:pPr>
      <w:r>
        <w:rPr>
          <w:rFonts w:ascii="Calibri" w:hAnsi="Calibri" w:eastAsia="Microsoft YaHei"/>
        </w:rPr>
        <w:t>运行自动验证，输出 PROMOTE / REJECT / INCONCLUSIVE。</w:t>
      </w:r>
    </w:p>
    <w:p>
      <w:pPr>
        <w:pStyle w:val="ListNumber"/>
      </w:pPr>
      <w:r>
        <w:rPr>
          <w:rFonts w:ascii="Calibri" w:hAnsi="Calibri" w:eastAsia="Microsoft YaHei"/>
        </w:rPr>
        <w:t>写出 JSON、CSV、SQLite 和审计证据。</w:t>
      </w:r>
    </w:p>
    <w:p>
      <w:pPr>
        <w:pStyle w:val="Heading1"/>
      </w:pPr>
      <w:r>
        <w:t>5. 运行命令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7660"/>
      </w:tblGrid>
      <w:t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操作</w:t>
            </w:r>
          </w:p>
        </w:tc>
        <w:tc>
          <w:tcPr>
            <w:tcW w:type="dxa" w:w="7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命令</w:t>
            </w:r>
          </w:p>
        </w:tc>
        <w:trPr>
          <w:tblHeader/>
        </w:trPr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安装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python -m pip install -e 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演示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python -m evidence_alpha demo --output-dir artifacts/demo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测试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python -m unittest discover -s tests -v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验证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python -m evidence_alpha verify --artifact-dir artifacts/demo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服务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python -m evidence_alpha serve --artifact-dir artifacts/demo --port 8080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Docker</w:t>
            </w:r>
          </w:p>
        </w:tc>
        <w:tc>
          <w:tcPr>
            <w:tcW w:type="dxa" w:w="7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docker compose up --build</w:t>
            </w:r>
          </w:p>
        </w:tc>
      </w:tr>
    </w:tbl>
    <w:p>
      <w:pPr>
        <w:spacing w:after="40"/>
      </w:pPr>
    </w:p>
    <w:p>
      <w:pPr>
        <w:pStyle w:val="Heading1"/>
      </w:pPr>
      <w:r>
        <w:t>6. API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6060"/>
      </w:tblGrid>
      <w:t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端点</w:t>
            </w:r>
          </w:p>
        </w:tc>
        <w:tc>
          <w:tcPr>
            <w:tcW w:type="dxa" w:w="60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>
              <w:rPr>
                <w:rFonts w:ascii="Calibri" w:hAnsi="Calibri" w:eastAsia="Microsoft YaHei"/>
                <w:b/>
                <w:color w:val="1F4D78"/>
                <w:sz w:val="20"/>
              </w:rPr>
              <w:t>用途</w:t>
            </w:r>
          </w:p>
        </w:tc>
        <w:trPr>
          <w:tblHeader/>
        </w:trPr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GET /health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服务状态和报告是否就绪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GET /api/v1/runs/latest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最新运行报告、结论和门禁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GET /api/v1/runs/latest/signals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事件信号及配置/证据追溯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GET /api/v1/runs/latest/orders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目标权重到订单追溯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GET /api/v1/runs/latest/fills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订单到成交追溯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GET /api/v1/runs/latest/event-study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 w:eastAsia="Microsoft YaHei"/>
                <w:sz w:val="19"/>
              </w:rPr>
              <w:t>事件研究 CSV 的 JSON 表示</w:t>
            </w:r>
          </w:p>
        </w:tc>
      </w:tr>
    </w:tbl>
    <w:p>
      <w:pPr>
        <w:spacing w:after="40"/>
      </w:pPr>
    </w:p>
    <w:p>
      <w:pPr>
        <w:pStyle w:val="Heading1"/>
      </w:pPr>
      <w:r>
        <w:t>7. 测试与发布门禁</w:t>
      </w:r>
    </w:p>
    <w:p>
      <w:r>
        <w:rPr>
          <w:rFonts w:ascii="Calibri" w:hAnsi="Calibri" w:eastAsia="Microsoft YaHei"/>
          <w:i w:val="0"/>
        </w:rPr>
        <w:t>当前测试覆盖时间契约、版本选择、不可变输入、信号追溯、组合限制、T+1、账本闭合和端到端 demo。发布前还要运行源码编译、自动 verifier、API 冒烟和文档渲染检查。</w:t>
      </w:r>
    </w:p>
    <w:p>
      <w:pPr>
        <w:pStyle w:val="ListBullet"/>
      </w:pPr>
      <w:r>
        <w:rPr>
          <w:rFonts w:ascii="Calibri" w:hAnsi="Calibri" w:eastAsia="Microsoft YaHei"/>
        </w:rPr>
        <w:t>自动化测试是近端证据，不替代独立 Verifier。</w:t>
      </w:r>
    </w:p>
    <w:p>
      <w:pPr>
        <w:pStyle w:val="ListBullet"/>
      </w:pPr>
      <w:r>
        <w:rPr>
          <w:rFonts w:ascii="Calibri" w:hAnsi="Calibri" w:eastAsia="Microsoft YaHei"/>
        </w:rPr>
        <w:t>最后一次文件编辑后只执行 VERIFY -&gt; SEAL -&gt; CLEANUP -&gt; FINAL。</w:t>
      </w:r>
    </w:p>
    <w:p>
      <w:pPr>
        <w:pStyle w:val="ListBullet"/>
      </w:pPr>
      <w:r>
        <w:rPr>
          <w:rFonts w:ascii="Calibri" w:hAnsi="Calibri" w:eastAsia="Microsoft YaHei"/>
        </w:rPr>
        <w:t>Git 合并、远程仓库、云主机、TLS、凭据、真实数据库、生产发布和回滚仍是单独授权门禁。</w:t>
      </w:r>
    </w:p>
    <w:p>
      <w:pPr>
        <w:pStyle w:val="Heading1"/>
      </w:pPr>
      <w:r>
        <w:t>8. 已知限制与上线前置条件</w:t>
      </w:r>
    </w:p>
    <w:p>
      <w:r>
        <w:rPr>
          <w:rFonts w:ascii="Calibri" w:hAnsi="Calibri" w:eastAsia="Microsoft YaHei"/>
          <w:i w:val="0"/>
        </w:rPr>
        <w:t>本地发布候选可运行，但工作区没有远程 Git 地址、云账号、域名、证书或生产数据授权。因此本轮完成本地 API/Docker 部署与证据封存；外部互联网生产上线必须由发布负责人补齐目标环境和授权后执行。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color w:val="646A74"/>
        <w:sz w:val="18"/>
      </w:rPr>
      <w:t>v0.1.0 MVP | Internal working document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color w:val="646A74"/>
        <w:sz w:val="18"/>
      </w:rPr>
      <w:t>Evidence-to-Alpha | 开发与部署文档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color w:val="2326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