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000000"/>
          <w:sz w:val="46"/>
        </w:rPr>
        <w:t>产品需求文档</w:t>
      </w:r>
    </w:p>
    <w:p>
      <w:pPr>
        <w:spacing w:after="240"/>
      </w:pPr>
      <w:r>
        <w:rPr>
          <w:rFonts w:ascii="Calibri" w:hAnsi="Calibri" w:eastAsia="Microsoft YaHei"/>
          <w:color w:val="464A50"/>
          <w:sz w:val="26"/>
        </w:rPr>
        <w:t>证据驱动的事件增强交易系统</w:t>
      </w:r>
    </w:p>
    <w:p>
      <w:pPr>
        <w:spacing w:after="40"/>
      </w:pPr>
      <w:r>
        <w:rPr>
          <w:rFonts w:ascii="Calibri" w:hAnsi="Calibri" w:eastAsia="Microsoft YaHei"/>
          <w:b/>
          <w:color w:val="23262B"/>
          <w:sz w:val="21"/>
        </w:rPr>
        <w:t xml:space="preserve">项目: </w:t>
      </w:r>
      <w:r>
        <w:rPr>
          <w:rFonts w:ascii="Calibri" w:hAnsi="Calibri" w:eastAsia="Microsoft YaHei"/>
          <w:color w:val="23262B"/>
          <w:sz w:val="21"/>
        </w:rPr>
        <w:t>Evidence-to-Alpha Trading System</w:t>
      </w:r>
    </w:p>
    <w:p>
      <w:pPr>
        <w:spacing w:after="40"/>
      </w:pPr>
      <w:r>
        <w:rPr>
          <w:rFonts w:ascii="Calibri" w:hAnsi="Calibri" w:eastAsia="Microsoft YaHei"/>
          <w:b/>
          <w:color w:val="23262B"/>
          <w:sz w:val="21"/>
        </w:rPr>
        <w:t xml:space="preserve">版本: </w:t>
      </w:r>
      <w:r>
        <w:rPr>
          <w:rFonts w:ascii="Calibri" w:hAnsi="Calibri" w:eastAsia="Microsoft YaHei"/>
          <w:color w:val="23262B"/>
          <w:sz w:val="21"/>
        </w:rPr>
        <w:t>v0.4.0 Integrated Validation</w:t>
      </w:r>
    </w:p>
    <w:p>
      <w:pPr>
        <w:spacing w:after="40"/>
      </w:pPr>
      <w:r>
        <w:rPr>
          <w:rFonts w:ascii="Calibri" w:hAnsi="Calibri" w:eastAsia="Microsoft YaHei"/>
          <w:b/>
          <w:color w:val="23262B"/>
          <w:sz w:val="21"/>
        </w:rPr>
        <w:t xml:space="preserve">日期: </w:t>
      </w:r>
      <w:r>
        <w:rPr>
          <w:rFonts w:ascii="Calibri" w:hAnsi="Calibri" w:eastAsia="Microsoft YaHei"/>
          <w:color w:val="23262B"/>
          <w:sz w:val="21"/>
        </w:rPr>
        <w:t>2026-08-21</w:t>
      </w:r>
    </w:p>
    <w:p>
      <w:pPr>
        <w:spacing w:after="40"/>
      </w:pPr>
      <w:r>
        <w:rPr>
          <w:rFonts w:ascii="Calibri" w:hAnsi="Calibri" w:eastAsia="Microsoft YaHei"/>
          <w:b/>
          <w:color w:val="23262B"/>
          <w:sz w:val="21"/>
        </w:rPr>
        <w:t xml:space="preserve">状态: </w:t>
      </w:r>
      <w:r>
        <w:rPr>
          <w:rFonts w:ascii="Calibri" w:hAnsi="Calibri" w:eastAsia="Microsoft YaHei"/>
          <w:color w:val="23262B"/>
          <w:sz w:val="21"/>
        </w:rPr>
        <w:t>需求已冻结；v0.4.0 Integrated Validation</w:t>
      </w:r>
    </w:p>
    <w:p>
      <w:pPr>
        <w:pBdr>
          <w:bottom w:val="single" w:sz="8" w:space="1" w:color="D7DBE2"/>
        </w:pBdr>
        <w:spacing w:after="200"/>
      </w:pPr>
    </w:p>
    <w:p>
      <w:pPr>
        <w:pStyle w:val="Heading1"/>
      </w:pPr>
      <w:r>
        <w:t>1. 产品目标</w:t>
      </w:r>
    </w:p>
    <w:p>
      <w:r>
        <w:rPr>
          <w:rFonts w:ascii="Calibri" w:hAnsi="Calibri" w:eastAsia="Microsoft YaHei"/>
          <w:i w:val="0"/>
        </w:rPr>
        <w:t>在严格使用当时可得新闻证据的条件下，把新闻事件转换为可回测事件 Alpha，并与现有多因子组合融合，形成研究、V4 风控、T+1 回测、Paper OMS 和归因反馈闭环。</w:t>
      </w:r>
    </w:p>
    <w:p>
      <w:r>
        <w:rPr>
          <w:rFonts w:ascii="Calibri" w:hAnsi="Calibri" w:eastAsia="Microsoft YaHei"/>
          <w:i w:val="0"/>
        </w:rPr>
        <w:t>成功不是单次更高 Sharpe，而是回答：事件信号扣除成本并通过泄漏、样本外和独立验证后，是否给因子基线带来稳定增量。允许 PROMOTE、REJECT、INCONCLUSIVE。</w:t>
      </w:r>
    </w:p>
    <w:p>
      <w:pPr>
        <w:pStyle w:val="Heading1"/>
      </w:pPr>
      <w:r>
        <w:t>2. 用户与核心场景</w:t>
      </w:r>
    </w:p>
    <w:p>
      <w:pPr>
        <w:pStyle w:val="ListBullet"/>
      </w:pPr>
      <w:r>
        <w:rPr>
          <w:rFonts w:ascii="Calibri" w:hAnsi="Calibri" w:eastAsia="Microsoft YaHei"/>
        </w:rPr>
        <w:t>量化研究员：选择 as-of，运行三路比较和事件研究。</w:t>
      </w:r>
    </w:p>
    <w:p>
      <w:pPr>
        <w:pStyle w:val="ListBullet"/>
      </w:pPr>
      <w:r>
        <w:rPr>
          <w:rFonts w:ascii="Calibri" w:hAnsi="Calibri" w:eastAsia="Microsoft YaHei"/>
        </w:rPr>
        <w:t>组合研究员：检查预 V4 事件调整、换手和股票池重叠。</w:t>
      </w:r>
    </w:p>
    <w:p>
      <w:pPr>
        <w:pStyle w:val="ListBullet"/>
      </w:pPr>
      <w:r>
        <w:rPr>
          <w:rFonts w:ascii="Calibri" w:hAnsi="Calibri" w:eastAsia="Microsoft YaHei"/>
        </w:rPr>
        <w:t>风险/验证人员：核对 point-in-time、证据、V4、T+1 和账本门禁。</w:t>
      </w:r>
    </w:p>
    <w:p>
      <w:pPr>
        <w:pStyle w:val="ListBullet"/>
      </w:pPr>
      <w:r>
        <w:rPr>
          <w:rFonts w:ascii="Calibri" w:hAnsi="Calibri" w:eastAsia="Microsoft YaHei"/>
        </w:rPr>
        <w:t>研究负责人：从 Paper 订单追溯到 signal、event version、evidence 和 source URL。</w:t>
      </w:r>
    </w:p>
    <w:p>
      <w:pPr>
        <w:pStyle w:val="ListBullet"/>
      </w:pPr>
      <w:r>
        <w:rPr>
          <w:rFonts w:ascii="Calibri" w:hAnsi="Calibri" w:eastAsia="Microsoft YaHei"/>
        </w:rPr>
        <w:t>运维人员：启动只读结果服务，检查健康和最新报告。</w:t>
      </w:r>
    </w:p>
    <w:p>
      <w:pPr>
        <w:pStyle w:val="Heading1"/>
      </w:pPr>
      <w:r>
        <w:t>3. 系统边界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730"/>
        <w:gridCol w:w="3630"/>
      </w:tblGrid>
      <w:tr>
        <w:trPr>
          <w:cantSplit/>
          <w:tblHeader w:val="true"/>
        </w:trP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系统</w:t>
            </w:r>
          </w:p>
        </w:tc>
        <w:tc>
          <w:tcPr>
            <w:tcW w:type="dxa" w:w="37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所有权</w:t>
            </w:r>
          </w:p>
        </w:tc>
        <w:tc>
          <w:tcPr>
            <w:tcW w:type="dxa" w:w="36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本项目交互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新闻系统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采集、事件、证据、可靠性、影响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只读 HTTP GET，逐版本导出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Evidence-to-Alpha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契约、信号、融合、追溯、Paper OMS、门禁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核心编排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多因子平台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因子、V3 权重、V4、T+1、归因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文件契约和可选外部验证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券商/PB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borrow、真实订单和成交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MVP 不连接，保持阻断</w:t>
            </w:r>
          </w:p>
        </w:tc>
      </w:tr>
    </w:tbl>
    <w:p>
      <w:pPr>
        <w:spacing w:after="40"/>
      </w:pPr>
    </w:p>
    <w:p>
      <w:pPr>
        <w:pStyle w:val="Heading1"/>
      </w:pPr>
      <w:r>
        <w:t>4. 功能需求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150"/>
        <w:gridCol w:w="5010"/>
      </w:tblGrid>
      <w:tr>
        <w:trPr>
          <w:cantSplit/>
          <w:tblHeader w:val="true"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3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需求</w:t>
            </w:r>
          </w:p>
        </w:tc>
        <w:tc>
          <w:tcPr>
            <w:tcW w:type="dxa" w:w="5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验收要点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FR-001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新闻只读接入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只调用 GET；不修改事件、来源、审核和数据库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FR-002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逐版本导出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timeline 每个 version 通过 ?version=N 单独获取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FR-003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时间契约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带时区；published &lt;= observed &lt;= asof；异常时间保守延后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FR-004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Synthetic 门禁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默认拒绝；显式 opt-in 后仍不得 PROMOTE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FR-005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证据追溯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signal 包含 event/version/evidence/config；URL 可查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FR-006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多因子输入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长/宽 CSV/Parquet 权重；adj_close；sector map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FR-007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As-of/股票池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权重不晚于 cutoff；重叠率低于门槛失败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FR-008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事件信号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方向、可靠性、新颖性、冲突、衰减；失败映射披露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FR-009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三路组合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因子、事件、融合独立输出，不只展示最好结果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FR-010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预 V4 融合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delta 净和 0；单票和换手受限；在 V4 前执行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FR-011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V4 交接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生成 v3_weights.parquet 与 v3_sector_map.csv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FR-012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外部回测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三路由 run_backtest.py 接受；记录 return code/metrics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FR-013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Paper OMS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T+1、side/qty/price/fee/lineage、会计闭合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FR-014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集成独立验证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run 与 integrate 均按 observed_at 划分 IS/OOS；滚动折叠；泄漏/交叉分区硬拒绝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FR-015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稳健性与决策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基线/placebo/延迟/成本翻倍；不足 INCONCLUSIVE；失败 REJECT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FR-016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只读服务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health/report/signals/orders/event-study/independent-validation；POST 405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FR-017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可复现产物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run ID、输入、配置、event_study.csv、audit.json、门禁和局限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FR-018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实盘阻断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PB/真实样本/OOS/独立验证/授权缺一则 BLOCKED</w:t>
            </w:r>
          </w:p>
        </w:tc>
      </w:tr>
    </w:tbl>
    <w:p>
      <w:pPr>
        <w:spacing w:after="40"/>
      </w:pPr>
    </w:p>
    <w:p>
      <w:pPr>
        <w:pStyle w:val="Heading1"/>
      </w:pPr>
      <w:r>
        <w:t>5. 非功能需求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属性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安全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无券商凭据、无真实订单写路径、新闻侧只读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确定性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相同输入和配置产生相同 signal/order/run ID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兼容性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核心标准库；Parquet/V4 为 pandas/pyarrow 可选依赖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可测试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覆盖失败关闭、时间异常、版本、融合和外部契约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可审计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事实、推断、未知、决策分离；synthetic 指标带限制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可运维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健康检查、Docker、可配置 artifact directory</w:t>
            </w:r>
          </w:p>
        </w:tc>
      </w:tr>
    </w:tbl>
    <w:p>
      <w:pPr>
        <w:spacing w:after="40"/>
      </w:pPr>
    </w:p>
    <w:p>
      <w:pPr>
        <w:pStyle w:val="Heading1"/>
      </w:pPr>
      <w:r>
        <w:t>6. 研究运行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检查新闻服务与因子输入。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导出所有事件版本并选择 as-of 可见版本。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生成信号、三路权重和预 V4 cache。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运行 V4 production loader、三路回测和 Paper OMS。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生成报告、审计产物和只读 API。</w:t>
      </w:r>
    </w:p>
    <w:p>
      <w:pPr>
        <w:pStyle w:val="Heading1"/>
      </w:pPr>
      <w:r>
        <w:t>7. 失败关闭</w:t>
      </w:r>
    </w:p>
    <w:p>
      <w:pPr>
        <w:pStyle w:val="ListBullet"/>
      </w:pPr>
      <w:r>
        <w:rPr>
          <w:rFonts w:ascii="Calibri" w:hAnsi="Calibri" w:eastAsia="Microsoft YaHei"/>
        </w:rPr>
        <w:t>Synthetic 未授权、证据缺失、版本冲突或股票池无重叠：立即失败。</w:t>
      </w:r>
    </w:p>
    <w:p>
      <w:pPr>
        <w:pStyle w:val="ListBullet"/>
      </w:pPr>
      <w:r>
        <w:rPr>
          <w:rFonts w:ascii="Calibri" w:hAnsi="Calibri" w:eastAsia="Microsoft YaHei"/>
        </w:rPr>
        <w:t>Parquet 引擎缺失：CSV 仍可写；请求 V4 时失败并披露原因。</w:t>
      </w:r>
    </w:p>
    <w:p>
      <w:pPr>
        <w:pStyle w:val="ListBullet"/>
      </w:pPr>
      <w:r>
        <w:rPr>
          <w:rFonts w:ascii="Calibri" w:hAnsi="Calibri" w:eastAsia="Microsoft YaHei"/>
        </w:rPr>
        <w:t>PB feed 缺失：研究继续，但 Live 永久保持 BLOCKED。</w:t>
      </w:r>
    </w:p>
    <w:p>
      <w:pPr>
        <w:pStyle w:val="ListBullet"/>
      </w:pPr>
      <w:r>
        <w:rPr>
          <w:rFonts w:ascii="Calibri" w:hAnsi="Calibri" w:eastAsia="Microsoft YaHei"/>
        </w:rPr>
        <w:t>样本不足：输出 INCONCLUSIVE，不继续调参或包装收益。</w:t>
      </w:r>
    </w:p>
    <w:p>
      <w:pPr>
        <w:pStyle w:val="Heading1"/>
      </w:pPr>
      <w:r>
        <w:t>8. 验收标准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门禁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通过标准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当前状态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新闻联调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真实 GET，所有版本导出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PASS：1 event / 2 versions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时间/版本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未来版本不可见，异常时间不提前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Synthetic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默认拒绝，显式 opt-in 仍不 PROMOTE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证据链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事件订单可追溯到 evidence 和 URL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预 V4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net delta=0；turnover&lt;=0.08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外部接口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V4 prod loader + 三路回测 return code 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Paper OMS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T+1 且闭合到 0.01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独立验证器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IS/OOS、滚动、稳健性、失败关闭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PASS：机制完成；样本不足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集成验证产物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integrate 写事件研究、五场景、独立验证和标准审计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PASS：8 行 event study；5/5 场景数值化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标准审计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evidence-alpha verify 可验证 integrated artifact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PASS：0 个硬失败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自动测试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全部通过且无 ResourceWarning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PASS：22/22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经济价值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真实样本 + OOS + 独立验证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INCONCLUSIVE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Live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PB borrow 等 P0 全部 READY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BLOCKED</w:t>
            </w:r>
          </w:p>
        </w:tc>
      </w:tr>
    </w:tbl>
    <w:p>
      <w:pPr>
        <w:spacing w:after="40"/>
      </w:pPr>
    </w:p>
    <w:p>
      <w:pPr>
        <w:pStyle w:val="Heading1"/>
      </w:pPr>
      <w:r>
        <w:t>9. 后续路线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接入真实 V3 权重、价格和至少 100 个真实事件版本。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用真实样本重跑已实现的滚动 OOS、placebo、延迟和成本翻倍门禁。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将 V4 后权重和归因回写为只读研究结果。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完成 PB borrow feed、独立风险验证和连续 Paper 运行期。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券商连接和实盘发布走单独授权。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6A74"/>
        <w:sz w:val="18"/>
      </w:rPr>
      <w:t xml:space="preserve">v0.4.0 | Internal research document | Page </w:t>
    </w:r>
    <w:fldSimple w:instr="PAGE">
      <w:r>
        <w:rPr>
          <w:color w:val="646A74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46A74"/>
        <w:sz w:val="18"/>
      </w:rPr>
      <w:t>Evidence-to-Alpha |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326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