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000000"/>
          <w:sz w:val="46"/>
        </w:rPr>
        <w:t>开发设计说明书</w:t>
      </w:r>
    </w:p>
    <w:p>
      <w:pPr>
        <w:spacing w:after="320"/>
      </w:pPr>
      <w:r>
        <w:rPr>
          <w:rFonts w:ascii="Calibri" w:hAnsi="Calibri" w:eastAsia="Microsoft YaHei"/>
          <w:color w:val="373737"/>
          <w:sz w:val="28"/>
        </w:rPr>
        <w:t>News Claws - MVP 架构、数据、接口、部署与测试基线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文档编号: </w:t>
      </w:r>
      <w:r>
        <w:rPr>
          <w:rFonts w:ascii="Calibri" w:hAnsi="Calibri" w:eastAsia="Microsoft YaHei"/>
          <w:color w:val="333333"/>
          <w:sz w:val="21"/>
        </w:rPr>
        <w:t>NC-TDD-001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版本: </w:t>
      </w:r>
      <w:r>
        <w:rPr>
          <w:rFonts w:ascii="Calibri" w:hAnsi="Calibri" w:eastAsia="Microsoft YaHei"/>
          <w:color w:val="333333"/>
          <w:sz w:val="21"/>
        </w:rPr>
        <w:t>V1.0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状态: </w:t>
      </w:r>
      <w:r>
        <w:rPr>
          <w:rFonts w:ascii="Calibri" w:hAnsi="Calibri" w:eastAsia="Microsoft YaHei"/>
          <w:color w:val="333333"/>
          <w:sz w:val="21"/>
        </w:rPr>
        <w:t>评审稿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日期: </w:t>
      </w:r>
      <w:r>
        <w:rPr>
          <w:rFonts w:ascii="Calibri" w:hAnsi="Calibri" w:eastAsia="Microsoft YaHei"/>
          <w:color w:val="333333"/>
          <w:sz w:val="21"/>
        </w:rPr>
        <w:t>2026-08-20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适用阶段: </w:t>
      </w:r>
      <w:r>
        <w:rPr>
          <w:rFonts w:ascii="Calibri" w:hAnsi="Calibri" w:eastAsia="Microsoft YaHei"/>
          <w:color w:val="333333"/>
          <w:sz w:val="21"/>
        </w:rPr>
        <w:t>MVP 基线及后续迭代</w:t>
      </w:r>
    </w:p>
    <w:p>
      <w:pPr>
        <w:spacing w:before="0" w:after="60"/>
      </w:pPr>
      <w:r>
        <w:rPr>
          <w:rFonts w:ascii="Calibri" w:hAnsi="Calibri" w:eastAsia="Microsoft YaHei"/>
          <w:b/>
          <w:color w:val="000000"/>
          <w:sz w:val="21"/>
        </w:rPr>
        <w:t xml:space="preserve">目标读者: </w:t>
      </w:r>
      <w:r>
        <w:rPr>
          <w:rFonts w:ascii="Calibri" w:hAnsi="Calibri" w:eastAsia="Microsoft YaHei"/>
          <w:color w:val="333333"/>
          <w:sz w:val="21"/>
        </w:rPr>
        <w:t>架构师、后端工程师、数据/AI 工程师、测试与运维人员</w:t>
      </w:r>
    </w:p>
    <w:p>
      <w:pPr>
        <w:spacing w:before="240" w:after="280"/>
        <w:pBdr>
          <w:bottom w:val="single" w:sz="14" w:space="5" w:color="2E74B5"/>
        </w:pBdr>
      </w:pPr>
    </w:p>
    <w:p>
      <w:pPr>
        <w:spacing w:before="80" w:after="160" w:line="264" w:lineRule="auto"/>
        <w:ind w:left="173" w:right="115"/>
        <w:shd w:fill="EEF7F3"/>
        <w:pBdr>
          <w:left w:val="single" w:sz="18" w:space="8" w:color="1F6B4F"/>
        </w:pBdr>
        <w:keepNext/>
      </w:pPr>
      <w:r>
        <w:rPr>
          <w:rFonts w:ascii="Calibri" w:hAnsi="Calibri" w:eastAsia="Microsoft YaHei"/>
          <w:b/>
          <w:color w:val="1F6B4F"/>
          <w:sz w:val="21"/>
        </w:rPr>
        <w:t xml:space="preserve">基线决策  </w:t>
      </w:r>
      <w:r>
        <w:rPr>
          <w:rFonts w:ascii="Calibri" w:hAnsi="Calibri" w:eastAsia="Microsoft YaHei"/>
          <w:color w:val="222222"/>
          <w:sz w:val="21"/>
        </w:rPr>
        <w:t>采用模块化二次开发：TrendRadar 承担采集、调度、存储与推送；独立 analysis-api 承担证据核实、事件分析、行业/公司映射与结构化报告。</w:t>
      </w:r>
    </w:p>
    <w:p>
      <w:pPr>
        <w:spacing w:after="40" w:line="264" w:lineRule="auto"/>
      </w:pPr>
      <w:r>
        <w:rPr>
          <w:rFonts w:ascii="Calibri" w:hAnsi="Calibri" w:eastAsia="Microsoft YaHei"/>
          <w:i w:val="0"/>
          <w:color w:val="667085"/>
          <w:sz w:val="22"/>
        </w:rPr>
        <w:t>本文件用于冻结范围、接口与验收口径。任何影响来源覆盖、核实标准、评分含义或许可证边界的变更，均应通过版本记录或架构决策记录批准。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文档控制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1. 设计目标与约束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2. 总体架构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3. 技术选型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4. 代码仓库与模块结构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5. 领域模型与数据库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6. 端到端流水线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7. 去重、聚类与来源独立性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8. 主张、证据与核实引擎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9. 情绪、行业与公司影响引擎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10. LLM 与提示词设计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11. API 设计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12. 配置合同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13. 报告与通知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14. 安全、合规与许可证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15. 可观测性与运行维护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16. 部署设计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17. 测试与评测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18. CI/CD 与发布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19. 故障处理与降级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20. 实施工作包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21. 完成定义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22. 架构决策记录（ADR）清单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附录 A. 错误码建议</w:t>
      </w:r>
    </w:p>
    <w:p>
      <w:pPr>
        <w:spacing w:before="0" w:after="80" w:line="252" w:lineRule="auto"/>
        <w:ind w:left="173"/>
      </w:pPr>
      <w:r>
        <w:rPr>
          <w:rFonts w:ascii="Calibri" w:hAnsi="Calibri" w:eastAsia="Microsoft YaHei"/>
          <w:sz w:val="21"/>
        </w:rPr>
        <w:t>附录 B. 参考仓库</w:t>
      </w:r>
    </w:p>
    <w:p>
      <w:r>
        <w:br w:type="page"/>
      </w:r>
    </w:p>
    <w:p>
      <w:pPr>
        <w:pStyle w:val="Heading1"/>
        <w:keepNext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850"/>
        <w:gridCol w:w="1500"/>
        <w:gridCol w:w="1150"/>
        <w:gridCol w:w="4000"/>
        <w:gridCol w:w="18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变更摘要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负责人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V1.0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2026-08-20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评审稿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建立 MVP 产品与技术基线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技术负责人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评审与批准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500"/>
        <w:gridCol w:w="3300"/>
        <w:gridCol w:w="170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 / 日期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产品负责人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范围、优先级与业务验收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待指定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待评审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技术负责人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架构、接口与交付可行性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待指定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待评审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数据/AI 负责人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核实、评分与模型评测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待指定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待评审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合规负责人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来源使用、版权与许可证边界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待指定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待评审</w:t>
            </w:r>
          </w:p>
        </w:tc>
      </w:tr>
    </w:tbl>
    <w:p>
      <w:pPr>
        <w:spacing w:after="40"/>
      </w:pPr>
    </w:p>
    <w:p>
      <w:pPr>
        <w:spacing w:before="80" w:after="160" w:line="264" w:lineRule="auto"/>
        <w:ind w:left="173" w:right="115"/>
        <w:shd w:fill="FFF8E8"/>
        <w:pBdr>
          <w:left w:val="single" w:sz="18" w:space="8" w:color="7A5A00"/>
        </w:pBdr>
        <w:keepNext/>
      </w:pPr>
      <w:r>
        <w:rPr>
          <w:rFonts w:ascii="Calibri" w:hAnsi="Calibri" w:eastAsia="Microsoft YaHei"/>
          <w:b/>
          <w:color w:val="7A5A00"/>
          <w:sz w:val="21"/>
        </w:rPr>
        <w:t xml:space="preserve">变更控制  </w:t>
      </w:r>
      <w:r>
        <w:rPr>
          <w:rFonts w:ascii="Calibri" w:hAnsi="Calibri" w:eastAsia="Microsoft YaHei"/>
          <w:color w:val="222222"/>
          <w:sz w:val="21"/>
        </w:rPr>
        <w:t>NC-TDD-001 的范围、评分语义、外部服务或许可证发生实质变更时，应提升文档版本并记录批准结论。</w:t>
      </w:r>
    </w:p>
    <w:p>
      <w:pPr>
        <w:pStyle w:val="Heading1"/>
        <w:keepNext/>
      </w:pPr>
      <w:r>
        <w:t>1. 设计目标与约束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本设计实现 NC-PRD-001 的 MVP 闭环，目标是在单台 Linux 主机或开发机上，以最少基础设施完成来源接入、事件聚类、证据核实、行业/公司影响分析、报告和通知。设计优先考虑可追溯、可替换、幂等和低运维成本。</w:t>
      </w:r>
    </w:p>
    <w:p>
      <w:pPr>
        <w:spacing w:before="80" w:after="160" w:line="264" w:lineRule="auto"/>
        <w:ind w:left="173" w:right="115"/>
        <w:shd w:fill="F4F6F9"/>
        <w:pBdr>
          <w:left w:val="single" w:sz="18" w:space="8" w:color="2E74B5"/>
        </w:pBdr>
        <w:keepNext/>
      </w:pPr>
      <w:r>
        <w:rPr>
          <w:rFonts w:ascii="Calibri" w:hAnsi="Calibri" w:eastAsia="Microsoft YaHei"/>
          <w:b/>
          <w:color w:val="2E74B5"/>
          <w:sz w:val="21"/>
        </w:rPr>
        <w:t xml:space="preserve">核心约束  </w:t>
      </w:r>
      <w:r>
        <w:rPr>
          <w:rFonts w:ascii="Calibri" w:hAnsi="Calibri" w:eastAsia="Microsoft YaHei"/>
          <w:color w:val="222222"/>
          <w:sz w:val="21"/>
        </w:rPr>
        <w:t>MVP 使用 SQLite，不引入 Redis、PostgreSQL、Milvus、Kafka 或多智能体编排。所有模型和搜索服务必须通过适配器访问，业务数据必须可在没有某个供应商时恢复运行。</w:t>
      </w:r>
    </w:p>
    <w:p>
      <w:pPr>
        <w:pStyle w:val="Heading2"/>
        <w:keepNext/>
      </w:pPr>
      <w:r>
        <w:t>1.1 架构原则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服务隔离：GPL/AGPL 项目作为独立进程或容器，通过稳定接口交互。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数据库为真源：生成报告可以重建，文章、版本、事件、主张、证据与反馈不可只存在于提示词上下文。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先确定后生成：程序先选择事件与证据集合，模型只能引用允许的 evidence_id。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幂等优先：抓取、标准化、分析、报告和通知都具有明确幂等键。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降级可用：正文失败时保留元数据；搜索不可用时输出单源状态；模型失败时不伪造报告。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可评测：每次分析记录模型、提示词、参数、输入哈希和结构化输出。</w:t>
      </w:r>
    </w:p>
    <w:p>
      <w:pPr>
        <w:pStyle w:val="Heading1"/>
        <w:keepNext/>
      </w:pPr>
      <w:r>
        <w:t>2. 总体架构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28416"/>
            <wp:docPr id="1" name="Picture 1" descr="图 1 News Claws MVP 逻辑架构" title="图 1 News Claws MVP 逻辑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News Claws MVP 逻辑架构</w:t>
      </w:r>
    </w:p>
    <w:p>
      <w:pPr>
        <w:pStyle w:val="Heading2"/>
        <w:keepNext/>
      </w:pPr>
      <w:r>
        <w:t>2.1 容器与责任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900"/>
        <w:gridCol w:w="4300"/>
        <w:gridCol w:w="1900"/>
        <w:gridCol w:w="1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服务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持久化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MVP 必需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trendradar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热榜/RSS 采集、调度、本地新闻数据、基础报告与推送入口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TrendRadar volume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trendradar-mcp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通过 MCP 暴露最新新闻、RSS、搜索和聚合能力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共享 TrendRadar 数据</w:t>
            </w:r>
          </w:p>
        </w:tc>
        <w:tc>
          <w:tcPr>
            <w:tcW w:type="dxa" w:w="1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analysis-api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标准化、正文、事件、证据、核实、行业/公司影响、报告、反馈与管理 API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analysis.db + artifacts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rsshub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为没有 RSS 的公开站点提供路由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可选缓存</w:t>
            </w:r>
          </w:p>
        </w:tc>
        <w:tc>
          <w:tcPr>
            <w:tcW w:type="dxa" w:w="1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按来源启用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外部 LLM/搜索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结构化分析、嵌入与证据检索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供应商侧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至少一个模型；搜索可降级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运行边界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analysis-api 不直接读取 TrendRadar 私有 SQLite 表，而通过 MCP 或明确的导出合同读取候选内容，以避免上游内部表结构变化。RSSHub 仅作为来源适配服务；对其修改和公开提供网络服务时应遵守 AGPL。</w:t>
      </w:r>
    </w:p>
    <w:p>
      <w:pPr>
        <w:pStyle w:val="Heading1"/>
        <w:keepNext/>
      </w:pPr>
      <w:r>
        <w:t>3. 技术选型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800"/>
        <w:gridCol w:w="2800"/>
        <w:gridCol w:w="4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领域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选型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理由与边界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应用语言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Python 3.12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与 TrendRadar、Newspaper4k、news-please 生态一致，适合文本与模型集成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API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FastAPI + Pydantic v2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OpenAPI、异步 I/O、结构化合同和校验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持久化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SQLite 3 + SQLAlchemy 2 + Alembic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MVP 单实例、事务和备份简单；开启 WAL 与外键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正文抽取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Newspaper4k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MIT、多语言、低接入成本；按来源配置回退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整站发现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news-please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Apache-2.0，仅对少量白名单站点按需运行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模型路由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LiteLLM 或 OpenAI-compatible adapter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供应商可替换、统一超时与预算；业务层不依赖模型 SDK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语义向量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可配置远程 embedding 或本地轻量多语模型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仅用于近重复和聚类；向量以 BLOB/JSON 存 SQLite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报告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Jinja2 + HTML/Markdown/JSON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可测试、可追溯，不要求 MVP 构建 SPA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调度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TrendRadar timeline + analysis-api 周期拉取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不引入 Celery；任务表负责重试和状态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部署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Docker Compose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统一环境、卷和健康检查，适合单机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代码仓库与模块结构</w:t>
      </w:r>
    </w:p>
    <w:p>
      <w:pPr>
        <w:spacing w:before="80" w:after="160" w:line="240" w:lineRule="auto"/>
        <w:ind w:left="259" w:right="115"/>
        <w:shd w:fill="F7F8FA"/>
        <w:pBdr>
          <w:left w:val="single" w:sz="18" w:space="8" w:color="98A2B3"/>
        </w:pBdr>
        <w:keepNext/>
      </w:pPr>
      <w:r>
        <w:rPr>
          <w:rFonts w:ascii="Consolas" w:hAnsi="Consolas" w:eastAsia="Microsoft YaHei"/>
          <w:color w:val="202124"/>
          <w:sz w:val="16"/>
        </w:rPr>
        <w:t>news-claws/</w:t>
        <w:br/>
        <w:t xml:space="preserve">  compose.yaml</w:t>
        <w:br/>
        <w:t xml:space="preserve">  .env.example</w:t>
        <w:br/>
        <w:t xml:space="preserve">  config/</w:t>
        <w:br/>
        <w:t xml:space="preserve">    sources.yaml</w:t>
        <w:br/>
        <w:t xml:space="preserve">    industries.yaml</w:t>
        <w:br/>
        <w:t xml:space="preserve">    company_aliases.yaml</w:t>
        <w:br/>
        <w:t xml:space="preserve">    prompts/</w:t>
        <w:br/>
        <w:t xml:space="preserve">  apps/analysis_api/</w:t>
        <w:br/>
        <w:t xml:space="preserve">    api/              # FastAPI routers and dependencies</w:t>
        <w:br/>
        <w:t xml:space="preserve">    domain/           # event, claim, evidence, impact rules</w:t>
        <w:br/>
        <w:t xml:space="preserve">    pipeline/         # staged idempotent jobs</w:t>
        <w:br/>
        <w:t xml:space="preserve">    adapters/         # MCP, extraction, search, LLM, notify</w:t>
        <w:br/>
        <w:t xml:space="preserve">    persistence/      # SQLAlchemy models, repositories, migrations</w:t>
        <w:br/>
        <w:t xml:space="preserve">    reports/          # Jinja2 templates and exporters</w:t>
        <w:br/>
        <w:t xml:space="preserve">    observability/    # logging, metrics and cost accounting</w:t>
        <w:br/>
        <w:t xml:space="preserve">  tests/</w:t>
        <w:br/>
        <w:t xml:space="preserve">    unit/ integration/ contracts/ golden/ fixtures/</w:t>
        <w:br/>
        <w:t xml:space="preserve">  scripts/</w:t>
        <w:br/>
        <w:t xml:space="preserve">    backup.py restore.py source_check.py evaluate.py</w:t>
      </w:r>
    </w:p>
    <w:p>
      <w:pPr>
        <w:spacing w:before="80" w:after="160" w:line="264" w:lineRule="auto"/>
        <w:ind w:left="173" w:right="115"/>
        <w:shd w:fill="EEF7F3"/>
        <w:pBdr>
          <w:left w:val="single" w:sz="18" w:space="8" w:color="1F6B4F"/>
        </w:pBdr>
        <w:keepNext/>
      </w:pPr>
      <w:r>
        <w:rPr>
          <w:rFonts w:ascii="Calibri" w:hAnsi="Calibri" w:eastAsia="Microsoft YaHei"/>
          <w:b/>
          <w:color w:val="1F6B4F"/>
          <w:sz w:val="21"/>
        </w:rPr>
        <w:t xml:space="preserve">依赖方向  </w:t>
      </w:r>
      <w:r>
        <w:rPr>
          <w:rFonts w:ascii="Calibri" w:hAnsi="Calibri" w:eastAsia="Microsoft YaHei"/>
          <w:color w:val="222222"/>
          <w:sz w:val="21"/>
        </w:rPr>
        <w:t>api -&gt; application/pipeline -&gt; domain -&gt; ports；adapters 与 persistence 实现 ports。domain 不导入 FastAPI、SQLAlchemy、模型供应商 SDK 或 TrendRadar 内部代码。</w:t>
      </w:r>
    </w:p>
    <w:p>
      <w:pPr>
        <w:pStyle w:val="Heading1"/>
        <w:keepNext/>
      </w:pPr>
      <w:r>
        <w:t>5. 领域模型与数据库</w:t>
      </w:r>
    </w:p>
    <w:p>
      <w:pPr>
        <w:pStyle w:val="Heading2"/>
        <w:keepNext/>
      </w:pPr>
      <w:r>
        <w:t>5.1 核心实体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800"/>
        <w:gridCol w:w="2600"/>
        <w:gridCol w:w="4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关键字段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source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来源目录与策略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name, owner, region, language, tier, method, entry_url, schedule, status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source_run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一次来源抓取任务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source_id, started_at, ended_at, status, http_status, item_count, error_code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article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规范化文章身份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source_id, canonical_url, original_url, title, published_at, language, content_hash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article_version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文章内容版本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article_id, fetched_at, title, summary, body_excerpt, body_ref, version_hash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syndication_link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转载/引用关系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from_article_id, to_article_id, relation, confidence, rationale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event_cluster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事件聚类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representative_article_id, title, first_seen, last_seen, state, locked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event_article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事件与文章关系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event_id, article_id, similarity, is_representative, added_by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claim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可核查主张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event_id, text, subject, predicate, object, claim_time, quote, kind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evidence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证据材料或片段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claim_id, article_id, source_tier, stance, quote, independence_group, quality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verification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主张核实版本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claim_id, status, confidence, rationale, analysis_run_id, created_at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entity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公司/机构/地点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type, canonical_name, country, parent_id, identifiers_json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entity_alias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实体别名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entity_id, alias, language, alias_type, valid_from, valid_to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industry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受控行业分类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scheme, code, name, parent_id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industry_impact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事件行业影响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event_id, industry_id, relevance, direction, strength, horizon, mechanism, confidence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company_impact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事件公司影响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event_id, entity_id, role, relevance, direction, strength, horizon, mechanism, confidence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analysis_run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可复现分析运行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event_id, stage, model, prompt_version, input_hash, output_json, status, cost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report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报告版本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event_id, version, format, artifact_ref, generated_at, input_hash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feedback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人工反馈与修正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target_type, target_id, verdict, reason, actor, created_at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pipeline_job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流水线任务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job_type, idempotency_key, status, attempts, next_run_at, last_error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notification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通知结果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id, report_id, channel, target_hash, idempotency_key, status, attempts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数据库约束与索引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PRAGMA foreign_keys=ON；journal_mode=WAL；busy_timeout 按部署环境配置。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article.canonical_url、article.content_hash、pipeline_job.idempotency_key、notification.idempotency_key 建唯一索引。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article(published_at)、event_cluster(last_seen)、claim(event_id)、evidence(claim_id)、company_impact(entity_id) 建查询索引。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正文大对象可存压缩文件并由 body_ref 引用；数据库保留必要摘要、片段和哈希。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所有时间使用 UTC ISO 8601；来源原时区作为独立字段保留。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迁移只通过 Alembic 执行；启动时检测数据库版本，不自动执行破坏性迁移。</w:t>
      </w:r>
    </w:p>
    <w:p>
      <w:pPr>
        <w:pStyle w:val="Heading1"/>
        <w:keepNext/>
      </w:pPr>
      <w:r>
        <w:t>6. 端到端流水线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450"/>
        <w:gridCol w:w="3300"/>
        <w:gridCol w:w="2700"/>
        <w:gridCol w:w="19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幂等键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P1 discover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从 TrendRadar MCP、RSS/API 或人工 URL 获取候选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source_id + upstream_id/url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article candidate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P2 fetch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下载允许访问的页面，遵守限流与内容策略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canonical_url + fetch window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raw response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P3 normalize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抽取元数据、语言、正文、规范 URL 和版本哈希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source_id + canonical_url + version_hash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article/version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P4 deduplicate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精确哈希、近重复和转载关系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article_id + algorithm_version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duplicate/syndication links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P5 cluster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把文章加入已有事件或创建新事件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article_id + cluster_model_version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event_article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P6 verify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提取主张、检索证据、判定独立性和状态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event_id + evidence_set_hash + prompt_version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claims/evidence/verification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P7 impact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目标情绪、行业和公司映射、机制分析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event_id + verification_version + entity_dataset_version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impact records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P8 report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渲染 HTML/Markdown/JSON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event_id + analysis_input_hash + template_version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report version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P9 notify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按订阅和阈值发送通知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report_id + channel + target + semantic_version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notification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任务状态机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pipeline_job.status 使用 pending -&gt; running -&gt; succeeded / retry_wait / dead。进程领取任务时写入 lease_until；崩溃后过期任务可重新领取。默认最多 3 次重试，采用指数退避并加入随机抖动。解析类永久错误进入 dead，等待来源管理员处理。</w:t>
      </w:r>
    </w:p>
    <w:p>
      <w:pPr>
        <w:pStyle w:val="Heading2"/>
        <w:keepNext/>
      </w:pPr>
      <w:r>
        <w:t>6.2 重分析触发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事件新增高质量独立来源或原始材料。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文章发生更正、撤回或关键字段变化。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分析人员合并/拆分事件，或修正实体/证据关系。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模型、提示词、行业分类或实体别名数据升级且明确要求回放。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sz w:val="22"/>
        </w:rPr>
        <w:t>只在输入哈希变化时生成新报告；无语义变化不重复通知。</w:t>
      </w:r>
    </w:p>
    <w:p>
      <w:pPr>
        <w:pStyle w:val="Heading1"/>
        <w:keepNext/>
      </w:pPr>
      <w:r>
        <w:t>7. 去重、聚类与来源独立性</w:t>
      </w:r>
    </w:p>
    <w:p>
      <w:pPr>
        <w:pStyle w:val="Heading2"/>
        <w:keepNext/>
      </w:pPr>
      <w:r>
        <w:t>7.1 URL 与内容规范化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URL：小写主机、移除默认端口和 fragment、规范尾斜杠；仅移除配置认可的跟踪参数。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文本：Unicode NFKC、统一空白、保留数字/货币/日期；正文和标题分别计算 SHA-256。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完全重复：规范 URL 或正文哈希相同。近重复：标题、正文指纹和多语语义向量联合判定。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2"/>
        </w:rPr>
        <w:t>不得仅凭 URL 查询参数不同认定为不同文章，也不得擅自删除可能影响内容的参数。</w:t>
      </w:r>
    </w:p>
    <w:p>
      <w:pPr>
        <w:pStyle w:val="Heading2"/>
        <w:keepNext/>
      </w:pPr>
      <w:r>
        <w:t>7.2 事件聚类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候选事件限定在可配置时间窗口和语言/翻译表示内，综合标题语义、主体实体、动作词、时间、地点和关键数值计算相似度。达到 join_threshold 时加入事件；处于 review_band 时进入人工或二次模型判断；低于阈值创建新事件。所有阈值带算法版本并通过标注集校准。</w:t>
      </w:r>
    </w:p>
    <w:p>
      <w:pPr>
        <w:spacing w:before="80" w:after="160" w:line="240" w:lineRule="auto"/>
        <w:ind w:left="259" w:right="115"/>
        <w:shd w:fill="F7F8FA"/>
        <w:pBdr>
          <w:left w:val="single" w:sz="18" w:space="8" w:color="98A2B3"/>
        </w:pBdr>
        <w:keepNext/>
      </w:pPr>
      <w:r>
        <w:rPr>
          <w:rFonts w:ascii="Consolas" w:hAnsi="Consolas" w:eastAsia="Microsoft YaHei"/>
          <w:color w:val="202124"/>
          <w:sz w:val="16"/>
        </w:rPr>
        <w:t>score = 0.35 * title_semantic</w:t>
        <w:br/>
        <w:t xml:space="preserve">      + 0.25 * entity_overlap</w:t>
        <w:br/>
        <w:t xml:space="preserve">      + 0.15 * action_overlap</w:t>
        <w:br/>
        <w:t xml:space="preserve">      + 0.10 * time_proximity</w:t>
        <w:br/>
        <w:t xml:space="preserve">      + 0.10 * key_number_overlap</w:t>
        <w:br/>
        <w:t xml:space="preserve">      + 0.05 * location_overlap</w:t>
        <w:br/>
        <w:br/>
        <w:t># 初始建议值，仅在验收集校准后生效：</w:t>
        <w:br/>
        <w:t>join_threshold = 0.82</w:t>
        <w:br/>
        <w:t>review_band = [0.72, 0.82)</w:t>
      </w:r>
    </w:p>
    <w:p>
      <w:pPr>
        <w:pStyle w:val="Heading2"/>
        <w:keepNext/>
      </w:pPr>
      <w:r>
        <w:t>7.3 独立性分组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evidence.independence_group 代表同一原始信息链。系统结合 canonical source、所有者、署名、发布时间、文本相似度、明确引用和新闻稿 URL 分组。模型只能提出候选理由，最终分组由确定性规则与可审计字段保存。未知关系采用独立性未知，不计入多源印证最低数量。</w:t>
      </w:r>
    </w:p>
    <w:p>
      <w:pPr>
        <w:pStyle w:val="Heading1"/>
        <w:keepNext/>
      </w:pPr>
      <w:r>
        <w:t>8. 主张、证据与核实引擎</w:t>
      </w:r>
    </w:p>
    <w:p>
      <w:pPr>
        <w:pStyle w:val="Heading2"/>
        <w:keepNext/>
      </w:pPr>
      <w:r>
        <w:t>8.1 主张合同</w:t>
      </w:r>
    </w:p>
    <w:p>
      <w:pPr>
        <w:spacing w:before="80" w:after="160" w:line="240" w:lineRule="auto"/>
        <w:ind w:left="259" w:right="115"/>
        <w:shd w:fill="F7F8FA"/>
        <w:pBdr>
          <w:left w:val="single" w:sz="18" w:space="8" w:color="98A2B3"/>
        </w:pBdr>
        <w:keepNext/>
      </w:pPr>
      <w:r>
        <w:rPr>
          <w:rFonts w:ascii="Consolas" w:hAnsi="Consolas" w:eastAsia="Microsoft YaHei"/>
          <w:color w:val="202124"/>
          <w:sz w:val="16"/>
        </w:rPr>
        <w:t>{</w:t>
        <w:br/>
        <w:t xml:space="preserve">  "claim_id": "clm_...",</w:t>
        <w:br/>
        <w:t xml:space="preserve">  "text": "完整可核查陈述",</w:t>
        <w:br/>
        <w:t xml:space="preserve">  "subject": "实体或机构",</w:t>
        <w:br/>
        <w:t xml:space="preserve">  "predicate": "发生/发布/批准/增长...",</w:t>
        <w:br/>
        <w:t xml:space="preserve">  "object": "对象或数值",</w:t>
        <w:br/>
        <w:t xml:space="preserve">  "claim_time": "ISO-8601 or null",</w:t>
        <w:br/>
        <w:t xml:space="preserve">  "location": "ISO code or null",</w:t>
        <w:br/>
        <w:t xml:space="preserve">  "kind": "fact | forecast | opinion | unverifiable",</w:t>
        <w:br/>
        <w:t xml:space="preserve">  "source_quote": "事件文章中的原文片段",</w:t>
        <w:br/>
        <w:t xml:space="preserve">  "article_id": "art_..."</w:t>
        <w:br/>
        <w:t>}</w:t>
      </w:r>
    </w:p>
    <w:p>
      <w:pPr>
        <w:pStyle w:val="Heading2"/>
        <w:keepNext/>
      </w:pPr>
      <w:r>
        <w:t>8.2 证据检索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优先查询本地已索引文章和原始材料，复用已抓取内容。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基于主张拆分检索词，查询配置的搜索适配器；记录查询和提供商。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下载允许访问的候选页面并抽取与主张直接相关的最小片段。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按来源层级、时间相关性、直接性、可复现性和独立性排序。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sz w:val="22"/>
        </w:rPr>
        <w:t>把支持、冲突、背景和不相关关系写入 evidence；模型不得创建不存在的 URL。</w:t>
      </w:r>
    </w:p>
    <w:p>
      <w:pPr>
        <w:pStyle w:val="Heading2"/>
        <w:keepNext/>
      </w:pPr>
      <w:r>
        <w:t>8.3 核实决策规则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3300"/>
        <w:gridCol w:w="1800"/>
        <w:gridCol w:w="42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存在适用的 S1 原始材料，且确认的是可直接观察部分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原始材料确认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例如监管文件已发布；不自动确认文件中的未来预测</w:t>
            </w:r>
          </w:p>
        </w:tc>
      </w:tr>
      <w:t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至少 2 个高质量独立信息链一致，且无实质冲突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多源印证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独立性必须有可解释依据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仅 1 个可信来源或独家材料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单一来源报道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保留报道价值但明确尚未印证</w:t>
            </w:r>
          </w:p>
        </w:tc>
      </w:tr>
      <w:t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高质量证据实质冲突或关键定义不一致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存在争议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不得用简单多数投票消除冲突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发布者正式撤回或原始证据明确否定核心主张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已撤回 / 已证伪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记录适用主张和生效时间</w:t>
            </w:r>
          </w:p>
        </w:tc>
      </w:tr>
    </w:tbl>
    <w:p>
      <w:pPr>
        <w:spacing w:after="40"/>
      </w:pPr>
    </w:p>
    <w:p>
      <w:pPr>
        <w:spacing w:before="80" w:after="160" w:line="264" w:lineRule="auto"/>
        <w:ind w:left="173" w:right="115"/>
        <w:shd w:fill="FCEEEE"/>
        <w:pBdr>
          <w:left w:val="single" w:sz="18" w:space="8" w:color="9B1C1C"/>
        </w:pBdr>
        <w:keepNext/>
      </w:pPr>
      <w:r>
        <w:rPr>
          <w:rFonts w:ascii="Calibri" w:hAnsi="Calibri" w:eastAsia="Microsoft YaHei"/>
          <w:b/>
          <w:color w:val="9B1C1C"/>
          <w:sz w:val="21"/>
        </w:rPr>
        <w:t xml:space="preserve">禁止规则  </w:t>
      </w:r>
      <w:r>
        <w:rPr>
          <w:rFonts w:ascii="Calibri" w:hAnsi="Calibri" w:eastAsia="Microsoft YaHei"/>
          <w:color w:val="222222"/>
          <w:sz w:val="21"/>
        </w:rPr>
        <w:t>核实置信度不能直接显示为“真实概率”。在完成带标签数据的概率校准前，外部输出只使用低/中/高及解释因子。</w:t>
      </w:r>
    </w:p>
    <w:p>
      <w:pPr>
        <w:pStyle w:val="Heading1"/>
        <w:keepNext/>
      </w:pPr>
      <w:r>
        <w:t>9. 情绪、行业与公司影响引擎</w:t>
      </w:r>
    </w:p>
    <w:p>
      <w:pPr>
        <w:pStyle w:val="Heading2"/>
        <w:keepNext/>
      </w:pPr>
      <w:r>
        <w:t>9.1 目标级情绪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输入为已确认的事件事实、代表文章片段和实体候选。输出包括 overall_tone 及 target_sentiments[]。每个 target 必须引用 article_id/evidence_id；没有明确对象的整体语气不能复制为公司影响。</w:t>
      </w:r>
    </w:p>
    <w:p>
      <w:pPr>
        <w:pStyle w:val="Heading2"/>
        <w:keepNext/>
      </w:pPr>
      <w:r>
        <w:t>9.2 实体解析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词典召回：法定名、简称、品牌、股票代码、子公司和多语言别名。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上下文消歧：国家、交易所、行业、母公司和文章中的业务描述。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关系判定：事件主体、客户、供应商、竞争者、监管对象或地域暴露。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阈值与人工确认：高分自动采用，中间分进入候选，低分不写入报告。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2"/>
        </w:rPr>
        <w:t>反馈回流：人工更正生成可版本化 alias/negative_alias 规则和评测样本。</w:t>
      </w:r>
    </w:p>
    <w:p>
      <w:pPr>
        <w:pStyle w:val="Heading2"/>
        <w:keepNext/>
      </w:pPr>
      <w:r>
        <w:t>9.3 评分合同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800"/>
        <w:gridCol w:w="1600"/>
        <w:gridCol w:w="3300"/>
        <w:gridCol w:w="2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限制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relevance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0-100 int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事件与行业/公司的关系强度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不是影响概率或价格预测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direction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positive/negative/mixed/neutral/unknown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必须与情绪分离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strength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low/medium/high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相对业务影响，不映射涨跌幅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horizon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days/weeks/quarters/structural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可以多选主要与次要范围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mechanism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enum + text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需求、供给、成本、监管、融资、竞争、声誉、运营、地缘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必须说明因果链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confidence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low/medium/high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由实体质量、证据和机制稳定性决定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9.4 受控分类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行业层级以公开 ISIC 为基础构建可维护的产品分类，并维护 A/H/美证券到行业的映射。若引入 GICS、ICB 或商业证券主数据，必须新增许可证决策记录。公司主数据优先来自交易所公开清单、监管文件、GLEIF/Wikidata 等允许使用的数据，并记录数据版本。</w:t>
      </w:r>
    </w:p>
    <w:p>
      <w:pPr>
        <w:pStyle w:val="Heading1"/>
        <w:keepNext/>
      </w:pPr>
      <w:r>
        <w:t>10. LLM 与提示词设计</w:t>
      </w:r>
    </w:p>
    <w:p>
      <w:pPr>
        <w:pStyle w:val="Heading2"/>
        <w:keepNext/>
      </w:pPr>
      <w:r>
        <w:t>10.1 供应商抽象</w:t>
      </w:r>
    </w:p>
    <w:p>
      <w:pPr>
        <w:spacing w:before="80" w:after="160" w:line="240" w:lineRule="auto"/>
        <w:ind w:left="259" w:right="115"/>
        <w:shd w:fill="F7F8FA"/>
        <w:pBdr>
          <w:left w:val="single" w:sz="18" w:space="8" w:color="98A2B3"/>
        </w:pBdr>
        <w:keepNext/>
      </w:pPr>
      <w:r>
        <w:rPr>
          <w:rFonts w:ascii="Consolas" w:hAnsi="Consolas" w:eastAsia="Microsoft YaHei"/>
          <w:color w:val="202124"/>
          <w:sz w:val="16"/>
        </w:rPr>
        <w:t>class LLMPort(Protocol):</w:t>
        <w:br/>
        <w:t xml:space="preserve">    async def complete_json(</w:t>
        <w:br/>
        <w:t xml:space="preserve">        self,</w:t>
        <w:br/>
        <w:t xml:space="preserve">        task: str,</w:t>
        <w:br/>
        <w:t xml:space="preserve">        schema: dict,</w:t>
        <w:br/>
        <w:t xml:space="preserve">        messages: list[Message],</w:t>
        <w:br/>
        <w:t xml:space="preserve">        budget: Budget,</w:t>
        <w:br/>
        <w:t xml:space="preserve">        idempotency_key: str,</w:t>
        <w:br/>
        <w:t xml:space="preserve">    ) -&gt; LLMResult: ...</w:t>
        <w:br/>
        <w:br/>
        <w:t>class SearchPort(Protocol):</w:t>
        <w:br/>
        <w:t xml:space="preserve">    async def search(self, query: str, *, language: str,</w:t>
        <w:br/>
        <w:t xml:space="preserve">                     date_from: datetime | None, limit: int) -&gt; list[SearchHit]: ...</w:t>
      </w:r>
    </w:p>
    <w:p>
      <w:pPr>
        <w:pStyle w:val="Heading2"/>
        <w:keepNext/>
      </w:pPr>
      <w:r>
        <w:t>10.2 结构化输出与防幻觉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每个任务使用独立 JSON Schema；Pydantic 严格校验 enum、长度、范围和必填字段。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提示词只提供选定文章与证据，要求输出 evidence_ids；服务端校验 ID 必须来自输入白名单。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URL、发布时间、公司代码和原文引用由程序填充，模型不得自由生成。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首次结构错误执行一次带验证错误的修复调用；仍失败则降级或进入 dead。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禁止将网页中的指令当作系统命令；抓取文本统一包裹为不可信数据。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2"/>
        </w:rPr>
        <w:t>提示词、模型、温度、schema_version 和输入哈希写入 analysis_run。</w:t>
      </w:r>
    </w:p>
    <w:p>
      <w:pPr>
        <w:pStyle w:val="Heading2"/>
        <w:keepNext/>
      </w:pPr>
      <w:r>
        <w:t>10.3 成本控制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仅对新事件或输入哈希变化的事件调用模型。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标题/摘要阶段采用较低成本模型；证据冲突或高影响事件才升级模型。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限制每事件候选文章、主张、搜索查询、证据片段和总 Token。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缓存 embedding、提取结果和同输入模型结果；记录每个阶段成本。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2"/>
        </w:rPr>
        <w:t>达到日预算时停止低优先级分析，继续采集并排队，不丢失数据。</w:t>
      </w:r>
    </w:p>
    <w:p>
      <w:pPr>
        <w:pStyle w:val="Heading1"/>
        <w:keepNext/>
      </w:pPr>
      <w:r>
        <w:t>11. API 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900"/>
        <w:gridCol w:w="3150"/>
        <w:gridCol w:w="3700"/>
        <w:gridCol w:w="16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/health/live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进程存活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公开或容器网络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/health/ready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数据库、MCP、模型/搜索可用性和迁移版本</w:t>
            </w:r>
          </w:p>
        </w:tc>
        <w:tc>
          <w:tcPr>
            <w:tcW w:type="dxa" w:w="1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容器网络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/api/v1/sources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来源列表、健康和过滤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管理员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/api/v1/sources/{id}/test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连通性、解析和策略测试</w:t>
            </w:r>
          </w:p>
        </w:tc>
        <w:tc>
          <w:tcPr>
            <w:tcW w:type="dxa" w:w="1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/api/v1/ingestion/pull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触发一次 MCP/来源拉取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管理员/内部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/api/v1/events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事件分页与组合筛选</w:t>
            </w:r>
          </w:p>
        </w:tc>
        <w:tc>
          <w:tcPr>
            <w:tcW w:type="dxa" w:w="1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已认证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/api/v1/events/{id}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事件、文章、主张、证据和影响详情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已认证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/api/v1/events/{id}/reanalyze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按指定阶段重新分析</w:t>
            </w:r>
          </w:p>
        </w:tc>
        <w:tc>
          <w:tcPr>
            <w:tcW w:type="dxa" w:w="1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分析人员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/api/v1/events/merge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合并事件并记录原因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分析人员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/api/v1/events/{id}/split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拆分文章到新事件</w:t>
            </w:r>
          </w:p>
        </w:tc>
        <w:tc>
          <w:tcPr>
            <w:tcW w:type="dxa" w:w="1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分析人员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/api/v1/reports/{id}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获取 HTML/Markdown/JSON 报告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已认证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/api/v1/feedback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提交聚类、证据或实体反馈</w:t>
            </w:r>
          </w:p>
        </w:tc>
        <w:tc>
          <w:tcPr>
            <w:tcW w:type="dxa" w:w="1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分析人员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/api/v1/jobs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查看任务、重试和 dead 状态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事件报告响应示例</w:t>
      </w:r>
    </w:p>
    <w:p>
      <w:pPr>
        <w:spacing w:before="80" w:after="160" w:line="240" w:lineRule="auto"/>
        <w:ind w:left="259" w:right="115"/>
        <w:shd w:fill="F7F8FA"/>
        <w:pBdr>
          <w:left w:val="single" w:sz="18" w:space="8" w:color="98A2B3"/>
        </w:pBdr>
        <w:keepNext/>
      </w:pPr>
      <w:r>
        <w:rPr>
          <w:rFonts w:ascii="Consolas" w:hAnsi="Consolas" w:eastAsia="Microsoft YaHei"/>
          <w:color w:val="202124"/>
          <w:sz w:val="16"/>
        </w:rPr>
        <w:t>{</w:t>
        <w:br/>
        <w:t xml:space="preserve">  "event_id": "evt_01J...",</w:t>
        <w:br/>
        <w:t xml:space="preserve">  "report_version": 3,</w:t>
        <w:br/>
        <w:t xml:space="preserve">  "headline": "事件标题",</w:t>
        <w:br/>
        <w:t xml:space="preserve">  "summary": ["事实摘要 1", "事实摘要 2"],</w:t>
        <w:br/>
        <w:t xml:space="preserve">  "verification": {</w:t>
        <w:br/>
        <w:t xml:space="preserve">    "status": "multi_source_corroborated",</w:t>
        <w:br/>
        <w:t xml:space="preserve">    "confidence": "high",</w:t>
        <w:br/>
        <w:t xml:space="preserve">    "claim_ids": ["clm_1", "clm_2"],</w:t>
        <w:br/>
        <w:t xml:space="preserve">    "supporting_evidence_ids": ["ev_1", "ev_2"],</w:t>
        <w:br/>
        <w:t xml:space="preserve">    "conflicting_evidence_ids": []</w:t>
        <w:br/>
        <w:t xml:space="preserve">  },</w:t>
        <w:br/>
        <w:t xml:space="preserve">  "industries": [{</w:t>
        <w:br/>
        <w:t xml:space="preserve">    "industry_id": "isic:C26", "relevance": 86,</w:t>
        <w:br/>
        <w:t xml:space="preserve">    "direction": "positive", "strength": "medium",</w:t>
        <w:br/>
        <w:t xml:space="preserve">    "horizon": "quarters", "mechanism": "demand",</w:t>
        <w:br/>
        <w:t xml:space="preserve">    "confidence": "medium", "evidence_ids": ["ev_1"]</w:t>
        <w:br/>
        <w:t xml:space="preserve">  }],</w:t>
        <w:br/>
        <w:t xml:space="preserve">  "companies": [],</w:t>
        <w:br/>
        <w:t xml:space="preserve">  "source_links": [{"article_id": "art_1", "url": "https://..."}],</w:t>
        <w:br/>
        <w:t xml:space="preserve">  "generated_at": "2026-08-20T00:00:00Z"</w:t>
        <w:br/>
        <w:t>}</w:t>
      </w:r>
    </w:p>
    <w:p>
      <w:pPr>
        <w:pStyle w:val="Heading2"/>
        <w:keepNext/>
      </w:pPr>
      <w:r>
        <w:t>11.2 API 通用规则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  <w:sz w:val="22"/>
        </w:rPr>
        <w:t>版本前缀 /api/v1；错误使用 application/problem+json，包含 code、message、trace_id 和 retryable。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  <w:sz w:val="22"/>
        </w:rPr>
        <w:t>分页使用 cursor；默认 50，最大 200；排序字段白名单。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  <w:sz w:val="22"/>
        </w:rPr>
        <w:t>写接口要求 Idempotency-Key；人工操作要求 reason。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  <w:sz w:val="22"/>
        </w:rPr>
        <w:t>所有时间为 UTC ISO 8601；关联度整数范围 0-100；enum 未知值返回校验错误。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  <w:sz w:val="22"/>
        </w:rPr>
        <w:t>管理接口使用 Bearer Token；生产环境必须经反向代理启用 TLS。</w:t>
      </w:r>
    </w:p>
    <w:p>
      <w:pPr>
        <w:pStyle w:val="Heading1"/>
        <w:keepNext/>
      </w:pPr>
      <w:r>
        <w:t>12. 配置合同</w:t>
      </w:r>
    </w:p>
    <w:p>
      <w:pPr>
        <w:pStyle w:val="Heading2"/>
        <w:keepNext/>
      </w:pPr>
      <w:r>
        <w:t>12.1 环境变量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3000"/>
        <w:gridCol w:w="2200"/>
        <w:gridCol w:w="41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默认/要求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APP_ENV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dev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dev/test/prod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DATABASE_URL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sqlite:////data/analysis.db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SQLite 文件路径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ADMIN_TOKEN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管理接口令牌；不得写入日志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TRENDRADAR_MCP_URL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http://trendradar-mcp:3333/mcp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MCP 服务地址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LLM_PROVIDER / LLM_MODEL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模型路由与模型名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LLM_API_KEY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按供应商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模型密钥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EMBEDDING_PROVIDER / MODEL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可选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未配置时使用标题/指纹规则降级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SEARCH_PROVIDER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disabled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tavily/serpapi/searxng/自定义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SEARCH_API_KEY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按供应商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搜索密钥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DAILY_LLM_BUDGET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配置值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达到预算后只采集不分析低优先级事件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FEISHU_WEBHOOK / SMTP_*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可选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通知渠道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LOG_LEVEL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INFO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生产默认 INFO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DATA_RETENTION_DAYS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365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受来源策略约束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来源配置示例</w:t>
      </w:r>
    </w:p>
    <w:p>
      <w:pPr>
        <w:spacing w:before="80" w:after="160" w:line="240" w:lineRule="auto"/>
        <w:ind w:left="259" w:right="115"/>
        <w:shd w:fill="F7F8FA"/>
        <w:pBdr>
          <w:left w:val="single" w:sz="18" w:space="8" w:color="98A2B3"/>
        </w:pBdr>
        <w:keepNext/>
      </w:pPr>
      <w:r>
        <w:rPr>
          <w:rFonts w:ascii="Consolas" w:hAnsi="Consolas" w:eastAsia="Microsoft YaHei"/>
          <w:color w:val="202124"/>
          <w:sz w:val="16"/>
        </w:rPr>
        <w:t>sources:</w:t>
        <w:br/>
        <w:t xml:space="preserve">  - id: us_sec_news</w:t>
        <w:br/>
        <w:t xml:space="preserve">    name: U.S. SEC Press Releases</w:t>
        <w:br/>
        <w:t xml:space="preserve">    owner: U.S. Securities and Exchange Commission</w:t>
        <w:br/>
        <w:t xml:space="preserve">    region: US</w:t>
        <w:br/>
        <w:t xml:space="preserve">    language: en</w:t>
        <w:br/>
        <w:t xml:space="preserve">    source_tier: S1</w:t>
        <w:br/>
        <w:t xml:space="preserve">    official: true</w:t>
        <w:br/>
        <w:t xml:space="preserve">    method: rss</w:t>
        <w:br/>
        <w:t xml:space="preserve">    entry_url: https://www.sec.gov/news/pressreleases.rss</w:t>
        <w:br/>
        <w:t xml:space="preserve">    schedule: "*/15 * * * *"</w:t>
        <w:br/>
        <w:t xml:space="preserve">    rate_limit_per_minute: 6</w:t>
        <w:br/>
        <w:t xml:space="preserve">    content_policy: metadata_and_excerpt</w:t>
        <w:br/>
        <w:t xml:space="preserve">    enabled: true</w:t>
      </w:r>
    </w:p>
    <w:p>
      <w:pPr>
        <w:pStyle w:val="Heading1"/>
        <w:keepNext/>
      </w:pPr>
      <w:r>
        <w:t>13. 报告与通知</w:t>
      </w:r>
    </w:p>
    <w:p>
      <w:pPr>
        <w:pStyle w:val="Heading2"/>
        <w:keepNext/>
      </w:pPr>
      <w:r>
        <w:t>13.1 报告生成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report_builder 只读取已提交的数据库版本，不直接调用模型。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HTML 模板使用自动转义；外部文本视为不可信，不允许注入脚本。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每份报告嵌入 report_id、event_id、input_hash、generated_at 和数据截止时间。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来源链接由 article 表提供，显示域名、标题、发布时间和独立来源链。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  <w:sz w:val="22"/>
        </w:rPr>
        <w:t>Markdown 与 JSON 是同一 report view model 的不同序列化，字段含义必须一致。</w:t>
      </w:r>
    </w:p>
    <w:p>
      <w:pPr>
        <w:pStyle w:val="Heading2"/>
        <w:keepNext/>
      </w:pPr>
      <w:r>
        <w:t>13.2 通知去重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notification.idempotency_key = hash(report_id, channel, target_hash, semantic_version)。semantic_version 只在核实状态、Top 行业/公司、影响方向/强度或用户关注字段发生实质变化时递增。普通来源数量变化不触发重复告警。</w:t>
      </w:r>
    </w:p>
    <w:p>
      <w:pPr>
        <w:pStyle w:val="Heading1"/>
        <w:keepNext/>
      </w:pPr>
      <w:r>
        <w:t>14. 安全、合规与许可证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设计要求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秘密管理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仅通过环境变量/Docker secret 注入；配置示例使用占位符；日志统一脱敏 Authorization、Cookie 和 key。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SSRF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URL 下载只允许 http/https；解析 DNS 后拒绝环回、私网、链路本地和云元数据地址；限制重定向、响应大小和 MIME。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提示词注入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网页是数据而非指令；系统提示固定；工具调用由代码控制；证据 ID 和 URL 由服务端白名单校验。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HTML 安全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模板自动转义；正文片段清洗；外链添加安全属性；不保存或执行页面脚本。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采集合规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来源策略记录 robots、条款、版权、频率和保存级别；不绕过登录/验证码/付费墙。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许可证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TrendRadar(GPL) 与 RSSHub(AGPL) 独立部署；自研核心不复制其代码；商业分发前重新审计依赖。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审计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管理操作、人工修正、提示词/模型变更和报告生成均写审计事件。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可观测性与运行维护</w:t>
      </w:r>
    </w:p>
    <w:p>
      <w:pPr>
        <w:pStyle w:val="Heading2"/>
        <w:keepNext/>
      </w:pPr>
      <w:r>
        <w:t>15.1 日志字段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222222"/>
          <w:sz w:val="22"/>
        </w:rPr>
        <w:t>结构化 JSON 日志至少包含 timestamp、level、service、trace_id、job_id、source_id、event_id、stage、duration_ms、status、error_code、retryable、model、token_input、token_output 和 estimated_cost。文章正文、密钥和完整用户通知目标不得写日志。</w:t>
      </w:r>
    </w:p>
    <w:p>
      <w:pPr>
        <w:pStyle w:val="Heading2"/>
        <w:keepNext/>
      </w:pPr>
      <w:r>
        <w:t>15.2 指标与告警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2900"/>
        <w:gridCol w:w="2500"/>
        <w:gridCol w:w="3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指标/告警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阈值示例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source_success_rate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24h &lt;90% 或连续 3 次失败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标记来源降级并通知管理员</w:t>
            </w:r>
          </w:p>
        </w:tc>
      </w:tr>
      <w:t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source_freshness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超过来源 SLA 的 2 倍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检查入口、时区和上游更新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pipeline_dead_jobs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&gt;0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 error_code 分组并进入处理队列</w:t>
            </w:r>
          </w:p>
        </w:tc>
      </w:tr>
      <w:t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analysis_schema_failure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1h &gt;5%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检查模型/提示词版本，必要时回滚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daily_model_cost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&gt;=80% 预算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停止低优先级升级模型；100% 时进入采集-only</w:t>
            </w:r>
          </w:p>
        </w:tc>
      </w:tr>
      <w:t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notification_failure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连续失败或 1h &gt;10%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暂停渠道、保留队列并告警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disk_usage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&gt;75% / &gt;90%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清理缓存 / 停止正文写入并告警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15.3 备份与恢复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  <w:sz w:val="22"/>
        </w:rPr>
        <w:t>使用 SQLite online backup API 生成一致性快照，不直接复制正在写入的 WAL 文件。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  <w:sz w:val="22"/>
        </w:rPr>
        <w:t>备份 analysis.db、config/ 和报告模板；模型缓存和可重建产物可以排除。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  <w:sz w:val="22"/>
        </w:rPr>
        <w:t>每日备份并保留最近 7 日、4 周；备份完成后校验完整性与文件哈希。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  <w:sz w:val="22"/>
        </w:rPr>
        <w:t>每月至少执行一次恢复演练，在新目录启动 read-only 验证并抽查事件/证据链。</w:t>
      </w:r>
    </w:p>
    <w:p>
      <w:pPr>
        <w:pStyle w:val="Heading1"/>
        <w:keepNext/>
      </w:pPr>
      <w:r>
        <w:t>16. 部署设计</w:t>
      </w:r>
    </w:p>
    <w:p>
      <w:pPr>
        <w:pStyle w:val="Heading2"/>
        <w:keepNext/>
      </w:pPr>
      <w:r>
        <w:t>16.1 最小环境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备注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Linux x86_64 / arm64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Windows 开发通过 Docker Desktop；生产优先 Linux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CPU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 vCPU 起，建议 4 vCPU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远程模型时主要用于抓取和文本处理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内存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 GB 起，建议 8 GB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本地 embedding 模型需单独评估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磁盘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 GB 起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取决于全文保存、报告和备份策略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网络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可访问配置来源、模型和搜索服务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生产使用固定出口与 DNS 监控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16.2 Compose 关键约束</w:t>
      </w:r>
    </w:p>
    <w:p>
      <w:pPr>
        <w:spacing w:before="80" w:after="160" w:line="240" w:lineRule="auto"/>
        <w:ind w:left="259" w:right="115"/>
        <w:shd w:fill="F7F8FA"/>
        <w:pBdr>
          <w:left w:val="single" w:sz="18" w:space="8" w:color="98A2B3"/>
        </w:pBdr>
        <w:keepNext/>
      </w:pPr>
      <w:r>
        <w:rPr>
          <w:rFonts w:ascii="Consolas" w:hAnsi="Consolas" w:eastAsia="Microsoft YaHei"/>
          <w:color w:val="202124"/>
          <w:sz w:val="16"/>
        </w:rPr>
        <w:t>services:</w:t>
        <w:br/>
        <w:t xml:space="preserve">  trendradar:</w:t>
        <w:br/>
        <w:t xml:space="preserve">    image: wantcat/trendradar:&lt;pinned-version&gt;</w:t>
        <w:br/>
        <w:t xml:space="preserve">    volumes: [trendradar-data:/app/output]</w:t>
        <w:br/>
        <w:t xml:space="preserve">  trendradar-mcp:</w:t>
        <w:br/>
        <w:t xml:space="preserve">    image: wantcat/trendradar-mcp:&lt;pinned-version&gt;</w:t>
        <w:br/>
        <w:t xml:space="preserve">    volumes: [trendradar-data:/app/output:ro]</w:t>
        <w:br/>
        <w:t xml:space="preserve">  analysis-api:</w:t>
        <w:br/>
        <w:t xml:space="preserve">    build: ./apps/analysis_api</w:t>
        <w:br/>
        <w:t xml:space="preserve">    depends_on:</w:t>
        <w:br/>
        <w:t xml:space="preserve">      trendradar-mcp: {condition: service_healthy}</w:t>
        <w:br/>
        <w:t xml:space="preserve">    volumes:</w:t>
        <w:br/>
        <w:t xml:space="preserve">      - analysis-data:/data</w:t>
        <w:br/>
        <w:t xml:space="preserve">      - ./config:/app/config:ro</w:t>
        <w:br/>
        <w:t xml:space="preserve">    env_file: .env</w:t>
        <w:br/>
        <w:t xml:space="preserve">    restart: unless-stopped</w:t>
        <w:br/>
        <w:br/>
        <w:t>volumes:</w:t>
        <w:br/>
        <w:t xml:space="preserve">  trendradar-data:</w:t>
        <w:br/>
        <w:t xml:space="preserve">  analysis-data: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  <w:sz w:val="22"/>
        </w:rPr>
        <w:t>镜像必须固定明确版本或 digest，不在生产使用 latest。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  <w:sz w:val="22"/>
        </w:rPr>
        <w:t>MCP 与管理 API 默认只绑定容器网络或 127.0.0.1；外部访问经反向代理和 TLS。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  <w:sz w:val="22"/>
        </w:rPr>
        <w:t>容器使用非 root 用户、只读根文件系统（可行时）和最小 Linux capabilities。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  <w:sz w:val="22"/>
        </w:rPr>
        <w:t>启动顺序由 healthcheck 控制；analysis-api readiness 不因可选搜索服务不可用而完全失败。</w:t>
      </w:r>
    </w:p>
    <w:p>
      <w:pPr>
        <w:pStyle w:val="Heading1"/>
        <w:keepNext/>
      </w:pPr>
      <w:r>
        <w:t>17. 测试与评测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750"/>
        <w:gridCol w:w="4400"/>
        <w:gridCol w:w="32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退出标准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单元测试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URL/时间/文本规范化、评分、状态机、实体别名、预算和去重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关键 domain 模块 &gt;=85% 分支覆盖</w:t>
            </w:r>
          </w:p>
        </w:tc>
      </w:tr>
      <w:tr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合同测试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TrendRadar MCP、模型、搜索、通知和报告 JSON Schema</w:t>
            </w:r>
          </w:p>
        </w:tc>
        <w:tc>
          <w:tcPr>
            <w:tcW w:type="dxa" w:w="3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供应商/版本升级前后合同通过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提取回归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每个来源保留固定 HTML/RSS fixture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标题、日期、正文和规范 URL 与 golden 一致</w:t>
            </w:r>
          </w:p>
        </w:tc>
      </w:tr>
      <w:tr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聚类评测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人工标注 same-event / different-event 对</w:t>
            </w:r>
          </w:p>
        </w:tc>
        <w:tc>
          <w:tcPr>
            <w:tcW w:type="dxa" w:w="3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精确率 &gt;=90%，记录召回率与阈值版本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证据评测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支持/冲突/不相关和独立性标注集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错误的多源印证为阻断缺陷</w:t>
            </w:r>
          </w:p>
        </w:tc>
      </w:tr>
      <w:tr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影响评测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行业 Top-3、公司 Top-5、方向和机制</w:t>
            </w:r>
          </w:p>
        </w:tc>
        <w:tc>
          <w:tcPr>
            <w:tcW w:type="dxa" w:w="3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精确率达到 PRD 指标；高影响误报人工复核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提示词回归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固定事件集、schema 与 evidence_id 校验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无未知 ID、无缺字段、拒答规则有效</w:t>
            </w:r>
          </w:p>
        </w:tc>
      </w:tr>
      <w:tr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集成测试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从 fixture 来源到报告和通知 sandbox</w:t>
            </w:r>
          </w:p>
        </w:tc>
        <w:tc>
          <w:tcPr>
            <w:tcW w:type="dxa" w:w="3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端到端幂等、重试和版本更新通过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性能测试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 万文章、1 万事件、并发筛选和批量拉取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满足 P95；数据库无长期锁</w:t>
            </w:r>
          </w:p>
        </w:tc>
      </w:tr>
      <w:tr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安全测试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SSRF、恶意 HTML、提示词注入、密钥泄漏</w:t>
            </w:r>
          </w:p>
        </w:tc>
        <w:tc>
          <w:tcPr>
            <w:tcW w:type="dxa" w:w="3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禁止路径均被阻断并记录安全错误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恢复测试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SQLite 备份、损坏模拟、全新目录恢复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 小时 RTO 内恢复并通过一致性抽查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17.1 验收数据集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  <w:sz w:val="22"/>
        </w:rPr>
        <w:t>不少于 200 个事件，覆盖政策、公司公告、独家报道、转载、争议、更正和跨语言报道。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  <w:sz w:val="22"/>
        </w:rPr>
        <w:t>每个事件至少标注事件边界、原始链、主张、支持/冲突证据、Top 行业和 Top 公司。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  <w:sz w:val="22"/>
        </w:rPr>
        <w:t>标注者至少两人；分歧由第三人裁决；记录标注指南版本和一致性。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  <w:sz w:val="22"/>
        </w:rPr>
        <w:t>评测集与开发调试集隔离；修改阈值后必须在固定评测集回归。</w:t>
      </w:r>
    </w:p>
    <w:p>
      <w:pPr>
        <w:pStyle w:val="Heading1"/>
        <w:keepNext/>
      </w:pPr>
      <w:r>
        <w:t>18. CI/CD 与发布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  <w:sz w:val="22"/>
        </w:rPr>
        <w:t>提交检查：ruff/format、mypy/pyright、单元测试、schema/迁移审计和依赖许可证扫描。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  <w:sz w:val="22"/>
        </w:rPr>
        <w:t>拉取请求检查：合同、提取 fixture、提示词 golden、Docker 构建和漏洞扫描。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  <w:sz w:val="22"/>
        </w:rPr>
        <w:t>发布候选：在 staging 回放固定事件集，比较聚类、核实、影响和成本差异。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  <w:sz w:val="22"/>
        </w:rPr>
        <w:t>生产发布：固定镜像 digest，备份数据库，执行向前兼容迁移并观察健康指标。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  <w:sz w:val="22"/>
        </w:rPr>
        <w:t>回滚：应用镜像可回滚；数据库迁移优先 expand/contract，破坏性迁移需独立备份和演练。</w:t>
      </w:r>
    </w:p>
    <w:p>
      <w:pPr>
        <w:spacing w:before="80" w:after="160" w:line="264" w:lineRule="auto"/>
        <w:ind w:left="173" w:right="115"/>
        <w:shd w:fill="FFF8E8"/>
        <w:pBdr>
          <w:left w:val="single" w:sz="18" w:space="8" w:color="7A5A00"/>
        </w:pBdr>
        <w:keepNext/>
      </w:pPr>
      <w:r>
        <w:rPr>
          <w:rFonts w:ascii="Calibri" w:hAnsi="Calibri" w:eastAsia="Microsoft YaHei"/>
          <w:b/>
          <w:color w:val="7A5A00"/>
          <w:sz w:val="21"/>
        </w:rPr>
        <w:t xml:space="preserve">发布门禁  </w:t>
      </w:r>
      <w:r>
        <w:rPr>
          <w:rFonts w:ascii="Calibri" w:hAnsi="Calibri" w:eastAsia="Microsoft YaHei"/>
          <w:color w:val="222222"/>
          <w:sz w:val="21"/>
        </w:rPr>
        <w:t>模型或提示词变更与代码变更同等对待：必须有版本、回归结果、成本差异和回滚目标。</w:t>
      </w:r>
    </w:p>
    <w:p>
      <w:pPr>
        <w:pStyle w:val="Heading1"/>
        <w:keepNext/>
      </w:pPr>
      <w:r>
        <w:t>19. 故障处理与降级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2500"/>
        <w:gridCol w:w="3850"/>
        <w:gridCol w:w="30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故障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自动降级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恢复动作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TrendRadar MCP 不可用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暂停新候选拉取；继续提供已有报告和管理功能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连接恢复后按 upstream cursor 补拉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 403/429</w:t>
            </w:r>
          </w:p>
        </w:tc>
        <w:tc>
          <w:tcPr>
            <w:tcW w:type="dxa" w:w="3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停止激进重试，遵守 Retry-After；标记受限</w:t>
            </w:r>
          </w:p>
        </w:tc>
        <w:tc>
          <w:tcPr>
            <w:tcW w:type="dxa" w:w="3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调整频率或改用公开 RSS/API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正文抽取失败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保留元数据，禁止基于空正文做深度影响分析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来源级解析器或人工 URL 处理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搜索不可用</w:t>
            </w:r>
          </w:p>
        </w:tc>
        <w:tc>
          <w:tcPr>
            <w:tcW w:type="dxa" w:w="3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核实状态最多为原始材料确认或单一来源；显示证据不足</w:t>
            </w:r>
          </w:p>
        </w:tc>
        <w:tc>
          <w:tcPr>
            <w:tcW w:type="dxa" w:w="3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服务恢复后重分析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LLM 超时/限流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有限重试、切换备用模型或排队；不生成伪报告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预算和供应商恢复后续跑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 JSON 无效</w:t>
            </w:r>
          </w:p>
        </w:tc>
        <w:tc>
          <w:tcPr>
            <w:tcW w:type="dxa" w:w="3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一次修复调用，仍失败进入 dead</w:t>
            </w:r>
          </w:p>
        </w:tc>
        <w:tc>
          <w:tcPr>
            <w:tcW w:type="dxa" w:w="3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检查 schema/提示词/模型兼容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SQLite busy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短退避重试；检查长事务和连接池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必要时暂停批量回放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磁盘不足</w:t>
            </w:r>
          </w:p>
        </w:tc>
        <w:tc>
          <w:tcPr>
            <w:tcW w:type="dxa" w:w="3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停止正文和报告产物写入，保留最小元数据并告警</w:t>
            </w:r>
          </w:p>
        </w:tc>
        <w:tc>
          <w:tcPr>
            <w:tcW w:type="dxa" w:w="3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清理可重建缓存、扩容、验证数据库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通知渠道失败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报告保留，通知进入 retry_wait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渠道恢复后按幂等键补发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实施工作包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100"/>
        <w:gridCol w:w="1900"/>
        <w:gridCol w:w="4500"/>
        <w:gridCol w:w="18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工作包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主要交付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主要责任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WP-0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基线与样本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来源清单、许可证、fixture、评测指南、项目骨架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架构/产品/合规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WP-1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采集与标准化</w:t>
            </w:r>
          </w:p>
        </w:tc>
        <w:tc>
          <w:tcPr>
            <w:tcW w:type="dxa" w:w="4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MCP adapter、来源 registry、Newspaper4k、版本化、任务表</w:t>
            </w:r>
          </w:p>
        </w:tc>
        <w:tc>
          <w:tcPr>
            <w:tcW w:type="dxa" w:w="1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后端/数据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WP-2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事件与转载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URL/哈希/向量、聚类、人工合并拆分、来源链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数据/AI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WP-3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主张与证据</w:t>
            </w:r>
          </w:p>
        </w:tc>
        <w:tc>
          <w:tcPr>
            <w:tcW w:type="dxa" w:w="4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claim schema、search adapter、evidence graph、核实状态</w:t>
            </w:r>
          </w:p>
        </w:tc>
        <w:tc>
          <w:tcPr>
            <w:tcW w:type="dxa" w:w="1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AI/后端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WP-4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行业与公司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行业表、实体别名、角色、评分、影响合同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数据/行业分析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WP-5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报告与通知</w:t>
            </w:r>
          </w:p>
        </w:tc>
        <w:tc>
          <w:tcPr>
            <w:tcW w:type="dxa" w:w="4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view model、HTML/Markdown/JSON、订阅和渠道</w:t>
            </w:r>
          </w:p>
        </w:tc>
        <w:tc>
          <w:tcPr>
            <w:tcW w:type="dxa" w:w="1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后端/前端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WP-6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运维与安全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Compose、健康、日志、预算、备份、SSRF/注入防护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平台/安全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WP-7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试运行与验收</w:t>
            </w:r>
          </w:p>
        </w:tc>
        <w:tc>
          <w:tcPr>
            <w:tcW w:type="dxa" w:w="4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200 事件标注、指标评测、来源扩容、缺陷修复</w:t>
            </w:r>
          </w:p>
        </w:tc>
        <w:tc>
          <w:tcPr>
            <w:tcW w:type="dxa" w:w="1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全团队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21. 完成定义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P0 需求均有自动测试或可重复的验收步骤，并通过 NC-PRD-001 的 UAT。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两周连续试运行达到来源、时延、可追溯、聚类和影响精确率指标。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所有报告可以从数据库和固定模板重建，且不含不存在的证据 ID 或 URL。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来源配置、模型/提示词、许可证、备份恢复和日常故障处理均有操作说明。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高/严重安全漏洞关闭；密钥未进入代码、镜像、日志或数据库。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GPL/AGPL 组件边界完成评审；生产镜像和依赖版本固定。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2"/>
        </w:rPr>
        <w:t>产品负责人、技术负责人、数据/AI 负责人和合规负责人完成签字。</w:t>
      </w:r>
    </w:p>
    <w:p>
      <w:pPr>
        <w:pStyle w:val="Heading1"/>
        <w:keepNext/>
      </w:pPr>
      <w:r>
        <w:t>22. 架构决策记录（ADR）清单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1400"/>
        <w:gridCol w:w="6000"/>
        <w:gridCol w:w="19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ADR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决策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ADR-001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采用 TrendRadar + 独立 analysis-api 的模块化二次开发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已接受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ADR-002</w:t>
            </w:r>
          </w:p>
        </w:tc>
        <w:tc>
          <w:tcPr>
            <w:tcW w:type="dxa" w:w="6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MVP 使用 SQLite 与单实例任务表，不引入外部队列</w:t>
            </w:r>
          </w:p>
        </w:tc>
        <w:tc>
          <w:tcPr>
            <w:tcW w:type="dxa" w:w="1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已接受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ADR-003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TrendRadar/RSSHub 作为独立服务隔离 GPL/AGPL 边界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待合规确认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ADR-004</w:t>
            </w:r>
          </w:p>
        </w:tc>
        <w:tc>
          <w:tcPr>
            <w:tcW w:type="dxa" w:w="6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行业分类采用公开 ISIC 派生体系，商业分类需单独许可</w:t>
            </w:r>
          </w:p>
        </w:tc>
        <w:tc>
          <w:tcPr>
            <w:tcW w:type="dxa" w:w="1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待数据评审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ADR-005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置信度使用等级与解释，不显示未经校准的真假概率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已接受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ADR-006</w:t>
            </w:r>
          </w:p>
        </w:tc>
        <w:tc>
          <w:tcPr>
            <w:tcW w:type="dxa" w:w="6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模型输出必须使用 JSON Schema 与 evidence_id 白名单</w:t>
            </w:r>
          </w:p>
        </w:tc>
        <w:tc>
          <w:tcPr>
            <w:tcW w:type="dxa" w:w="1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已接受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ADR-007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全文保存按来源 content_policy 控制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待合规确认</w:t>
            </w:r>
          </w:p>
        </w:tc>
      </w:tr>
      <w:t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ADR-008</w:t>
            </w:r>
          </w:p>
        </w:tc>
        <w:tc>
          <w:tcPr>
            <w:tcW w:type="dxa" w:w="6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搜索和模型供应商通过 ports/adapters 可替换</w:t>
            </w:r>
          </w:p>
        </w:tc>
        <w:tc>
          <w:tcPr>
            <w:tcW w:type="dxa" w:w="1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已接受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A. 错误码建议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A"/>
          <w:left w:val="single" w:sz="6" w:space="0" w:color="C8D0DA"/>
          <w:bottom w:val="single" w:sz="6" w:space="0" w:color="C8D0DA"/>
          <w:right w:val="single" w:sz="6" w:space="0" w:color="C8D0DA"/>
          <w:insideH w:val="single" w:sz="6" w:space="0" w:color="C8D0DA"/>
          <w:insideV w:val="single" w:sz="6" w:space="0" w:color="C8D0DA"/>
        </w:tblBorders>
      </w:tblPr>
      <w:tblGrid>
        <w:gridCol w:w="2600"/>
        <w:gridCol w:w="5000"/>
        <w:gridCol w:w="1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错误码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可重试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SOURCE_TIMEOUT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来源连接或响应超时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SOURCE_RATE_LIMITED</w:t>
            </w:r>
          </w:p>
        </w:tc>
        <w:tc>
          <w:tcPr>
            <w:tcW w:type="dxa" w:w="5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来源返回 429 或明确限流</w:t>
            </w:r>
          </w:p>
        </w:tc>
        <w:tc>
          <w:tcPr>
            <w:tcW w:type="dxa" w:w="1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 Retry-After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SOURCE_FORBIDDEN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来源拒绝访问或策略禁止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否，需人工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EXTRACTION_EMPTY</w:t>
            </w:r>
          </w:p>
        </w:tc>
        <w:tc>
          <w:tcPr>
            <w:tcW w:type="dxa" w:w="5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正文解析为空</w:t>
            </w:r>
          </w:p>
        </w:tc>
        <w:tc>
          <w:tcPr>
            <w:tcW w:type="dxa" w:w="1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换解析器后可重试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MCP_UNAVAILABLE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TrendRadar MCP 不可用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SEARCH_UNAVAILABLE</w:t>
            </w:r>
          </w:p>
        </w:tc>
        <w:tc>
          <w:tcPr>
            <w:tcW w:type="dxa" w:w="5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搜索提供商不可用</w:t>
            </w:r>
          </w:p>
        </w:tc>
        <w:tc>
          <w:tcPr>
            <w:tcW w:type="dxa" w:w="1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是/可降级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LLM_TIMEOUT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模型调用超时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LLM_SCHEMA_INVALID</w:t>
            </w:r>
          </w:p>
        </w:tc>
        <w:tc>
          <w:tcPr>
            <w:tcW w:type="dxa" w:w="5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模型输出未通过结构校验</w:t>
            </w:r>
          </w:p>
        </w:tc>
        <w:tc>
          <w:tcPr>
            <w:tcW w:type="dxa" w:w="1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一次修复后否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EVIDENCE_ID_INVALID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模型引用不存在的证据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否，安全失败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DB_BUSY</w:t>
            </w:r>
          </w:p>
        </w:tc>
        <w:tc>
          <w:tcPr>
            <w:tcW w:type="dxa" w:w="5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SQLite 写锁超时</w:t>
            </w:r>
          </w:p>
        </w:tc>
        <w:tc>
          <w:tcPr>
            <w:tcW w:type="dxa" w:w="1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BUDGET_EXCEEDED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日预算已达到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下一预算周期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NOTIFY_FAILED</w:t>
            </w:r>
          </w:p>
        </w:tc>
        <w:tc>
          <w:tcPr>
            <w:tcW w:type="dxa" w:w="5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通知渠道发送失败</w:t>
            </w:r>
          </w:p>
        </w:tc>
        <w:tc>
          <w:tcPr>
            <w:tcW w:type="dxa" w:w="1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B. 参考仓库</w:t>
      </w:r>
    </w:p>
    <w:p>
      <w:pPr>
        <w:spacing w:after="100"/>
      </w:pPr>
      <w:hyperlink r:id="rId12">
        <w:r>
          <w:rPr>
            <w:rFonts w:ascii="Calibri" w:hAnsi="Calibri" w:eastAsia="Microsoft YaHei"/>
            <w:color w:val="2E74B5"/>
            <w:u w:val="single"/>
          </w:rPr>
          <w:t>TrendRadar</w:t>
        </w:r>
      </w:hyperlink>
    </w:p>
    <w:p>
      <w:pPr>
        <w:spacing w:after="100"/>
      </w:pPr>
      <w:hyperlink r:id="rId13">
        <w:r>
          <w:rPr>
            <w:rFonts w:ascii="Calibri" w:hAnsi="Calibri" w:eastAsia="Microsoft YaHei"/>
            <w:color w:val="2E74B5"/>
            <w:u w:val="single"/>
          </w:rPr>
          <w:t>NewsNow</w:t>
        </w:r>
      </w:hyperlink>
    </w:p>
    <w:p>
      <w:pPr>
        <w:spacing w:after="100"/>
      </w:pPr>
      <w:hyperlink r:id="rId14">
        <w:r>
          <w:rPr>
            <w:rFonts w:ascii="Calibri" w:hAnsi="Calibri" w:eastAsia="Microsoft YaHei"/>
            <w:color w:val="2E74B5"/>
            <w:u w:val="single"/>
          </w:rPr>
          <w:t>RSSHub</w:t>
        </w:r>
      </w:hyperlink>
    </w:p>
    <w:p>
      <w:pPr>
        <w:spacing w:after="100"/>
      </w:pPr>
      <w:hyperlink r:id="rId15">
        <w:r>
          <w:rPr>
            <w:rFonts w:ascii="Calibri" w:hAnsi="Calibri" w:eastAsia="Microsoft YaHei"/>
            <w:color w:val="2E74B5"/>
            <w:u w:val="single"/>
          </w:rPr>
          <w:t>Newspaper4k</w:t>
        </w:r>
      </w:hyperlink>
    </w:p>
    <w:p>
      <w:pPr>
        <w:spacing w:after="100"/>
      </w:pPr>
      <w:hyperlink r:id="rId16">
        <w:r>
          <w:rPr>
            <w:rFonts w:ascii="Calibri" w:hAnsi="Calibri" w:eastAsia="Microsoft YaHei"/>
            <w:color w:val="2E74B5"/>
            <w:u w:val="single"/>
          </w:rPr>
          <w:t>news-please</w:t>
        </w:r>
      </w:hyperlink>
    </w:p>
    <w:p>
      <w:pPr>
        <w:spacing w:after="100"/>
      </w:pPr>
      <w:hyperlink r:id="rId17">
        <w:r>
          <w:rPr>
            <w:rFonts w:ascii="Calibri" w:hAnsi="Calibri" w:eastAsia="Microsoft YaHei"/>
            <w:color w:val="2E74B5"/>
            <w:u w:val="single"/>
          </w:rPr>
          <w:t>GPT Researcher</w:t>
        </w:r>
      </w:hyperlink>
    </w:p>
    <w:p>
      <w:pPr>
        <w:spacing w:after="100"/>
      </w:pPr>
      <w:hyperlink r:id="rId18">
        <w:r>
          <w:rPr>
            <w:rFonts w:ascii="Calibri" w:hAnsi="Calibri" w:eastAsia="Microsoft YaHei"/>
            <w:color w:val="2E74B5"/>
            <w:u w:val="single"/>
          </w:rPr>
          <w:t>daily_stock_analysis</w:t>
        </w:r>
      </w:hyperlink>
    </w:p>
    <w:p>
      <w:pPr>
        <w:spacing w:after="100"/>
      </w:pPr>
      <w:hyperlink r:id="rId19">
        <w:r>
          <w:rPr>
            <w:rFonts w:ascii="Calibri" w:hAnsi="Calibri" w:eastAsia="Microsoft YaHei"/>
            <w:color w:val="2E74B5"/>
            <w:u w:val="single"/>
          </w:rPr>
          <w:t>FinnewsHunter</w:t>
        </w:r>
      </w:hyperlink>
    </w:p>
    <w:p>
      <w:pPr>
        <w:spacing w:after="100"/>
      </w:pPr>
      <w:hyperlink r:id="rId20">
        <w:r>
          <w:rPr>
            <w:rFonts w:ascii="Calibri" w:hAnsi="Calibri" w:eastAsia="Microsoft YaHei"/>
            <w:color w:val="2E74B5"/>
            <w:u w:val="single"/>
          </w:rPr>
          <w:t>worldmonitor</w:t>
        </w:r>
      </w:hyperlink>
    </w:p>
    <w:p>
      <w:pPr>
        <w:spacing w:after="0" w:line="264" w:lineRule="auto"/>
      </w:pPr>
      <w:r>
        <w:rPr>
          <w:rFonts w:ascii="Calibri" w:hAnsi="Calibri" w:eastAsia="Microsoft YaHei"/>
          <w:i/>
          <w:color w:val="667085"/>
          <w:sz w:val="22"/>
        </w:rPr>
        <w:t>仓库维护状态与许可证应在锁定依赖版本时重新核验；本文件不替代法律意见。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News Claws 开发设计说明书  |  NC-TDD-001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sansan0/TrendRadar" TargetMode="External"/><Relationship Id="rId13" Type="http://schemas.openxmlformats.org/officeDocument/2006/relationships/hyperlink" Target="https://github.com/ourongxing/newsnow" TargetMode="External"/><Relationship Id="rId14" Type="http://schemas.openxmlformats.org/officeDocument/2006/relationships/hyperlink" Target="https://github.com/DIYgod/RSSHub" TargetMode="External"/><Relationship Id="rId15" Type="http://schemas.openxmlformats.org/officeDocument/2006/relationships/hyperlink" Target="https://github.com/AndyTheFactory/newspaper4k" TargetMode="External"/><Relationship Id="rId16" Type="http://schemas.openxmlformats.org/officeDocument/2006/relationships/hyperlink" Target="https://github.com/fhamborg/news-please" TargetMode="External"/><Relationship Id="rId17" Type="http://schemas.openxmlformats.org/officeDocument/2006/relationships/hyperlink" Target="https://github.com/assafelovic/gpt-researcher" TargetMode="External"/><Relationship Id="rId18" Type="http://schemas.openxmlformats.org/officeDocument/2006/relationships/hyperlink" Target="https://github.com/ZhuLinsen/daily_stock_analysis" TargetMode="External"/><Relationship Id="rId19" Type="http://schemas.openxmlformats.org/officeDocument/2006/relationships/hyperlink" Target="https://github.com/DemonDamon/FinnewsHunter" TargetMode="External"/><Relationship Id="rId20" Type="http://schemas.openxmlformats.org/officeDocument/2006/relationships/hyperlink" Target="https://github.com/koala73/worldmon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 Claws 开发设计说明书</dc:title>
  <dc:subject>News Claws 新闻抓取、核实与行业公司影响分析助手</dc:subject>
  <dc:creator>News Claws Project</dc:creator>
  <cp:keywords>新闻聚合, 事实核实, 情绪分析, 行业影响, 公司影响, MVP</cp:keywords>
  <dc:description>Version 1.0, generated 2026-08-20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