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C9FF52" w14:textId="376A68B0" w:rsidR="00322970" w:rsidRPr="00CA3020" w:rsidRDefault="00A243C4" w:rsidP="00A172A2">
      <w:pPr>
        <w:jc w:val="center"/>
        <w:rPr>
          <w:rFonts w:eastAsia="標楷體"/>
          <w:sz w:val="32"/>
          <w:szCs w:val="32"/>
        </w:rPr>
      </w:pPr>
      <w:r w:rsidRPr="00CA3020">
        <w:rPr>
          <w:rFonts w:eastAsia="標楷體" w:hAnsi="標楷體"/>
          <w:noProof/>
          <w:sz w:val="32"/>
          <w:szCs w:val="32"/>
        </w:rPr>
        <w:t>東吳大學</w:t>
      </w:r>
    </w:p>
    <w:p w14:paraId="6B5496F9" w14:textId="1B7F2BF1" w:rsidR="00322970" w:rsidRPr="00CA3020" w:rsidRDefault="00092F5E" w:rsidP="000E0788">
      <w:pPr>
        <w:jc w:val="center"/>
        <w:rPr>
          <w:rFonts w:eastAsia="標楷體"/>
          <w:iCs/>
          <w:sz w:val="32"/>
          <w:szCs w:val="32"/>
        </w:rPr>
      </w:pPr>
      <w:r>
        <w:rPr>
          <w:rFonts w:eastAsia="標楷體" w:hAnsi="標楷體" w:hint="eastAsia"/>
          <w:iCs/>
          <w:sz w:val="32"/>
          <w:szCs w:val="32"/>
        </w:rPr>
        <w:t>1</w:t>
      </w:r>
      <w:r w:rsidR="00D81430">
        <w:rPr>
          <w:rFonts w:eastAsia="標楷體" w:hAnsi="標楷體" w:hint="eastAsia"/>
          <w:iCs/>
          <w:sz w:val="32"/>
          <w:szCs w:val="32"/>
        </w:rPr>
        <w:t>1</w:t>
      </w:r>
      <w:r w:rsidR="005677A8">
        <w:rPr>
          <w:rFonts w:eastAsia="標楷體" w:hAnsi="標楷體"/>
          <w:iCs/>
          <w:sz w:val="32"/>
          <w:szCs w:val="32"/>
        </w:rPr>
        <w:t>3</w:t>
      </w:r>
      <w:r w:rsidR="00322970" w:rsidRPr="00CA3020">
        <w:rPr>
          <w:rFonts w:eastAsia="標楷體" w:hAnsi="標楷體"/>
          <w:iCs/>
          <w:sz w:val="32"/>
          <w:szCs w:val="32"/>
        </w:rPr>
        <w:t>學年度第</w:t>
      </w:r>
      <w:r w:rsidR="00D81430">
        <w:rPr>
          <w:rFonts w:eastAsia="標楷體" w:hAnsi="標楷體" w:hint="eastAsia"/>
          <w:iCs/>
          <w:sz w:val="32"/>
          <w:szCs w:val="32"/>
        </w:rPr>
        <w:t>2</w:t>
      </w:r>
      <w:r w:rsidR="00322970" w:rsidRPr="00CA3020">
        <w:rPr>
          <w:rFonts w:eastAsia="標楷體" w:hAnsi="標楷體"/>
          <w:iCs/>
          <w:sz w:val="32"/>
          <w:szCs w:val="32"/>
        </w:rPr>
        <w:t>學期</w:t>
      </w:r>
    </w:p>
    <w:p w14:paraId="12394BFA" w14:textId="0E7F2904" w:rsidR="00322970" w:rsidRPr="00F92104" w:rsidRDefault="00092F5E" w:rsidP="00F92104">
      <w:pPr>
        <w:jc w:val="center"/>
        <w:rPr>
          <w:rFonts w:eastAsia="標楷體"/>
          <w:iCs/>
          <w:sz w:val="32"/>
          <w:szCs w:val="32"/>
        </w:rPr>
      </w:pPr>
      <w:r>
        <w:rPr>
          <w:rFonts w:eastAsia="標楷體" w:hAnsi="標楷體" w:hint="eastAsia"/>
          <w:bCs/>
          <w:sz w:val="32"/>
          <w:szCs w:val="32"/>
        </w:rPr>
        <w:t>通識課程</w:t>
      </w:r>
      <w:r w:rsidR="00CA3020" w:rsidRPr="00CA3020">
        <w:rPr>
          <w:rFonts w:eastAsia="標楷體"/>
          <w:bCs/>
          <w:sz w:val="32"/>
          <w:szCs w:val="32"/>
        </w:rPr>
        <w:t xml:space="preserve"> </w:t>
      </w:r>
      <w:r w:rsidR="00791F67">
        <w:rPr>
          <w:rFonts w:eastAsia="標楷體" w:hAnsi="標楷體" w:hint="eastAsia"/>
          <w:bCs/>
          <w:sz w:val="32"/>
          <w:szCs w:val="32"/>
        </w:rPr>
        <w:t>書面</w:t>
      </w:r>
      <w:r w:rsidR="00CA3020" w:rsidRPr="00CA3020">
        <w:rPr>
          <w:rFonts w:eastAsia="標楷體" w:hAnsi="標楷體"/>
          <w:bCs/>
          <w:sz w:val="32"/>
          <w:szCs w:val="32"/>
        </w:rPr>
        <w:t>報告</w:t>
      </w:r>
    </w:p>
    <w:p w14:paraId="3B246387" w14:textId="77777777" w:rsidR="00322970" w:rsidRPr="00CA3020" w:rsidRDefault="00322970" w:rsidP="000E0788">
      <w:pPr>
        <w:jc w:val="center"/>
        <w:rPr>
          <w:rFonts w:eastAsia="標楷體"/>
          <w:bCs/>
          <w:sz w:val="32"/>
          <w:szCs w:val="32"/>
        </w:rPr>
      </w:pPr>
    </w:p>
    <w:p w14:paraId="7E0B043C" w14:textId="70C8EF3F" w:rsidR="00812F81" w:rsidRPr="00812F81" w:rsidRDefault="00CA3020" w:rsidP="00812F81">
      <w:pPr>
        <w:numPr>
          <w:ilvl w:val="0"/>
          <w:numId w:val="9"/>
        </w:numPr>
        <w:jc w:val="center"/>
        <w:rPr>
          <w:rFonts w:eastAsia="標楷體"/>
          <w:b/>
          <w:bCs/>
          <w:sz w:val="32"/>
          <w:szCs w:val="32"/>
          <w:u w:val="thick"/>
        </w:rPr>
      </w:pPr>
      <w:r w:rsidRPr="00CA3020">
        <w:rPr>
          <w:rFonts w:eastAsia="標楷體" w:hAnsi="標楷體"/>
          <w:sz w:val="32"/>
          <w:szCs w:val="32"/>
        </w:rPr>
        <w:t>題目：</w:t>
      </w:r>
      <w:r w:rsidR="0069097F" w:rsidRPr="00812F81">
        <w:rPr>
          <w:rFonts w:eastAsia="標楷體"/>
          <w:b/>
          <w:bCs/>
          <w:sz w:val="32"/>
          <w:szCs w:val="32"/>
          <w:u w:val="thick"/>
        </w:rPr>
        <w:t xml:space="preserve"> </w:t>
      </w:r>
    </w:p>
    <w:p w14:paraId="008B1256" w14:textId="2D01E5E6" w:rsidR="009F34AE" w:rsidRDefault="0069097F" w:rsidP="00F92104">
      <w:pPr>
        <w:ind w:left="360"/>
        <w:jc w:val="center"/>
        <w:rPr>
          <w:rFonts w:eastAsia="標楷體"/>
          <w:sz w:val="32"/>
          <w:szCs w:val="32"/>
          <w:u w:val="thick"/>
        </w:rPr>
      </w:pPr>
      <w:r w:rsidRPr="0069097F">
        <w:rPr>
          <w:rFonts w:eastAsia="標楷體" w:hint="eastAsia"/>
          <w:b/>
          <w:bCs/>
          <w:sz w:val="32"/>
          <w:szCs w:val="32"/>
          <w:u w:val="thick"/>
        </w:rPr>
        <w:t>你認為碳定價</w:t>
      </w:r>
      <w:r w:rsidRPr="0069097F">
        <w:rPr>
          <w:rFonts w:eastAsia="標楷體" w:hint="eastAsia"/>
          <w:b/>
          <w:bCs/>
          <w:sz w:val="32"/>
          <w:szCs w:val="32"/>
          <w:u w:val="thick"/>
        </w:rPr>
        <w:t>,</w:t>
      </w:r>
      <w:r w:rsidR="00072393">
        <w:rPr>
          <w:rFonts w:eastAsia="標楷體" w:hint="eastAsia"/>
          <w:b/>
          <w:bCs/>
          <w:sz w:val="32"/>
          <w:szCs w:val="32"/>
          <w:u w:val="thick"/>
        </w:rPr>
        <w:t xml:space="preserve">  </w:t>
      </w:r>
      <w:r w:rsidRPr="0069097F">
        <w:rPr>
          <w:rFonts w:eastAsia="標楷體" w:hint="eastAsia"/>
          <w:b/>
          <w:bCs/>
          <w:sz w:val="32"/>
          <w:szCs w:val="32"/>
          <w:u w:val="thick"/>
        </w:rPr>
        <w:t>碳交易</w:t>
      </w:r>
      <w:r w:rsidRPr="0069097F">
        <w:rPr>
          <w:rFonts w:eastAsia="標楷體" w:hint="eastAsia"/>
          <w:b/>
          <w:bCs/>
          <w:sz w:val="32"/>
          <w:szCs w:val="32"/>
          <w:u w:val="thick"/>
        </w:rPr>
        <w:t>,</w:t>
      </w:r>
      <w:r w:rsidR="00072393">
        <w:rPr>
          <w:rFonts w:eastAsia="標楷體" w:hint="eastAsia"/>
          <w:b/>
          <w:bCs/>
          <w:sz w:val="32"/>
          <w:szCs w:val="32"/>
          <w:u w:val="thick"/>
        </w:rPr>
        <w:t xml:space="preserve"> </w:t>
      </w:r>
      <w:proofErr w:type="gramStart"/>
      <w:r w:rsidRPr="0069097F">
        <w:rPr>
          <w:rFonts w:eastAsia="標楷體" w:hint="eastAsia"/>
          <w:b/>
          <w:bCs/>
          <w:sz w:val="32"/>
          <w:szCs w:val="32"/>
          <w:u w:val="thick"/>
        </w:rPr>
        <w:t>碳抵換</w:t>
      </w:r>
      <w:proofErr w:type="gramEnd"/>
      <w:r w:rsidRPr="0069097F">
        <w:rPr>
          <w:rFonts w:eastAsia="標楷體" w:hint="eastAsia"/>
          <w:b/>
          <w:bCs/>
          <w:sz w:val="32"/>
          <w:szCs w:val="32"/>
          <w:u w:val="thick"/>
        </w:rPr>
        <w:t>機制</w:t>
      </w:r>
      <w:r w:rsidR="00072393">
        <w:rPr>
          <w:rFonts w:eastAsia="標楷體" w:hint="eastAsia"/>
          <w:b/>
          <w:bCs/>
          <w:sz w:val="32"/>
          <w:szCs w:val="32"/>
          <w:u w:val="thick"/>
        </w:rPr>
        <w:t>實施後</w:t>
      </w:r>
      <w:r w:rsidRPr="0069097F">
        <w:rPr>
          <w:rFonts w:eastAsia="標楷體" w:hint="eastAsia"/>
          <w:b/>
          <w:bCs/>
          <w:sz w:val="32"/>
          <w:szCs w:val="32"/>
          <w:u w:val="thick"/>
        </w:rPr>
        <w:t>真的對</w:t>
      </w:r>
      <w:proofErr w:type="gramStart"/>
      <w:r w:rsidRPr="0069097F">
        <w:rPr>
          <w:rFonts w:eastAsia="標楷體" w:hint="eastAsia"/>
          <w:b/>
          <w:bCs/>
          <w:sz w:val="32"/>
          <w:szCs w:val="32"/>
          <w:u w:val="thick"/>
        </w:rPr>
        <w:t>全球零碳排放</w:t>
      </w:r>
      <w:proofErr w:type="gramEnd"/>
      <w:r w:rsidRPr="0069097F">
        <w:rPr>
          <w:rFonts w:eastAsia="標楷體" w:hint="eastAsia"/>
          <w:b/>
          <w:bCs/>
          <w:sz w:val="32"/>
          <w:szCs w:val="32"/>
          <w:u w:val="thick"/>
        </w:rPr>
        <w:t>目標會有幫助嗎</w:t>
      </w:r>
      <w:r>
        <w:rPr>
          <w:rFonts w:eastAsia="標楷體" w:hint="eastAsia"/>
          <w:b/>
          <w:bCs/>
          <w:sz w:val="32"/>
          <w:szCs w:val="32"/>
          <w:u w:val="thick"/>
        </w:rPr>
        <w:t xml:space="preserve"> </w:t>
      </w:r>
      <w:r w:rsidR="0082066D" w:rsidRPr="00CA3020">
        <w:rPr>
          <w:rFonts w:eastAsia="標楷體"/>
          <w:sz w:val="32"/>
          <w:szCs w:val="32"/>
          <w:u w:val="thick"/>
        </w:rPr>
        <w:t xml:space="preserve">       </w:t>
      </w:r>
      <w:r w:rsidR="0082066D">
        <w:rPr>
          <w:rFonts w:eastAsia="標楷體"/>
          <w:sz w:val="32"/>
          <w:szCs w:val="32"/>
          <w:u w:val="thick"/>
        </w:rPr>
        <w:t xml:space="preserve">     </w:t>
      </w:r>
      <w:r w:rsidR="0082066D" w:rsidRPr="0082066D">
        <w:rPr>
          <w:rFonts w:eastAsia="標楷體"/>
          <w:sz w:val="32"/>
          <w:szCs w:val="32"/>
          <w:u w:val="thick"/>
        </w:rPr>
        <w:t xml:space="preserve"> </w:t>
      </w:r>
    </w:p>
    <w:p w14:paraId="143FE3A6" w14:textId="77777777" w:rsidR="00F92104" w:rsidRPr="00F92104" w:rsidRDefault="00F92104" w:rsidP="00F92104">
      <w:pPr>
        <w:ind w:left="360"/>
        <w:jc w:val="center"/>
        <w:rPr>
          <w:rFonts w:eastAsia="標楷體"/>
          <w:sz w:val="32"/>
          <w:szCs w:val="32"/>
          <w:u w:val="thick"/>
        </w:rPr>
      </w:pPr>
    </w:p>
    <w:p w14:paraId="724B2091" w14:textId="77777777" w:rsidR="00322970" w:rsidRPr="00CA3020" w:rsidRDefault="00322970" w:rsidP="000E0788">
      <w:pPr>
        <w:jc w:val="center"/>
        <w:rPr>
          <w:rFonts w:eastAsia="標楷體"/>
          <w:bCs/>
          <w:sz w:val="32"/>
          <w:szCs w:val="32"/>
        </w:rPr>
      </w:pPr>
      <w:r w:rsidRPr="00CA3020">
        <w:rPr>
          <w:rFonts w:eastAsia="標楷體" w:hAnsi="標楷體"/>
          <w:bCs/>
          <w:sz w:val="32"/>
          <w:szCs w:val="32"/>
        </w:rPr>
        <w:t>報告執筆</w:t>
      </w:r>
      <w:r w:rsidR="00791F67">
        <w:rPr>
          <w:rFonts w:eastAsia="標楷體" w:hint="eastAsia"/>
          <w:bCs/>
          <w:sz w:val="32"/>
          <w:szCs w:val="32"/>
        </w:rPr>
        <w:t>人</w:t>
      </w:r>
    </w:p>
    <w:p w14:paraId="472D44C6" w14:textId="77777777" w:rsidR="00322970" w:rsidRPr="00CA3020" w:rsidRDefault="00322970" w:rsidP="000E0788">
      <w:pPr>
        <w:jc w:val="center"/>
        <w:rPr>
          <w:rFonts w:eastAsia="標楷體"/>
          <w:bCs/>
          <w:sz w:val="32"/>
          <w:szCs w:val="32"/>
        </w:rPr>
      </w:pPr>
    </w:p>
    <w:p w14:paraId="2EB44D1A" w14:textId="5DD895EB" w:rsidR="00322970" w:rsidRPr="00F92104" w:rsidRDefault="00322970" w:rsidP="00F92104">
      <w:pPr>
        <w:jc w:val="center"/>
        <w:rPr>
          <w:rFonts w:eastAsia="標楷體"/>
          <w:sz w:val="32"/>
          <w:szCs w:val="32"/>
          <w:u w:val="thick"/>
        </w:rPr>
      </w:pPr>
      <w:r w:rsidRPr="00CA3020">
        <w:rPr>
          <w:rFonts w:eastAsia="標楷體" w:hAnsi="標楷體"/>
          <w:sz w:val="32"/>
          <w:szCs w:val="32"/>
        </w:rPr>
        <w:t>姓名：</w:t>
      </w:r>
      <w:r w:rsidRPr="00CA3020">
        <w:rPr>
          <w:rFonts w:eastAsia="標楷體"/>
          <w:sz w:val="32"/>
          <w:szCs w:val="32"/>
          <w:u w:val="thick"/>
        </w:rPr>
        <w:t xml:space="preserve">    </w:t>
      </w:r>
      <w:r w:rsidR="00F92104">
        <w:rPr>
          <w:rFonts w:eastAsia="標楷體" w:hint="eastAsia"/>
          <w:sz w:val="32"/>
          <w:szCs w:val="32"/>
          <w:u w:val="thick"/>
        </w:rPr>
        <w:t>林</w:t>
      </w:r>
      <w:proofErr w:type="gramStart"/>
      <w:r w:rsidR="00F92104">
        <w:rPr>
          <w:rFonts w:eastAsia="標楷體" w:hint="eastAsia"/>
          <w:sz w:val="32"/>
          <w:szCs w:val="32"/>
          <w:u w:val="thick"/>
        </w:rPr>
        <w:t>紘</w:t>
      </w:r>
      <w:proofErr w:type="gramEnd"/>
      <w:r w:rsidR="00F92104">
        <w:rPr>
          <w:rFonts w:eastAsia="標楷體" w:hint="eastAsia"/>
          <w:sz w:val="32"/>
          <w:szCs w:val="32"/>
          <w:u w:val="thick"/>
        </w:rPr>
        <w:t>宇</w:t>
      </w:r>
      <w:r w:rsidR="00F92104">
        <w:rPr>
          <w:rFonts w:eastAsia="標楷體" w:hint="eastAsia"/>
          <w:sz w:val="32"/>
          <w:szCs w:val="32"/>
          <w:u w:val="thick"/>
        </w:rPr>
        <w:t xml:space="preserve">   </w:t>
      </w:r>
      <w:r w:rsidRPr="00CA3020">
        <w:rPr>
          <w:rFonts w:eastAsia="標楷體"/>
          <w:sz w:val="32"/>
          <w:szCs w:val="32"/>
          <w:u w:val="thick"/>
        </w:rPr>
        <w:t>.</w:t>
      </w:r>
    </w:p>
    <w:p w14:paraId="55FEAADF" w14:textId="28266CB3" w:rsidR="00791F67" w:rsidRPr="00F92104" w:rsidRDefault="00791F67" w:rsidP="00F92104">
      <w:pPr>
        <w:jc w:val="center"/>
        <w:rPr>
          <w:rFonts w:eastAsia="標楷體" w:hAnsi="標楷體"/>
          <w:sz w:val="32"/>
          <w:szCs w:val="32"/>
          <w:u w:val="thick"/>
        </w:rPr>
      </w:pPr>
      <w:r>
        <w:rPr>
          <w:rFonts w:eastAsia="標楷體" w:hAnsi="標楷體" w:hint="eastAsia"/>
          <w:sz w:val="32"/>
          <w:szCs w:val="32"/>
        </w:rPr>
        <w:t>系級</w:t>
      </w:r>
      <w:r w:rsidRPr="00791F67">
        <w:rPr>
          <w:rFonts w:eastAsia="標楷體" w:hAnsi="標楷體"/>
          <w:sz w:val="32"/>
          <w:szCs w:val="32"/>
        </w:rPr>
        <w:t>：</w:t>
      </w:r>
      <w:r w:rsidRPr="00791F67">
        <w:rPr>
          <w:rFonts w:eastAsia="標楷體" w:hAnsi="標楷體"/>
          <w:sz w:val="32"/>
          <w:szCs w:val="32"/>
          <w:u w:val="thick"/>
        </w:rPr>
        <w:t xml:space="preserve">  </w:t>
      </w:r>
      <w:r w:rsidR="00F92104">
        <w:rPr>
          <w:rFonts w:eastAsia="標楷體" w:hAnsi="標楷體" w:hint="eastAsia"/>
          <w:sz w:val="32"/>
          <w:szCs w:val="32"/>
          <w:u w:val="thick"/>
        </w:rPr>
        <w:t>資科四</w:t>
      </w:r>
      <w:r w:rsidR="00F92104">
        <w:rPr>
          <w:rFonts w:eastAsia="標楷體" w:hAnsi="標楷體" w:hint="eastAsia"/>
          <w:sz w:val="32"/>
          <w:szCs w:val="32"/>
          <w:u w:val="thick"/>
        </w:rPr>
        <w:t>B</w:t>
      </w:r>
      <w:r w:rsidRPr="00791F67">
        <w:rPr>
          <w:rFonts w:eastAsia="標楷體" w:hAnsi="標楷體"/>
          <w:sz w:val="32"/>
          <w:szCs w:val="32"/>
          <w:u w:val="thick"/>
        </w:rPr>
        <w:t xml:space="preserve">  .</w:t>
      </w:r>
    </w:p>
    <w:p w14:paraId="25EE1158" w14:textId="37D484F0" w:rsidR="00322970" w:rsidRPr="00CA3020" w:rsidRDefault="00A243C4" w:rsidP="00812F81">
      <w:pPr>
        <w:jc w:val="center"/>
        <w:rPr>
          <w:rFonts w:eastAsia="標楷體"/>
          <w:sz w:val="32"/>
          <w:szCs w:val="32"/>
        </w:rPr>
      </w:pPr>
      <w:r w:rsidRPr="00CA3020">
        <w:rPr>
          <w:rFonts w:eastAsia="標楷體" w:hAnsi="標楷體"/>
          <w:sz w:val="32"/>
          <w:szCs w:val="32"/>
        </w:rPr>
        <w:t>學號：</w:t>
      </w:r>
      <w:r w:rsidRPr="00CA3020">
        <w:rPr>
          <w:rFonts w:eastAsia="標楷體"/>
          <w:sz w:val="32"/>
          <w:szCs w:val="32"/>
          <w:u w:val="thick"/>
        </w:rPr>
        <w:t xml:space="preserve">  </w:t>
      </w:r>
      <w:proofErr w:type="gramStart"/>
      <w:r w:rsidR="00F92104">
        <w:rPr>
          <w:rFonts w:eastAsia="標楷體" w:hint="eastAsia"/>
          <w:sz w:val="32"/>
          <w:szCs w:val="32"/>
          <w:u w:val="thick"/>
        </w:rPr>
        <w:t>10173211</w:t>
      </w:r>
      <w:r w:rsidRPr="00CA3020">
        <w:rPr>
          <w:rFonts w:eastAsia="標楷體"/>
          <w:sz w:val="32"/>
          <w:szCs w:val="32"/>
          <w:u w:val="thick"/>
        </w:rPr>
        <w:t xml:space="preserve"> .</w:t>
      </w:r>
      <w:proofErr w:type="gramEnd"/>
    </w:p>
    <w:p w14:paraId="23422B22" w14:textId="77777777" w:rsidR="00F92104" w:rsidRDefault="00F92104" w:rsidP="00F92104">
      <w:pPr>
        <w:jc w:val="center"/>
        <w:rPr>
          <w:rFonts w:eastAsia="標楷體" w:hAnsi="標楷體"/>
          <w:sz w:val="32"/>
          <w:szCs w:val="32"/>
        </w:rPr>
      </w:pPr>
      <w:r w:rsidRPr="00CA3020">
        <w:rPr>
          <w:rFonts w:eastAsia="標楷體" w:hAnsi="標楷體"/>
          <w:sz w:val="32"/>
          <w:szCs w:val="32"/>
        </w:rPr>
        <w:t>日期：</w:t>
      </w:r>
      <w:r>
        <w:rPr>
          <w:rFonts w:eastAsia="標楷體" w:hAnsi="標楷體" w:hint="eastAsia"/>
          <w:sz w:val="32"/>
          <w:szCs w:val="32"/>
        </w:rPr>
        <w:t>11</w:t>
      </w:r>
      <w:r>
        <w:rPr>
          <w:rFonts w:eastAsia="標楷體" w:hAnsi="標楷體"/>
          <w:sz w:val="32"/>
          <w:szCs w:val="32"/>
        </w:rPr>
        <w:t>4</w:t>
      </w:r>
      <w:r w:rsidRPr="00CA3020">
        <w:rPr>
          <w:rFonts w:eastAsia="標楷體" w:hAnsi="標楷體"/>
          <w:sz w:val="32"/>
          <w:szCs w:val="32"/>
        </w:rPr>
        <w:t>年</w:t>
      </w:r>
      <w:r w:rsidRPr="00CA3020">
        <w:rPr>
          <w:rFonts w:eastAsia="標楷體"/>
          <w:sz w:val="32"/>
          <w:szCs w:val="32"/>
        </w:rPr>
        <w:t xml:space="preserve">  </w:t>
      </w:r>
      <w:r w:rsidRPr="00CA3020">
        <w:rPr>
          <w:rFonts w:eastAsia="標楷體"/>
          <w:sz w:val="32"/>
          <w:szCs w:val="32"/>
          <w:u w:val="thick"/>
        </w:rPr>
        <w:t xml:space="preserve">  </w:t>
      </w:r>
      <w:r>
        <w:rPr>
          <w:rFonts w:eastAsia="標楷體" w:hint="eastAsia"/>
          <w:sz w:val="32"/>
          <w:szCs w:val="32"/>
          <w:u w:val="thick"/>
        </w:rPr>
        <w:t>5</w:t>
      </w:r>
      <w:r w:rsidRPr="00CA3020">
        <w:rPr>
          <w:rFonts w:eastAsia="標楷體"/>
          <w:sz w:val="32"/>
          <w:szCs w:val="32"/>
          <w:u w:val="thick"/>
        </w:rPr>
        <w:t xml:space="preserve">  </w:t>
      </w:r>
      <w:r w:rsidRPr="00CA3020">
        <w:rPr>
          <w:rFonts w:eastAsia="標楷體" w:hAnsi="標楷體"/>
          <w:sz w:val="32"/>
          <w:szCs w:val="32"/>
        </w:rPr>
        <w:t>月</w:t>
      </w:r>
      <w:r w:rsidRPr="00CA3020">
        <w:rPr>
          <w:rFonts w:eastAsia="標楷體"/>
          <w:sz w:val="32"/>
          <w:szCs w:val="32"/>
        </w:rPr>
        <w:t xml:space="preserve"> </w:t>
      </w:r>
      <w:r w:rsidRPr="00CA3020">
        <w:rPr>
          <w:rFonts w:eastAsia="標楷體"/>
          <w:sz w:val="32"/>
          <w:szCs w:val="32"/>
          <w:u w:val="thick"/>
        </w:rPr>
        <w:t xml:space="preserve">  </w:t>
      </w:r>
      <w:r>
        <w:rPr>
          <w:rFonts w:eastAsia="標楷體" w:hint="eastAsia"/>
          <w:sz w:val="32"/>
          <w:szCs w:val="32"/>
          <w:u w:val="thick"/>
        </w:rPr>
        <w:t>2</w:t>
      </w:r>
      <w:r w:rsidRPr="00CA3020">
        <w:rPr>
          <w:rFonts w:eastAsia="標楷體"/>
          <w:sz w:val="32"/>
          <w:szCs w:val="32"/>
          <w:u w:val="thick"/>
        </w:rPr>
        <w:t xml:space="preserve">  </w:t>
      </w:r>
      <w:r w:rsidRPr="00CA3020">
        <w:rPr>
          <w:rFonts w:eastAsia="標楷體" w:hAnsi="標楷體"/>
          <w:sz w:val="32"/>
          <w:szCs w:val="32"/>
        </w:rPr>
        <w:t>日</w:t>
      </w:r>
    </w:p>
    <w:p w14:paraId="73FA838C" w14:textId="77777777" w:rsidR="00A172A2" w:rsidRDefault="00A172A2" w:rsidP="00F92104">
      <w:pPr>
        <w:jc w:val="center"/>
        <w:rPr>
          <w:rFonts w:ascii="標楷體" w:eastAsia="標楷體" w:hAnsi="標楷體" w:cs="微軟正黑體"/>
          <w:b/>
          <w:bCs/>
          <w:sz w:val="32"/>
          <w:szCs w:val="32"/>
        </w:rPr>
      </w:pPr>
    </w:p>
    <w:p w14:paraId="05EEC8BC" w14:textId="29124539" w:rsidR="00322970" w:rsidRDefault="00F92104" w:rsidP="00F92104">
      <w:pPr>
        <w:jc w:val="center"/>
        <w:rPr>
          <w:rFonts w:ascii="標楷體" w:eastAsia="標楷體" w:hAnsi="標楷體" w:cs="微軟正黑體"/>
          <w:b/>
          <w:bCs/>
          <w:sz w:val="32"/>
          <w:szCs w:val="32"/>
        </w:rPr>
      </w:pPr>
      <w:r w:rsidRPr="00A172A2">
        <w:rPr>
          <w:rFonts w:ascii="標楷體" w:eastAsia="標楷體" w:hAnsi="標楷體" w:cs="微軟正黑體" w:hint="eastAsia"/>
          <w:b/>
          <w:bCs/>
          <w:sz w:val="32"/>
          <w:szCs w:val="32"/>
        </w:rPr>
        <w:lastRenderedPageBreak/>
        <w:t>目錄</w:t>
      </w:r>
    </w:p>
    <w:p w14:paraId="3CF67552" w14:textId="77777777" w:rsidR="00A172A2" w:rsidRPr="00A172A2" w:rsidRDefault="00A172A2" w:rsidP="00F92104">
      <w:pPr>
        <w:jc w:val="center"/>
        <w:rPr>
          <w:rFonts w:ascii="標楷體" w:eastAsia="標楷體" w:hAnsi="標楷體" w:cs="微軟正黑體"/>
          <w:b/>
          <w:bCs/>
          <w:sz w:val="32"/>
          <w:szCs w:val="32"/>
        </w:rPr>
      </w:pPr>
    </w:p>
    <w:p w14:paraId="6C05B7E9" w14:textId="177D6E21" w:rsidR="00A172A2" w:rsidRPr="00A172A2" w:rsidRDefault="00F92104" w:rsidP="00F92104">
      <w:pPr>
        <w:jc w:val="both"/>
        <w:rPr>
          <w:rFonts w:ascii="標楷體" w:eastAsia="標楷體" w:hAnsi="標楷體" w:cs="微軟正黑體"/>
          <w:b/>
          <w:bCs/>
          <w:sz w:val="32"/>
          <w:szCs w:val="32"/>
        </w:rPr>
      </w:pPr>
      <w:proofErr w:type="gramStart"/>
      <w:r w:rsidRPr="00A172A2">
        <w:rPr>
          <w:rFonts w:ascii="標楷體" w:eastAsia="標楷體" w:hAnsi="標楷體" w:cs="微軟正黑體" w:hint="eastAsia"/>
          <w:b/>
          <w:bCs/>
          <w:sz w:val="32"/>
          <w:szCs w:val="32"/>
        </w:rPr>
        <w:t>一</w:t>
      </w:r>
      <w:proofErr w:type="gramEnd"/>
      <w:r w:rsidRPr="00A172A2">
        <w:rPr>
          <w:rFonts w:ascii="標楷體" w:eastAsia="標楷體" w:hAnsi="標楷體" w:cs="微軟正黑體" w:hint="eastAsia"/>
          <w:b/>
          <w:bCs/>
          <w:sz w:val="32"/>
          <w:szCs w:val="32"/>
        </w:rPr>
        <w:t xml:space="preserve"> 、前言</w:t>
      </w:r>
      <w:r w:rsidR="00A172A2">
        <w:rPr>
          <w:rFonts w:ascii="標楷體" w:eastAsia="標楷體" w:hAnsi="標楷體" w:cs="微軟正黑體"/>
          <w:b/>
          <w:bCs/>
          <w:sz w:val="32"/>
          <w:szCs w:val="32"/>
        </w:rPr>
        <w:t>…</w:t>
      </w:r>
      <w:proofErr w:type="gramStart"/>
      <w:r w:rsidR="00A172A2">
        <w:rPr>
          <w:rFonts w:ascii="標楷體" w:eastAsia="標楷體" w:hAnsi="標楷體" w:cs="微軟正黑體"/>
          <w:b/>
          <w:bCs/>
          <w:sz w:val="32"/>
          <w:szCs w:val="32"/>
        </w:rPr>
        <w:t>…………………………………………………</w:t>
      </w:r>
      <w:proofErr w:type="gramEnd"/>
      <w:r w:rsidR="00A172A2">
        <w:rPr>
          <w:rFonts w:ascii="標楷體" w:eastAsia="標楷體" w:hAnsi="標楷體" w:cs="微軟正黑體"/>
          <w:b/>
          <w:bCs/>
          <w:sz w:val="32"/>
          <w:szCs w:val="32"/>
        </w:rPr>
        <w:t>…………3</w:t>
      </w:r>
    </w:p>
    <w:p w14:paraId="3F919C3D" w14:textId="7188B543" w:rsidR="00F92104" w:rsidRPr="00A172A2" w:rsidRDefault="00F92104" w:rsidP="00F92104">
      <w:pPr>
        <w:jc w:val="both"/>
        <w:rPr>
          <w:rFonts w:ascii="標楷體" w:eastAsia="標楷體" w:hAnsi="標楷體" w:cs="微軟正黑體"/>
          <w:b/>
          <w:bCs/>
          <w:sz w:val="32"/>
          <w:szCs w:val="32"/>
        </w:rPr>
      </w:pPr>
      <w:r w:rsidRPr="00A172A2">
        <w:rPr>
          <w:rFonts w:ascii="標楷體" w:eastAsia="標楷體" w:hAnsi="標楷體" w:cs="微軟正黑體" w:hint="eastAsia"/>
          <w:b/>
          <w:bCs/>
          <w:sz w:val="32"/>
          <w:szCs w:val="32"/>
        </w:rPr>
        <w:t>二 、</w:t>
      </w:r>
      <w:r w:rsidR="00B002D6" w:rsidRPr="00A172A2">
        <w:rPr>
          <w:rFonts w:ascii="標楷體" w:eastAsia="標楷體" w:hAnsi="標楷體" w:cs="微軟正黑體" w:hint="eastAsia"/>
          <w:b/>
          <w:bCs/>
          <w:sz w:val="32"/>
          <w:szCs w:val="32"/>
        </w:rPr>
        <w:t>正文</w:t>
      </w:r>
      <w:r w:rsidR="00A172A2">
        <w:rPr>
          <w:rFonts w:ascii="標楷體" w:eastAsia="標楷體" w:hAnsi="標楷體" w:cs="微軟正黑體"/>
          <w:b/>
          <w:bCs/>
          <w:sz w:val="32"/>
          <w:szCs w:val="32"/>
        </w:rPr>
        <w:t>…</w:t>
      </w:r>
      <w:proofErr w:type="gramStart"/>
      <w:r w:rsidR="00A172A2">
        <w:rPr>
          <w:rFonts w:ascii="標楷體" w:eastAsia="標楷體" w:hAnsi="標楷體" w:cs="微軟正黑體"/>
          <w:b/>
          <w:bCs/>
          <w:sz w:val="32"/>
          <w:szCs w:val="32"/>
        </w:rPr>
        <w:t>……………………………………………………</w:t>
      </w:r>
      <w:proofErr w:type="gramEnd"/>
      <w:r w:rsidR="00A172A2">
        <w:rPr>
          <w:rFonts w:ascii="標楷體" w:eastAsia="標楷體" w:hAnsi="標楷體" w:cs="微軟正黑體"/>
          <w:b/>
          <w:bCs/>
          <w:sz w:val="32"/>
          <w:szCs w:val="32"/>
        </w:rPr>
        <w:t>………4</w:t>
      </w:r>
    </w:p>
    <w:p w14:paraId="5EE0FC3B" w14:textId="3E3183F4" w:rsidR="00F92104" w:rsidRPr="00A172A2" w:rsidRDefault="00F92104" w:rsidP="00F92104">
      <w:pPr>
        <w:jc w:val="both"/>
        <w:rPr>
          <w:rFonts w:ascii="標楷體" w:eastAsia="標楷體" w:hAnsi="標楷體"/>
          <w:b/>
          <w:bCs/>
          <w:sz w:val="32"/>
          <w:szCs w:val="32"/>
        </w:rPr>
      </w:pPr>
      <w:r w:rsidRPr="00A172A2">
        <w:rPr>
          <w:rFonts w:ascii="標楷體" w:eastAsia="標楷體" w:hAnsi="標楷體" w:hint="eastAsia"/>
          <w:b/>
          <w:bCs/>
          <w:sz w:val="32"/>
          <w:szCs w:val="32"/>
        </w:rPr>
        <w:t>三 、</w:t>
      </w:r>
      <w:r w:rsidR="00B002D6" w:rsidRPr="00A172A2">
        <w:rPr>
          <w:rFonts w:ascii="標楷體" w:eastAsia="標楷體" w:hAnsi="標楷體" w:hint="eastAsia"/>
          <w:b/>
          <w:bCs/>
          <w:sz w:val="32"/>
          <w:szCs w:val="32"/>
        </w:rPr>
        <w:t>分析</w:t>
      </w:r>
      <w:r w:rsidR="00BA2E6D" w:rsidRPr="00A172A2">
        <w:rPr>
          <w:rFonts w:ascii="標楷體" w:eastAsia="標楷體" w:hAnsi="標楷體" w:hint="eastAsia"/>
          <w:b/>
          <w:bCs/>
          <w:sz w:val="32"/>
          <w:szCs w:val="32"/>
        </w:rPr>
        <w:t>及立場</w:t>
      </w:r>
      <w:r w:rsidR="00A172A2">
        <w:rPr>
          <w:rFonts w:ascii="標楷體" w:eastAsia="標楷體" w:hAnsi="標楷體"/>
          <w:b/>
          <w:bCs/>
          <w:sz w:val="32"/>
          <w:szCs w:val="32"/>
        </w:rPr>
        <w:t>…</w:t>
      </w:r>
      <w:proofErr w:type="gramStart"/>
      <w:r w:rsidR="00A172A2">
        <w:rPr>
          <w:rFonts w:ascii="標楷體" w:eastAsia="標楷體" w:hAnsi="標楷體"/>
          <w:b/>
          <w:bCs/>
          <w:sz w:val="32"/>
          <w:szCs w:val="32"/>
        </w:rPr>
        <w:t>……………………………………………………</w:t>
      </w:r>
      <w:proofErr w:type="gramEnd"/>
      <w:r w:rsidR="00A172A2">
        <w:rPr>
          <w:rFonts w:ascii="標楷體" w:eastAsia="標楷體" w:hAnsi="標楷體"/>
          <w:b/>
          <w:bCs/>
          <w:sz w:val="32"/>
          <w:szCs w:val="32"/>
        </w:rPr>
        <w:t>5</w:t>
      </w:r>
    </w:p>
    <w:p w14:paraId="46E78D42" w14:textId="1DB78278" w:rsidR="00F92104" w:rsidRPr="00A172A2" w:rsidRDefault="00F92104" w:rsidP="00F92104">
      <w:pPr>
        <w:jc w:val="both"/>
        <w:rPr>
          <w:rFonts w:ascii="標楷體" w:eastAsia="標楷體" w:hAnsi="標楷體"/>
          <w:b/>
          <w:bCs/>
          <w:sz w:val="32"/>
          <w:szCs w:val="32"/>
        </w:rPr>
      </w:pPr>
      <w:r w:rsidRPr="00A172A2">
        <w:rPr>
          <w:rFonts w:ascii="標楷體" w:eastAsia="標楷體" w:hAnsi="標楷體" w:hint="eastAsia"/>
          <w:b/>
          <w:bCs/>
          <w:sz w:val="32"/>
          <w:szCs w:val="32"/>
        </w:rPr>
        <w:t>四 、</w:t>
      </w:r>
      <w:r w:rsidR="00BA2E6D" w:rsidRPr="00A172A2">
        <w:rPr>
          <w:rFonts w:ascii="標楷體" w:eastAsia="標楷體" w:hAnsi="標楷體" w:hint="eastAsia"/>
          <w:b/>
          <w:bCs/>
          <w:sz w:val="32"/>
          <w:szCs w:val="32"/>
        </w:rPr>
        <w:t>未來展望</w:t>
      </w:r>
      <w:r w:rsidR="00A172A2">
        <w:rPr>
          <w:rFonts w:ascii="標楷體" w:eastAsia="標楷體" w:hAnsi="標楷體"/>
          <w:b/>
          <w:bCs/>
          <w:sz w:val="32"/>
          <w:szCs w:val="32"/>
        </w:rPr>
        <w:t>…</w:t>
      </w:r>
      <w:proofErr w:type="gramStart"/>
      <w:r w:rsidR="00A172A2">
        <w:rPr>
          <w:rFonts w:ascii="標楷體" w:eastAsia="標楷體" w:hAnsi="標楷體"/>
          <w:b/>
          <w:bCs/>
          <w:sz w:val="32"/>
          <w:szCs w:val="32"/>
        </w:rPr>
        <w:t>……………………………………………………</w:t>
      </w:r>
      <w:proofErr w:type="gramEnd"/>
      <w:r w:rsidR="00A172A2">
        <w:rPr>
          <w:rFonts w:ascii="標楷體" w:eastAsia="標楷體" w:hAnsi="標楷體"/>
          <w:b/>
          <w:bCs/>
          <w:sz w:val="32"/>
          <w:szCs w:val="32"/>
        </w:rPr>
        <w:t>…7</w:t>
      </w:r>
    </w:p>
    <w:p w14:paraId="5D6EDBD8" w14:textId="4F6321BE" w:rsidR="00B504C7" w:rsidRPr="00A172A2" w:rsidRDefault="00B504C7" w:rsidP="00F92104">
      <w:pPr>
        <w:jc w:val="both"/>
        <w:rPr>
          <w:rFonts w:ascii="標楷體" w:eastAsia="標楷體" w:hAnsi="標楷體"/>
          <w:b/>
          <w:bCs/>
          <w:sz w:val="32"/>
          <w:szCs w:val="32"/>
        </w:rPr>
      </w:pPr>
      <w:r w:rsidRPr="00A172A2">
        <w:rPr>
          <w:rFonts w:ascii="標楷體" w:eastAsia="標楷體" w:hAnsi="標楷體" w:hint="eastAsia"/>
          <w:b/>
          <w:bCs/>
          <w:sz w:val="32"/>
          <w:szCs w:val="32"/>
        </w:rPr>
        <w:t>五 、參考文獻</w:t>
      </w:r>
      <w:r w:rsidR="00A172A2">
        <w:rPr>
          <w:rFonts w:ascii="標楷體" w:eastAsia="標楷體" w:hAnsi="標楷體"/>
          <w:b/>
          <w:bCs/>
          <w:sz w:val="32"/>
          <w:szCs w:val="32"/>
        </w:rPr>
        <w:t>…</w:t>
      </w:r>
      <w:proofErr w:type="gramStart"/>
      <w:r w:rsidR="00A172A2">
        <w:rPr>
          <w:rFonts w:ascii="標楷體" w:eastAsia="標楷體" w:hAnsi="標楷體"/>
          <w:b/>
          <w:bCs/>
          <w:sz w:val="32"/>
          <w:szCs w:val="32"/>
        </w:rPr>
        <w:t>……………………………………………………</w:t>
      </w:r>
      <w:proofErr w:type="gramEnd"/>
      <w:r w:rsidR="00A172A2">
        <w:rPr>
          <w:rFonts w:ascii="標楷體" w:eastAsia="標楷體" w:hAnsi="標楷體"/>
          <w:b/>
          <w:bCs/>
          <w:sz w:val="32"/>
          <w:szCs w:val="32"/>
        </w:rPr>
        <w:t>…</w:t>
      </w:r>
      <w:r w:rsidR="00A172A2">
        <w:rPr>
          <w:rFonts w:ascii="標楷體" w:eastAsia="標楷體" w:hAnsi="標楷體" w:hint="eastAsia"/>
          <w:b/>
          <w:bCs/>
          <w:sz w:val="32"/>
          <w:szCs w:val="32"/>
        </w:rPr>
        <w:t>8</w:t>
      </w:r>
    </w:p>
    <w:p w14:paraId="349F6456" w14:textId="4AE65B23" w:rsidR="00322970" w:rsidRPr="00A172A2" w:rsidRDefault="00A05663" w:rsidP="00F92104">
      <w:pPr>
        <w:jc w:val="center"/>
        <w:rPr>
          <w:rFonts w:eastAsia="標楷體" w:hAnsi="標楷體"/>
          <w:b/>
          <w:bCs/>
          <w:sz w:val="32"/>
          <w:szCs w:val="32"/>
        </w:rPr>
      </w:pPr>
      <w:r w:rsidRPr="00286098">
        <w:rPr>
          <w:rFonts w:eastAsia="標楷體" w:hAnsi="標楷體"/>
          <w:sz w:val="32"/>
          <w:szCs w:val="32"/>
        </w:rPr>
        <w:br w:type="page"/>
      </w:r>
      <w:r w:rsidR="00BA2E6D" w:rsidRPr="00A172A2">
        <w:rPr>
          <w:rFonts w:eastAsia="標楷體" w:hAnsi="標楷體" w:hint="eastAsia"/>
          <w:b/>
          <w:bCs/>
          <w:sz w:val="32"/>
          <w:szCs w:val="32"/>
        </w:rPr>
        <w:lastRenderedPageBreak/>
        <w:t>一、</w:t>
      </w:r>
      <w:r w:rsidR="00F92104" w:rsidRPr="00A172A2">
        <w:rPr>
          <w:rFonts w:eastAsia="標楷體" w:hAnsi="標楷體" w:hint="eastAsia"/>
          <w:b/>
          <w:bCs/>
          <w:sz w:val="32"/>
          <w:szCs w:val="32"/>
        </w:rPr>
        <w:t>前言</w:t>
      </w:r>
    </w:p>
    <w:p w14:paraId="7F8880A1" w14:textId="77777777" w:rsidR="00F92104" w:rsidRPr="00F92104" w:rsidRDefault="00F92104" w:rsidP="00F92104">
      <w:pPr>
        <w:rPr>
          <w:rFonts w:eastAsia="標楷體" w:hAnsi="標楷體"/>
        </w:rPr>
      </w:pPr>
      <w:r w:rsidRPr="00F92104">
        <w:rPr>
          <w:rFonts w:eastAsia="標楷體" w:hAnsi="標楷體"/>
        </w:rPr>
        <w:t>面對日益嚴峻的氣候變遷挑戰，全球各國積極尋求有效</w:t>
      </w:r>
      <w:proofErr w:type="gramStart"/>
      <w:r w:rsidRPr="00F92104">
        <w:rPr>
          <w:rFonts w:eastAsia="標楷體" w:hAnsi="標楷體"/>
        </w:rPr>
        <w:t>的減排策略</w:t>
      </w:r>
      <w:proofErr w:type="gramEnd"/>
      <w:r w:rsidRPr="00F92104">
        <w:rPr>
          <w:rFonts w:eastAsia="標楷體" w:hAnsi="標楷體"/>
        </w:rPr>
        <w:t>以期</w:t>
      </w:r>
      <w:proofErr w:type="gramStart"/>
      <w:r w:rsidRPr="00F92104">
        <w:rPr>
          <w:rFonts w:eastAsia="標楷體" w:hAnsi="標楷體"/>
        </w:rPr>
        <w:t>達成零碳排放</w:t>
      </w:r>
      <w:proofErr w:type="gramEnd"/>
      <w:r w:rsidRPr="00F92104">
        <w:rPr>
          <w:rFonts w:eastAsia="標楷體" w:hAnsi="標楷體"/>
        </w:rPr>
        <w:t>的宏偉目標。《巴黎協定》的簽署進一步確立了這一全球共識，促使各經濟體探索和實施多種市場機制，以期引導產業轉型並減少溫室氣體的排放。在眾多政策工具中，碳定價機制因其潛在的成本效益和靈活性而備受關注。</w:t>
      </w:r>
    </w:p>
    <w:p w14:paraId="32BBA530" w14:textId="77777777" w:rsidR="00F92104" w:rsidRPr="00F92104" w:rsidRDefault="00F92104" w:rsidP="00F92104">
      <w:pPr>
        <w:rPr>
          <w:rFonts w:eastAsia="標楷體" w:hAnsi="標楷體"/>
        </w:rPr>
      </w:pPr>
      <w:r w:rsidRPr="00F92104">
        <w:rPr>
          <w:rFonts w:eastAsia="標楷體" w:hAnsi="標楷體"/>
        </w:rPr>
        <w:t>本報告旨在深入探討三種主要的碳定價相關機制</w:t>
      </w:r>
      <w:proofErr w:type="gramStart"/>
      <w:r w:rsidRPr="00F92104">
        <w:rPr>
          <w:rFonts w:eastAsia="標楷體" w:hAnsi="標楷體"/>
        </w:rPr>
        <w:t>——</w:t>
      </w:r>
      <w:proofErr w:type="gramEnd"/>
      <w:r w:rsidRPr="00F92104">
        <w:rPr>
          <w:rFonts w:eastAsia="標楷體" w:hAnsi="標楷體"/>
        </w:rPr>
        <w:t>碳定價、碳交易（亦稱為排放交易體系，</w:t>
      </w:r>
      <w:r w:rsidRPr="00F92104">
        <w:rPr>
          <w:rFonts w:eastAsia="標楷體" w:hAnsi="標楷體"/>
        </w:rPr>
        <w:t>ETS</w:t>
      </w:r>
      <w:r w:rsidRPr="00F92104">
        <w:rPr>
          <w:rFonts w:eastAsia="標楷體" w:hAnsi="標楷體"/>
        </w:rPr>
        <w:t>）以及</w:t>
      </w:r>
      <w:proofErr w:type="gramStart"/>
      <w:r w:rsidRPr="00F92104">
        <w:rPr>
          <w:rFonts w:eastAsia="標楷體" w:hAnsi="標楷體"/>
        </w:rPr>
        <w:t>碳抵換——</w:t>
      </w:r>
      <w:proofErr w:type="gramEnd"/>
      <w:r w:rsidRPr="00F92104">
        <w:rPr>
          <w:rFonts w:eastAsia="標楷體" w:hAnsi="標楷體"/>
        </w:rPr>
        <w:t>在推動全球</w:t>
      </w:r>
      <w:proofErr w:type="gramStart"/>
      <w:r w:rsidRPr="00F92104">
        <w:rPr>
          <w:rFonts w:eastAsia="標楷體" w:hAnsi="標楷體"/>
        </w:rPr>
        <w:t>邁向零碳排放</w:t>
      </w:r>
      <w:proofErr w:type="gramEnd"/>
      <w:r w:rsidRPr="00F92104">
        <w:rPr>
          <w:rFonts w:eastAsia="標楷體" w:hAnsi="標楷體"/>
        </w:rPr>
        <w:t>目標中所扮演的角色和實際效用。透過對現有文獻和國際實踐的分析，我們將評估這些機制如何透過經濟手段內化碳排放的外部成本，激勵企業和個人採取更具氣候意識的行為。</w:t>
      </w:r>
    </w:p>
    <w:p w14:paraId="63BCF049" w14:textId="77777777" w:rsidR="00F92104" w:rsidRPr="00F92104" w:rsidRDefault="00F92104" w:rsidP="00F92104">
      <w:pPr>
        <w:rPr>
          <w:rFonts w:eastAsia="標楷體" w:hAnsi="標楷體"/>
        </w:rPr>
      </w:pPr>
      <w:r w:rsidRPr="00F92104">
        <w:rPr>
          <w:rFonts w:eastAsia="標楷體" w:hAnsi="標楷體"/>
        </w:rPr>
        <w:t>具體而言，本報告將檢視：</w:t>
      </w:r>
    </w:p>
    <w:p w14:paraId="625B1628" w14:textId="77777777" w:rsidR="00F92104" w:rsidRPr="00F92104" w:rsidRDefault="00F92104" w:rsidP="00F92104">
      <w:pPr>
        <w:tabs>
          <w:tab w:val="num" w:pos="720"/>
        </w:tabs>
        <w:rPr>
          <w:rFonts w:eastAsia="標楷體" w:hAnsi="標楷體"/>
        </w:rPr>
      </w:pPr>
      <w:r w:rsidRPr="00F92104">
        <w:rPr>
          <w:rFonts w:eastAsia="標楷體" w:hAnsi="標楷體"/>
        </w:rPr>
        <w:t>碳定價</w:t>
      </w:r>
      <w:r w:rsidRPr="00F92104">
        <w:rPr>
          <w:rFonts w:eastAsia="標楷體" w:hAnsi="標楷體"/>
        </w:rPr>
        <w:t xml:space="preserve"> </w:t>
      </w:r>
      <w:r w:rsidRPr="00F92104">
        <w:rPr>
          <w:rFonts w:eastAsia="標楷體" w:hAnsi="標楷體"/>
        </w:rPr>
        <w:t>作為一種</w:t>
      </w:r>
      <w:proofErr w:type="gramStart"/>
      <w:r w:rsidRPr="00F92104">
        <w:rPr>
          <w:rFonts w:eastAsia="標楷體" w:hAnsi="標楷體"/>
        </w:rPr>
        <w:t>直接對碳排放</w:t>
      </w:r>
      <w:proofErr w:type="gramEnd"/>
      <w:r w:rsidRPr="00F92104">
        <w:rPr>
          <w:rFonts w:eastAsia="標楷體" w:hAnsi="標楷體"/>
        </w:rPr>
        <w:t>徵稅或收費的機制，其如何影響企業的生產決策和投資方向，並促使技術創新和能源效率的提升。</w:t>
      </w:r>
    </w:p>
    <w:p w14:paraId="5B6DDD1D" w14:textId="77777777" w:rsidR="00F92104" w:rsidRPr="00F92104" w:rsidRDefault="00F92104" w:rsidP="00F92104">
      <w:pPr>
        <w:tabs>
          <w:tab w:val="num" w:pos="720"/>
        </w:tabs>
        <w:rPr>
          <w:rFonts w:eastAsia="標楷體" w:hAnsi="標楷體"/>
        </w:rPr>
      </w:pPr>
      <w:r w:rsidRPr="00F92104">
        <w:rPr>
          <w:rFonts w:eastAsia="標楷體" w:hAnsi="標楷體"/>
        </w:rPr>
        <w:t>碳交易機制</w:t>
      </w:r>
      <w:r w:rsidRPr="00F92104">
        <w:rPr>
          <w:rFonts w:eastAsia="標楷體" w:hAnsi="標楷體"/>
        </w:rPr>
        <w:t xml:space="preserve"> </w:t>
      </w:r>
      <w:r w:rsidRPr="00F92104">
        <w:rPr>
          <w:rFonts w:eastAsia="標楷體" w:hAnsi="標楷體"/>
        </w:rPr>
        <w:t>如何透過設定排放總量上限和允許排放權的交易，為企業提供靈活</w:t>
      </w:r>
      <w:proofErr w:type="gramStart"/>
      <w:r w:rsidRPr="00F92104">
        <w:rPr>
          <w:rFonts w:eastAsia="標楷體" w:hAnsi="標楷體"/>
        </w:rPr>
        <w:t>的減排途徑</w:t>
      </w:r>
      <w:proofErr w:type="gramEnd"/>
      <w:r w:rsidRPr="00F92104">
        <w:rPr>
          <w:rFonts w:eastAsia="標楷體" w:hAnsi="標楷體"/>
        </w:rPr>
        <w:t>，並在市場力量的驅動下</w:t>
      </w:r>
      <w:proofErr w:type="gramStart"/>
      <w:r w:rsidRPr="00F92104">
        <w:rPr>
          <w:rFonts w:eastAsia="標楷體" w:hAnsi="標楷體"/>
        </w:rPr>
        <w:t>實現減排目標</w:t>
      </w:r>
      <w:proofErr w:type="gramEnd"/>
      <w:r w:rsidRPr="00F92104">
        <w:rPr>
          <w:rFonts w:eastAsia="標楷體" w:hAnsi="標楷體"/>
        </w:rPr>
        <w:t>。</w:t>
      </w:r>
    </w:p>
    <w:p w14:paraId="20C8808C" w14:textId="77777777" w:rsidR="00F92104" w:rsidRDefault="00F92104" w:rsidP="00F92104">
      <w:pPr>
        <w:tabs>
          <w:tab w:val="num" w:pos="720"/>
        </w:tabs>
        <w:rPr>
          <w:rFonts w:eastAsia="標楷體" w:hAnsi="標楷體"/>
        </w:rPr>
      </w:pPr>
      <w:proofErr w:type="gramStart"/>
      <w:r w:rsidRPr="00F92104">
        <w:rPr>
          <w:rFonts w:eastAsia="標楷體" w:hAnsi="標楷體"/>
        </w:rPr>
        <w:t>碳抵換</w:t>
      </w:r>
      <w:proofErr w:type="gramEnd"/>
      <w:r w:rsidRPr="00F92104">
        <w:rPr>
          <w:rFonts w:eastAsia="標楷體" w:hAnsi="標楷體"/>
        </w:rPr>
        <w:t>機制</w:t>
      </w:r>
      <w:r w:rsidRPr="00F92104">
        <w:rPr>
          <w:rFonts w:eastAsia="標楷體" w:hAnsi="標楷體"/>
        </w:rPr>
        <w:t xml:space="preserve"> </w:t>
      </w:r>
      <w:r w:rsidRPr="00F92104">
        <w:rPr>
          <w:rFonts w:eastAsia="標楷體" w:hAnsi="標楷體"/>
        </w:rPr>
        <w:t>作為一種補充工具，如何允許企業投資</w:t>
      </w:r>
      <w:proofErr w:type="gramStart"/>
      <w:r w:rsidRPr="00F92104">
        <w:rPr>
          <w:rFonts w:eastAsia="標楷體" w:hAnsi="標楷體"/>
        </w:rPr>
        <w:t>於減排專案</w:t>
      </w:r>
      <w:proofErr w:type="gramEnd"/>
      <w:r w:rsidRPr="00F92104">
        <w:rPr>
          <w:rFonts w:eastAsia="標楷體" w:hAnsi="標楷體"/>
        </w:rPr>
        <w:t>以抵銷其自身的排放，並探討其在促進可持續發展和引導資金流向氣候友好型活動方面的潛力與挑戰。</w:t>
      </w:r>
    </w:p>
    <w:p w14:paraId="46F83AA0" w14:textId="747556D7" w:rsidR="00F92104" w:rsidRPr="00F92104" w:rsidRDefault="006F60A1" w:rsidP="00F92104">
      <w:pPr>
        <w:tabs>
          <w:tab w:val="num" w:pos="720"/>
        </w:tabs>
        <w:rPr>
          <w:rFonts w:eastAsia="標楷體" w:hAnsi="標楷體"/>
        </w:rPr>
      </w:pPr>
      <w:r>
        <w:rPr>
          <w:rFonts w:eastAsia="標楷體" w:hAnsi="標楷體" w:hint="eastAsia"/>
        </w:rPr>
        <w:t>本報告</w:t>
      </w:r>
      <w:r w:rsidR="00F92104">
        <w:rPr>
          <w:rFonts w:eastAsia="標楷體" w:hAnsi="標楷體" w:hint="eastAsia"/>
        </w:rPr>
        <w:t>將綜合考量這些機制的優勢與侷限，並深入探討支持與反對以上政策的論點</w:t>
      </w:r>
      <w:r w:rsidR="00F92104" w:rsidRPr="00F92104">
        <w:rPr>
          <w:rFonts w:eastAsia="標楷體" w:hAnsi="標楷體"/>
        </w:rPr>
        <w:t>，並分析其在全球不同地區和行業的實施效果。最終，我們期望能對這些機制在</w:t>
      </w:r>
      <w:proofErr w:type="gramStart"/>
      <w:r w:rsidR="00F92104" w:rsidRPr="00F92104">
        <w:rPr>
          <w:rFonts w:eastAsia="標楷體" w:hAnsi="標楷體"/>
        </w:rPr>
        <w:t>全球零碳排放</w:t>
      </w:r>
      <w:proofErr w:type="gramEnd"/>
      <w:r w:rsidR="00F92104" w:rsidRPr="00F92104">
        <w:rPr>
          <w:rFonts w:eastAsia="標楷體" w:hAnsi="標楷體"/>
        </w:rPr>
        <w:t>進程中的實際貢獻提供一個清晰且深入的評估，並為未來的政策制定和實施提供有價值的參考。</w:t>
      </w:r>
    </w:p>
    <w:p w14:paraId="39B0CB6C" w14:textId="29ECDC6A" w:rsidR="00F92104" w:rsidRPr="00A172A2" w:rsidRDefault="00BA2E6D" w:rsidP="006F60A1">
      <w:pPr>
        <w:jc w:val="center"/>
        <w:rPr>
          <w:rFonts w:eastAsia="標楷體" w:hAnsi="標楷體"/>
          <w:b/>
          <w:bCs/>
          <w:sz w:val="32"/>
          <w:szCs w:val="32"/>
        </w:rPr>
      </w:pPr>
      <w:r w:rsidRPr="00A172A2">
        <w:rPr>
          <w:rFonts w:eastAsia="標楷體" w:hAnsi="標楷體" w:hint="eastAsia"/>
          <w:b/>
          <w:bCs/>
          <w:sz w:val="32"/>
          <w:szCs w:val="32"/>
        </w:rPr>
        <w:lastRenderedPageBreak/>
        <w:t>二、</w:t>
      </w:r>
      <w:r w:rsidR="00F92104" w:rsidRPr="00A172A2">
        <w:rPr>
          <w:rFonts w:eastAsia="標楷體" w:hAnsi="標楷體" w:hint="eastAsia"/>
          <w:b/>
          <w:bCs/>
          <w:sz w:val="32"/>
          <w:szCs w:val="32"/>
        </w:rPr>
        <w:t>正文</w:t>
      </w:r>
    </w:p>
    <w:p w14:paraId="000B7C71" w14:textId="54DF5955" w:rsidR="006F60A1" w:rsidRPr="006F60A1" w:rsidRDefault="006F60A1" w:rsidP="006F60A1">
      <w:pPr>
        <w:rPr>
          <w:rFonts w:eastAsia="標楷體" w:hAnsi="標楷體"/>
        </w:rPr>
      </w:pPr>
      <w:r w:rsidRPr="006F60A1">
        <w:rPr>
          <w:rFonts w:eastAsia="標楷體" w:hAnsi="標楷體"/>
        </w:rPr>
        <w:t>為了邁向</w:t>
      </w:r>
      <w:r w:rsidRPr="006F60A1">
        <w:rPr>
          <w:rFonts w:eastAsia="標楷體" w:hAnsi="標楷體"/>
        </w:rPr>
        <w:t xml:space="preserve"> </w:t>
      </w:r>
      <w:proofErr w:type="gramStart"/>
      <w:r w:rsidRPr="00A172A2">
        <w:rPr>
          <w:rFonts w:eastAsia="標楷體" w:hAnsi="標楷體"/>
        </w:rPr>
        <w:t>淨零排放</w:t>
      </w:r>
      <w:proofErr w:type="gramEnd"/>
      <w:r w:rsidRPr="006F60A1">
        <w:rPr>
          <w:rFonts w:eastAsia="標楷體" w:hAnsi="標楷體"/>
        </w:rPr>
        <w:t>，訂</w:t>
      </w:r>
      <w:proofErr w:type="gramStart"/>
      <w:r w:rsidRPr="006F60A1">
        <w:rPr>
          <w:rFonts w:eastAsia="標楷體" w:hAnsi="標楷體"/>
        </w:rPr>
        <w:t>定碳排</w:t>
      </w:r>
      <w:proofErr w:type="gramEnd"/>
      <w:r w:rsidRPr="006F60A1">
        <w:rPr>
          <w:rFonts w:eastAsia="標楷體" w:hAnsi="標楷體"/>
        </w:rPr>
        <w:t>標準、課徵碳稅與推動排放交易幾乎是各國的「直覺解方」。自</w:t>
      </w:r>
      <w:r w:rsidRPr="006F60A1">
        <w:rPr>
          <w:rFonts w:eastAsia="標楷體" w:hAnsi="標楷體"/>
        </w:rPr>
        <w:t xml:space="preserve"> 2015 </w:t>
      </w:r>
      <w:r w:rsidRPr="006F60A1">
        <w:rPr>
          <w:rFonts w:eastAsia="標楷體" w:hAnsi="標楷體"/>
        </w:rPr>
        <w:t>年巴黎協定簽署以來，世界銀行統計已有</w:t>
      </w:r>
      <w:r w:rsidRPr="006F60A1">
        <w:rPr>
          <w:rFonts w:eastAsia="標楷體" w:hAnsi="標楷體"/>
        </w:rPr>
        <w:t xml:space="preserve"> 75 </w:t>
      </w:r>
      <w:proofErr w:type="gramStart"/>
      <w:r w:rsidRPr="006F60A1">
        <w:rPr>
          <w:rFonts w:eastAsia="標楷體" w:hAnsi="標楷體"/>
        </w:rPr>
        <w:t>個</w:t>
      </w:r>
      <w:proofErr w:type="gramEnd"/>
      <w:r w:rsidRPr="006F60A1">
        <w:rPr>
          <w:rFonts w:eastAsia="標楷體" w:hAnsi="標楷體"/>
        </w:rPr>
        <w:t>國家和次國家層級導入碳稅或</w:t>
      </w:r>
      <w:r w:rsidRPr="006F60A1">
        <w:rPr>
          <w:rFonts w:eastAsia="標楷體" w:hAnsi="標楷體"/>
        </w:rPr>
        <w:t xml:space="preserve"> ETS</w:t>
      </w:r>
      <w:r w:rsidRPr="006F60A1">
        <w:rPr>
          <w:rFonts w:eastAsia="標楷體" w:hAnsi="標楷體"/>
        </w:rPr>
        <w:t>，覆蓋約四分之一的溫室氣體排放；</w:t>
      </w:r>
      <w:r w:rsidRPr="006F60A1">
        <w:rPr>
          <w:rFonts w:eastAsia="標楷體" w:hAnsi="標楷體"/>
        </w:rPr>
        <w:t xml:space="preserve">COP </w:t>
      </w:r>
      <w:r w:rsidRPr="006F60A1">
        <w:rPr>
          <w:rFonts w:eastAsia="標楷體" w:hAnsi="標楷體"/>
        </w:rPr>
        <w:t>會議亦接連推出《格拉斯哥氣候公約》、《全球甲烷承諾》等輔助條約。理論上，如此龐大的制度網應能扭轉排放曲線，然而</w:t>
      </w:r>
      <w:r w:rsidRPr="006F60A1">
        <w:rPr>
          <w:rFonts w:eastAsia="標楷體" w:hAnsi="標楷體"/>
        </w:rPr>
        <w:t xml:space="preserve"> </w:t>
      </w:r>
      <w:r w:rsidRPr="00A172A2">
        <w:rPr>
          <w:rFonts w:eastAsia="標楷體" w:hAnsi="標楷體"/>
        </w:rPr>
        <w:t xml:space="preserve">2024 </w:t>
      </w:r>
      <w:r w:rsidRPr="00A172A2">
        <w:rPr>
          <w:rFonts w:eastAsia="標楷體" w:hAnsi="標楷體"/>
        </w:rPr>
        <w:t>年《全球碳預算》顯示全球化石燃料</w:t>
      </w:r>
      <w:r w:rsidRPr="00A172A2">
        <w:rPr>
          <w:rFonts w:eastAsia="標楷體" w:hAnsi="標楷體"/>
        </w:rPr>
        <w:t xml:space="preserve"> CO</w:t>
      </w:r>
      <w:r w:rsidRPr="00A172A2">
        <w:rPr>
          <w:rFonts w:eastAsia="標楷體"/>
        </w:rPr>
        <w:t>₂</w:t>
      </w:r>
      <w:r w:rsidRPr="00A172A2">
        <w:rPr>
          <w:rFonts w:eastAsia="標楷體" w:hAnsi="標楷體"/>
        </w:rPr>
        <w:t xml:space="preserve"> </w:t>
      </w:r>
      <w:r w:rsidRPr="00A172A2">
        <w:rPr>
          <w:rFonts w:eastAsia="標楷體" w:hAnsi="標楷體"/>
        </w:rPr>
        <w:t>排放量仍再創</w:t>
      </w:r>
      <w:r w:rsidRPr="00A172A2">
        <w:rPr>
          <w:rFonts w:eastAsia="標楷體" w:hAnsi="標楷體"/>
        </w:rPr>
        <w:t xml:space="preserve"> 37.4</w:t>
      </w:r>
      <w:r w:rsidRPr="00A172A2">
        <w:rPr>
          <w:rFonts w:eastAsia="標楷體"/>
        </w:rPr>
        <w:t> </w:t>
      </w:r>
      <w:r w:rsidRPr="00A172A2">
        <w:rPr>
          <w:rFonts w:eastAsia="標楷體" w:hAnsi="標楷體"/>
        </w:rPr>
        <w:t xml:space="preserve">Gt </w:t>
      </w:r>
      <w:r w:rsidRPr="00A172A2">
        <w:rPr>
          <w:rFonts w:eastAsia="標楷體" w:hAnsi="標楷體"/>
        </w:rPr>
        <w:t>的歷史新高</w:t>
      </w:r>
      <w:r w:rsidRPr="006F60A1">
        <w:rPr>
          <w:rFonts w:eastAsia="標楷體" w:hAnsi="標楷體"/>
        </w:rPr>
        <w:t>，總排放連續第二年攀升，與</w:t>
      </w:r>
      <w:r w:rsidRPr="006F60A1">
        <w:rPr>
          <w:rFonts w:eastAsia="標楷體" w:hAnsi="標楷體"/>
        </w:rPr>
        <w:t xml:space="preserve"> 1.5</w:t>
      </w:r>
      <w:r w:rsidRPr="00A172A2">
        <w:rPr>
          <w:rFonts w:eastAsia="標楷體"/>
        </w:rPr>
        <w:t> </w:t>
      </w:r>
      <w:r w:rsidRPr="006F60A1">
        <w:rPr>
          <w:rFonts w:eastAsia="標楷體" w:hAnsi="標楷體"/>
        </w:rPr>
        <w:t>°</w:t>
      </w:r>
      <w:r w:rsidRPr="006F60A1">
        <w:rPr>
          <w:rFonts w:eastAsia="標楷體" w:hAnsi="標楷體"/>
        </w:rPr>
        <w:t xml:space="preserve">C </w:t>
      </w:r>
      <w:r w:rsidRPr="006F60A1">
        <w:rPr>
          <w:rFonts w:eastAsia="標楷體" w:hAnsi="標楷體"/>
        </w:rPr>
        <w:t>限溫軌跡日漸背離。</w:t>
      </w:r>
      <w:r w:rsidR="00EE5298" w:rsidRPr="00A172A2">
        <w:rPr>
          <w:rFonts w:eastAsia="標楷體" w:hAnsi="標楷體"/>
        </w:rPr>
        <w:fldChar w:fldCharType="begin"/>
      </w:r>
      <w:r w:rsidR="00EE5298" w:rsidRPr="00A172A2">
        <w:rPr>
          <w:rFonts w:eastAsia="標楷體" w:hAnsi="標楷體"/>
        </w:rPr>
        <w:instrText xml:space="preserve"> ADDIN ZOTERO_ITEM CSL_CITATION {"citationID":"e4vvw4w0","properties":{"formattedCitation":"({\\i{}Carbon Brief}, 2024)","plainCitation":"(Carbon Brief, 2024)","noteIndex":0},"citationItems":[{"id":11,"uris":["http://zotero.org/users/local/NGxO4FTN/items/4B8TI453"],"itemData":{"id":11,"type":"webpage","container-title":"Analysis: Global CO2 emissions will reach new high in 2024 despite slower growth","title":"Carbon Brief","issued":{"date-parts":[["2024",11,13]]}}}],"schema":"https://github.com/citation-style-language/schema/raw/master/csl-citation.json"} </w:instrText>
      </w:r>
      <w:r w:rsidR="00EE5298" w:rsidRPr="00A172A2">
        <w:rPr>
          <w:rFonts w:eastAsia="標楷體" w:hAnsi="標楷體"/>
        </w:rPr>
        <w:fldChar w:fldCharType="separate"/>
      </w:r>
      <w:r w:rsidR="00EE5298" w:rsidRPr="00A172A2">
        <w:rPr>
          <w:rFonts w:eastAsia="標楷體" w:hAnsi="標楷體"/>
        </w:rPr>
        <w:t>(Carbon Brief, 2024)</w:t>
      </w:r>
      <w:r w:rsidR="00EE5298" w:rsidRPr="00A172A2">
        <w:rPr>
          <w:rFonts w:eastAsia="標楷體" w:hAnsi="標楷體"/>
        </w:rPr>
        <w:fldChar w:fldCharType="end"/>
      </w:r>
      <w:r w:rsidR="00EE5298" w:rsidRPr="00A172A2">
        <w:rPr>
          <w:rFonts w:eastAsia="標楷體" w:hAnsi="標楷體"/>
        </w:rPr>
        <w:fldChar w:fldCharType="begin"/>
      </w:r>
      <w:r w:rsidR="00EE5298" w:rsidRPr="00A172A2">
        <w:rPr>
          <w:rFonts w:eastAsia="標楷體" w:hAnsi="標楷體"/>
        </w:rPr>
        <w:instrText xml:space="preserve"> ADDIN ZOTERO_ITEM CSL_CITATION {"citationID":"pcBlxxLe","properties":{"formattedCitation":"(University of Exeter, 2024)","plainCitation":"(University of Exeter, 2024)","noteIndex":0},"citationItems":[{"id":12,"uris":["http://zotero.org/users/local/NGxO4FTN/items/LQV6N7C7"],"itemData":{"id":12,"type":"webpage","container-title":"Fossil fuel CO2 emissions increase again in 2024","title":"Global Carbon Project","author":[{"family":"University of Exeter","given":""}],"issued":{"date-parts":[["2024",11,13]]}}}],"schema":"https://github.com/citation-style-language/schema/raw/master/csl-citation.json"} </w:instrText>
      </w:r>
      <w:r w:rsidR="00EE5298" w:rsidRPr="00A172A2">
        <w:rPr>
          <w:rFonts w:eastAsia="標楷體" w:hAnsi="標楷體"/>
        </w:rPr>
        <w:fldChar w:fldCharType="separate"/>
      </w:r>
      <w:r w:rsidR="00EE5298" w:rsidRPr="00A172A2">
        <w:rPr>
          <w:rFonts w:eastAsia="標楷體" w:hAnsi="標楷體"/>
        </w:rPr>
        <w:t>(University of Exeter, 2024)</w:t>
      </w:r>
      <w:r w:rsidR="00EE5298" w:rsidRPr="00A172A2">
        <w:rPr>
          <w:rFonts w:eastAsia="標楷體" w:hAnsi="標楷體"/>
        </w:rPr>
        <w:fldChar w:fldCharType="end"/>
      </w:r>
    </w:p>
    <w:p w14:paraId="6E57C84C" w14:textId="33D5F68E" w:rsidR="006F60A1" w:rsidRPr="006F60A1" w:rsidRDefault="006F60A1" w:rsidP="006F60A1">
      <w:pPr>
        <w:rPr>
          <w:rFonts w:eastAsia="標楷體" w:hAnsi="標楷體"/>
        </w:rPr>
      </w:pPr>
      <w:r w:rsidRPr="006F60A1">
        <w:rPr>
          <w:rFonts w:eastAsia="標楷體" w:hAnsi="標楷體"/>
        </w:rPr>
        <w:t>原因之</w:t>
      </w:r>
      <w:proofErr w:type="gramStart"/>
      <w:r w:rsidRPr="006F60A1">
        <w:rPr>
          <w:rFonts w:eastAsia="標楷體" w:hAnsi="標楷體"/>
        </w:rPr>
        <w:t>一</w:t>
      </w:r>
      <w:proofErr w:type="gramEnd"/>
      <w:r w:rsidRPr="006F60A1">
        <w:rPr>
          <w:rFonts w:eastAsia="標楷體" w:hAnsi="標楷體"/>
        </w:rPr>
        <w:t>在於</w:t>
      </w:r>
      <w:r w:rsidRPr="006F60A1">
        <w:rPr>
          <w:rFonts w:eastAsia="標楷體" w:hAnsi="標楷體"/>
        </w:rPr>
        <w:t xml:space="preserve"> </w:t>
      </w:r>
      <w:r w:rsidRPr="00A172A2">
        <w:rPr>
          <w:rFonts w:eastAsia="標楷體" w:hAnsi="標楷體"/>
        </w:rPr>
        <w:t>條約欠缺強制力與一致性</w:t>
      </w:r>
      <w:r w:rsidRPr="006F60A1">
        <w:rPr>
          <w:rFonts w:eastAsia="標楷體" w:hAnsi="標楷體"/>
        </w:rPr>
        <w:t>。巴黎協定</w:t>
      </w:r>
      <w:proofErr w:type="gramStart"/>
      <w:r w:rsidRPr="006F60A1">
        <w:rPr>
          <w:rFonts w:eastAsia="標楷體" w:hAnsi="標楷體"/>
        </w:rPr>
        <w:t>採</w:t>
      </w:r>
      <w:proofErr w:type="gramEnd"/>
      <w:r w:rsidRPr="006F60A1">
        <w:rPr>
          <w:rFonts w:eastAsia="標楷體" w:hAnsi="標楷體"/>
        </w:rPr>
        <w:t>「自訂貢獻」（</w:t>
      </w:r>
      <w:r w:rsidRPr="006F60A1">
        <w:rPr>
          <w:rFonts w:eastAsia="標楷體" w:hAnsi="標楷體"/>
        </w:rPr>
        <w:t>NDCs</w:t>
      </w:r>
      <w:r w:rsidRPr="006F60A1">
        <w:rPr>
          <w:rFonts w:eastAsia="標楷體" w:hAnsi="標楷體"/>
        </w:rPr>
        <w:t>）模式，沒有法律制裁機制；</w:t>
      </w:r>
      <w:proofErr w:type="gramStart"/>
      <w:r w:rsidRPr="006F60A1">
        <w:rPr>
          <w:rFonts w:eastAsia="標楷體" w:hAnsi="標楷體"/>
        </w:rPr>
        <w:t>各國碳價差異</w:t>
      </w:r>
      <w:proofErr w:type="gramEnd"/>
      <w:r w:rsidRPr="006F60A1">
        <w:rPr>
          <w:rFonts w:eastAsia="標楷體" w:hAnsi="標楷體"/>
        </w:rPr>
        <w:t>巨大，最低僅數美元、最高逾百美元，形成「拼裝車」</w:t>
      </w:r>
      <w:proofErr w:type="gramStart"/>
      <w:r w:rsidRPr="006F60A1">
        <w:rPr>
          <w:rFonts w:eastAsia="標楷體" w:hAnsi="標楷體"/>
        </w:rPr>
        <w:t>式的全球</w:t>
      </w:r>
      <w:proofErr w:type="gramEnd"/>
      <w:r w:rsidRPr="006F60A1">
        <w:rPr>
          <w:rFonts w:eastAsia="標楷體" w:hAnsi="標楷體"/>
        </w:rPr>
        <w:t>規則。跨國企業往往將</w:t>
      </w:r>
      <w:proofErr w:type="gramStart"/>
      <w:r w:rsidRPr="006F60A1">
        <w:rPr>
          <w:rFonts w:eastAsia="標楷體" w:hAnsi="標楷體"/>
        </w:rPr>
        <w:t>高碳排產能</w:t>
      </w:r>
      <w:proofErr w:type="gramEnd"/>
      <w:r w:rsidRPr="006F60A1">
        <w:rPr>
          <w:rFonts w:eastAsia="標楷體" w:hAnsi="標楷體"/>
        </w:rPr>
        <w:t>外移至環境規範較寬鬆的地區，或透過複雜的供應鏈將高碳投入品轉嫁至開發中國家，造成</w:t>
      </w:r>
      <w:r w:rsidRPr="006F60A1">
        <w:rPr>
          <w:rFonts w:eastAsia="標楷體" w:hAnsi="標楷體"/>
        </w:rPr>
        <w:t xml:space="preserve"> </w:t>
      </w:r>
      <w:r w:rsidRPr="00A172A2">
        <w:rPr>
          <w:rFonts w:eastAsia="標楷體" w:hAnsi="標楷體"/>
        </w:rPr>
        <w:t>「碳洩漏」</w:t>
      </w:r>
      <w:r w:rsidRPr="006F60A1">
        <w:rPr>
          <w:rFonts w:eastAsia="標楷體" w:hAnsi="標楷體"/>
        </w:rPr>
        <w:t>；最新學術研究指出，這類排放</w:t>
      </w:r>
      <w:proofErr w:type="gramStart"/>
      <w:r w:rsidRPr="006F60A1">
        <w:rPr>
          <w:rFonts w:eastAsia="標楷體" w:hAnsi="標楷體"/>
        </w:rPr>
        <w:t>外部化</w:t>
      </w:r>
      <w:proofErr w:type="gramEnd"/>
      <w:r w:rsidRPr="006F60A1">
        <w:rPr>
          <w:rFonts w:eastAsia="標楷體" w:hAnsi="標楷體"/>
        </w:rPr>
        <w:t>在非洲、東南亞日益顯著，稅收與夜光度資料呈</w:t>
      </w:r>
      <w:r w:rsidRPr="006F60A1">
        <w:rPr>
          <w:rFonts w:eastAsia="標楷體" w:hAnsi="標楷體"/>
        </w:rPr>
        <w:t xml:space="preserve"> 0.67 </w:t>
      </w:r>
      <w:r w:rsidRPr="006F60A1">
        <w:rPr>
          <w:rFonts w:eastAsia="標楷體" w:hAnsi="標楷體"/>
        </w:rPr>
        <w:t>的正相關，映照了「生產遷徙</w:t>
      </w:r>
      <w:proofErr w:type="gramStart"/>
      <w:r w:rsidRPr="006F60A1">
        <w:rPr>
          <w:rFonts w:eastAsia="標楷體" w:hAnsi="標楷體"/>
        </w:rPr>
        <w:t>—</w:t>
      </w:r>
      <w:proofErr w:type="gramEnd"/>
      <w:r w:rsidRPr="006F60A1">
        <w:rPr>
          <w:rFonts w:eastAsia="標楷體" w:hAnsi="標楷體"/>
        </w:rPr>
        <w:t>排放遷徙」的雙重現象。</w:t>
      </w:r>
      <w:r w:rsidR="00EE5298" w:rsidRPr="00A172A2">
        <w:rPr>
          <w:rFonts w:eastAsia="標楷體" w:hAnsi="標楷體"/>
        </w:rPr>
        <w:fldChar w:fldCharType="begin"/>
      </w:r>
      <w:r w:rsidR="00EE5298" w:rsidRPr="00A172A2">
        <w:rPr>
          <w:rFonts w:eastAsia="標楷體" w:hAnsi="標楷體"/>
        </w:rPr>
        <w:instrText xml:space="preserve"> ADDIN ZOTERO_ITEM CSL_CITATION {"citationID":"fFD6JQxF","properties":{"formattedCitation":"(University of Oxford, 2024)","plainCitation":"(University of Oxford, 2024)","noteIndex":0},"citationItems":[{"id":9,"uris":["http://zotero.org/users/local/NGxO4FTN/items/62VKWG7T"],"itemData":{"id":9,"type":"document","title":"Global Spillovers of Carbon Taxes: How Emissions 'Leak' to Developing Countries","URL":"https://oxfordtax.sbs.ox.ac.uk/article/global-spillovers-carbon-taxes-how-emissions-leak-developing-conuntries?","author":[{"family":"University of Oxford","given":""}],"issued":{"date-parts":[["2024",11,21]]}}}],"schema":"https://github.com/citation-style-language/schema/raw/master/csl-citation.json"} </w:instrText>
      </w:r>
      <w:r w:rsidR="00EE5298" w:rsidRPr="00A172A2">
        <w:rPr>
          <w:rFonts w:eastAsia="標楷體" w:hAnsi="標楷體"/>
        </w:rPr>
        <w:fldChar w:fldCharType="separate"/>
      </w:r>
      <w:r w:rsidR="00EE5298" w:rsidRPr="00A172A2">
        <w:rPr>
          <w:rFonts w:eastAsia="標楷體" w:hAnsi="標楷體"/>
        </w:rPr>
        <w:t>(University of Oxford, 2024)</w:t>
      </w:r>
      <w:r w:rsidR="00EE5298" w:rsidRPr="00A172A2">
        <w:rPr>
          <w:rFonts w:eastAsia="標楷體" w:hAnsi="標楷體"/>
        </w:rPr>
        <w:fldChar w:fldCharType="end"/>
      </w:r>
      <w:r w:rsidR="00EE5298" w:rsidRPr="00A172A2">
        <w:rPr>
          <w:rFonts w:eastAsia="標楷體" w:hAnsi="標楷體"/>
        </w:rPr>
        <w:fldChar w:fldCharType="begin"/>
      </w:r>
      <w:r w:rsidR="00EE5298" w:rsidRPr="00A172A2">
        <w:rPr>
          <w:rFonts w:eastAsia="標楷體" w:hAnsi="標楷體"/>
        </w:rPr>
        <w:instrText xml:space="preserve"> ADDIN ZOTERO_ITEM CSL_CITATION {"citationID":"PFqawFAL","properties":{"formattedCitation":"(Diego et al., 2024)","plainCitation":"(Diego et al., 2024)","noteIndex":0},"citationItems":[{"id":10,"uris":["http://zotero.org/users/local/NGxO4FTN/items/XPJXAND6"],"itemData":{"id":10,"type":"document","title":"Carbon Leakage to Developing Countries","author":[{"family":"Diego","given":"Kanzig"},{"family":"Julian","given":"Marenz"},{"family":"Marcel","given":"Olbert"}],"issued":{"date-parts":[["2024",5,17]]}}}],"schema":"https://github.com/citation-style-language/schema/raw/master/csl-citation.json"} </w:instrText>
      </w:r>
      <w:r w:rsidR="00EE5298" w:rsidRPr="00A172A2">
        <w:rPr>
          <w:rFonts w:eastAsia="標楷體" w:hAnsi="標楷體"/>
        </w:rPr>
        <w:fldChar w:fldCharType="separate"/>
      </w:r>
      <w:r w:rsidR="00EE5298" w:rsidRPr="00A172A2">
        <w:rPr>
          <w:rFonts w:eastAsia="標楷體" w:hAnsi="標楷體"/>
        </w:rPr>
        <w:t>(Diego et al., 2024)</w:t>
      </w:r>
      <w:r w:rsidR="00EE5298" w:rsidRPr="00A172A2">
        <w:rPr>
          <w:rFonts w:eastAsia="標楷體" w:hAnsi="標楷體"/>
        </w:rPr>
        <w:fldChar w:fldCharType="end"/>
      </w:r>
      <w:r>
        <w:rPr>
          <w:rFonts w:eastAsia="標楷體" w:hAnsi="標楷體" w:hint="eastAsia"/>
        </w:rPr>
        <w:t>)</w:t>
      </w:r>
    </w:p>
    <w:p w14:paraId="38ABFCD4" w14:textId="6924E86A" w:rsidR="006F60A1" w:rsidRPr="006F60A1" w:rsidRDefault="006F60A1" w:rsidP="006F60A1">
      <w:pPr>
        <w:rPr>
          <w:rFonts w:eastAsia="標楷體" w:hAnsi="標楷體"/>
        </w:rPr>
      </w:pPr>
      <w:proofErr w:type="gramStart"/>
      <w:r w:rsidRPr="006F60A1">
        <w:rPr>
          <w:rFonts w:eastAsia="標楷體" w:hAnsi="標楷體"/>
        </w:rPr>
        <w:t>此外，</w:t>
      </w:r>
      <w:proofErr w:type="gramEnd"/>
      <w:r w:rsidRPr="006F60A1">
        <w:rPr>
          <w:rFonts w:eastAsia="標楷體" w:hAnsi="標楷體"/>
        </w:rPr>
        <w:t>企業亦可能</w:t>
      </w:r>
      <w:r w:rsidRPr="006F60A1">
        <w:rPr>
          <w:rFonts w:eastAsia="標楷體" w:hAnsi="標楷體"/>
        </w:rPr>
        <w:t xml:space="preserve"> </w:t>
      </w:r>
      <w:proofErr w:type="gramStart"/>
      <w:r w:rsidRPr="00A172A2">
        <w:rPr>
          <w:rFonts w:eastAsia="標楷體" w:hAnsi="標楷體"/>
        </w:rPr>
        <w:t>鑽碳抵</w:t>
      </w:r>
      <w:proofErr w:type="gramEnd"/>
      <w:r w:rsidRPr="00A172A2">
        <w:rPr>
          <w:rFonts w:eastAsia="標楷體" w:hAnsi="標楷體"/>
        </w:rPr>
        <w:t>換與會計漏洞進行「</w:t>
      </w:r>
      <w:proofErr w:type="gramStart"/>
      <w:r w:rsidRPr="00A172A2">
        <w:rPr>
          <w:rFonts w:eastAsia="標楷體" w:hAnsi="標楷體"/>
        </w:rPr>
        <w:t>漂綠</w:t>
      </w:r>
      <w:proofErr w:type="gramEnd"/>
      <w:r w:rsidRPr="00A172A2">
        <w:rPr>
          <w:rFonts w:eastAsia="標楷體" w:hAnsi="標楷體"/>
        </w:rPr>
        <w:t>」</w:t>
      </w:r>
      <w:r w:rsidRPr="006F60A1">
        <w:rPr>
          <w:rFonts w:eastAsia="標楷體" w:hAnsi="標楷體"/>
        </w:rPr>
        <w:t>。</w:t>
      </w:r>
      <w:r w:rsidRPr="006F60A1">
        <w:rPr>
          <w:rFonts w:eastAsia="標楷體" w:hAnsi="標楷體"/>
        </w:rPr>
        <w:t xml:space="preserve">2024 </w:t>
      </w:r>
      <w:r w:rsidRPr="006F60A1">
        <w:rPr>
          <w:rFonts w:eastAsia="標楷體" w:hAnsi="標楷體"/>
        </w:rPr>
        <w:t>年調查發現，十大自願碳市場買家有七家來自化石燃料或高碳行業，使用的抵換專案中不少屬「額外性」與「永久性」存疑的「</w:t>
      </w:r>
      <w:proofErr w:type="gramStart"/>
      <w:r w:rsidRPr="006F60A1">
        <w:rPr>
          <w:rFonts w:eastAsia="標楷體" w:hAnsi="標楷體"/>
        </w:rPr>
        <w:t>廉價碳權</w:t>
      </w:r>
      <w:proofErr w:type="gramEnd"/>
      <w:r w:rsidRPr="006F60A1">
        <w:rPr>
          <w:rFonts w:eastAsia="標楷體" w:hAnsi="標楷體"/>
        </w:rPr>
        <w:t>」。</w:t>
      </w:r>
      <w:r w:rsidRPr="006F60A1">
        <w:rPr>
          <w:rFonts w:eastAsia="標楷體" w:hAnsi="標楷體"/>
        </w:rPr>
        <w:t xml:space="preserve">Delta </w:t>
      </w:r>
      <w:r w:rsidRPr="006F60A1">
        <w:rPr>
          <w:rFonts w:eastAsia="標楷體" w:hAnsi="標楷體"/>
        </w:rPr>
        <w:t>等業者便因以每噸不到</w:t>
      </w:r>
      <w:r w:rsidRPr="006F60A1">
        <w:rPr>
          <w:rFonts w:eastAsia="標楷體" w:hAnsi="標楷體"/>
        </w:rPr>
        <w:t xml:space="preserve"> 2</w:t>
      </w:r>
      <w:r w:rsidRPr="00A172A2">
        <w:rPr>
          <w:rFonts w:eastAsia="標楷體"/>
        </w:rPr>
        <w:t> </w:t>
      </w:r>
      <w:r w:rsidRPr="006F60A1">
        <w:rPr>
          <w:rFonts w:eastAsia="標楷體" w:hAnsi="標楷體"/>
        </w:rPr>
        <w:t>美元的再生能源憑證宣稱「碳中和」而遭質疑。這些</w:t>
      </w:r>
      <w:r w:rsidRPr="006F60A1">
        <w:rPr>
          <w:rFonts w:eastAsia="標楷體" w:hAnsi="標楷體"/>
        </w:rPr>
        <w:t xml:space="preserve"> </w:t>
      </w:r>
      <w:r w:rsidRPr="00A172A2">
        <w:rPr>
          <w:rFonts w:eastAsia="標楷體" w:hAnsi="標楷體"/>
        </w:rPr>
        <w:t>品質參差不齊的抵換</w:t>
      </w:r>
      <w:r w:rsidRPr="006F60A1">
        <w:rPr>
          <w:rFonts w:eastAsia="標楷體" w:hAnsi="標楷體"/>
        </w:rPr>
        <w:t xml:space="preserve"> </w:t>
      </w:r>
      <w:r w:rsidRPr="006F60A1">
        <w:rPr>
          <w:rFonts w:eastAsia="標楷體" w:hAnsi="標楷體"/>
        </w:rPr>
        <w:t>使企業在</w:t>
      </w:r>
      <w:proofErr w:type="gramStart"/>
      <w:r w:rsidRPr="006F60A1">
        <w:rPr>
          <w:rFonts w:eastAsia="標楷體" w:hAnsi="標楷體"/>
        </w:rPr>
        <w:t>帳面</w:t>
      </w:r>
      <w:proofErr w:type="gramEnd"/>
      <w:r w:rsidRPr="006F60A1">
        <w:rPr>
          <w:rFonts w:eastAsia="標楷體" w:hAnsi="標楷體"/>
        </w:rPr>
        <w:t>上達標，卻難以對全球總排放帶來實質減量。</w:t>
      </w:r>
      <w:r w:rsidR="00AA464B">
        <w:rPr>
          <w:rFonts w:eastAsia="標楷體" w:hAnsi="標楷體"/>
        </w:rPr>
        <w:fldChar w:fldCharType="begin"/>
      </w:r>
      <w:r w:rsidR="00EE5298">
        <w:rPr>
          <w:rFonts w:eastAsia="標楷體" w:hAnsi="標楷體"/>
        </w:rPr>
        <w:instrText xml:space="preserve"> ADDIN ZOTERO_ITEM CSL_CITATION {"citationID":"vzzbUskE","properties":{"formattedCitation":"(Boundless, 2025; The Guardian, 2024)","plainCitation":"(Boundless, 2025; The Guardian, 2024)","noteIndex":0},"citationItems":[{"id":7,"uris":["http://zotero.org/users/local/NGxO4FTN/items/B6RFPFFN"],"itemData":{"id":7,"type":"webpage","title":"ImpactAlpha: These Clues Can Help Smart Investors Spot Corporate Greenwashing","author":[{"family":"Boundless","given":""}],"issued":{"date-parts":[["2025",2,25]]}}},{"id":8,"uris":["http://zotero.org/users/local/NGxO4FTN/items/R66UPHBJ"],"itemData":{"id":8,"type":"webpage","title":"This article is more than 10 months old Corporations invested in carbon offsets that were </w:instrText>
      </w:r>
      <w:r w:rsidR="00EE5298">
        <w:rPr>
          <w:rFonts w:eastAsia="標楷體" w:hAnsi="標楷體"/>
        </w:rPr>
        <w:instrText>‘</w:instrText>
      </w:r>
      <w:r w:rsidR="00EE5298">
        <w:rPr>
          <w:rFonts w:eastAsia="標楷體" w:hAnsi="標楷體"/>
        </w:rPr>
        <w:instrText>likely junk</w:instrText>
      </w:r>
      <w:r w:rsidR="00EE5298">
        <w:rPr>
          <w:rFonts w:eastAsia="標楷體" w:hAnsi="標楷體"/>
        </w:rPr>
        <w:instrText>’</w:instrText>
      </w:r>
      <w:r w:rsidR="00EE5298">
        <w:rPr>
          <w:rFonts w:eastAsia="標楷體" w:hAnsi="標楷體"/>
        </w:rPr>
        <w:instrText xml:space="preserve">, analysis says","URL":"https://www.theguardian.com/environment/article/2024/may/30/corporate-carbon-offsets-credits?","author":[{"family":"The Guardian","given":""}],"issued":{"date-parts":[["2024"]]}}}],"schema":"https://github.com/citation-style-language/schema/raw/master/csl-citation.json"} </w:instrText>
      </w:r>
      <w:r w:rsidR="00AA464B">
        <w:rPr>
          <w:rFonts w:eastAsia="標楷體" w:hAnsi="標楷體"/>
        </w:rPr>
        <w:fldChar w:fldCharType="separate"/>
      </w:r>
      <w:r w:rsidR="00EE5298" w:rsidRPr="00A172A2">
        <w:rPr>
          <w:rFonts w:eastAsia="標楷體" w:hAnsi="標楷體"/>
        </w:rPr>
        <w:t>(Boundless, 2025; The Guardian, 2024)</w:t>
      </w:r>
      <w:r w:rsidR="00AA464B">
        <w:rPr>
          <w:rFonts w:eastAsia="標楷體" w:hAnsi="標楷體"/>
        </w:rPr>
        <w:fldChar w:fldCharType="end"/>
      </w:r>
    </w:p>
    <w:p w14:paraId="390F162D" w14:textId="32F14A61" w:rsidR="006F60A1" w:rsidRPr="006F60A1" w:rsidRDefault="006F60A1" w:rsidP="006F60A1">
      <w:pPr>
        <w:rPr>
          <w:rFonts w:eastAsia="標楷體" w:hAnsi="標楷體"/>
        </w:rPr>
      </w:pPr>
      <w:r w:rsidRPr="006F60A1">
        <w:rPr>
          <w:rFonts w:eastAsia="標楷體" w:hAnsi="標楷體"/>
        </w:rPr>
        <w:t>在此背景下，以下章節將分別梳理兩派觀點，並提出可行的政策強化方向。</w:t>
      </w:r>
    </w:p>
    <w:p w14:paraId="6E93EEC6" w14:textId="77777777" w:rsidR="00AC356F" w:rsidRPr="00AC356F" w:rsidRDefault="00AC356F" w:rsidP="00AC356F">
      <w:pPr>
        <w:rPr>
          <w:rFonts w:eastAsia="標楷體" w:hAnsi="標楷體"/>
          <w:b/>
          <w:bCs/>
        </w:rPr>
      </w:pPr>
      <w:r w:rsidRPr="00AC356F">
        <w:rPr>
          <w:rFonts w:eastAsia="標楷體" w:hAnsi="標楷體"/>
          <w:b/>
          <w:bCs/>
        </w:rPr>
        <w:t>碳定價與碳交易的支持論點</w:t>
      </w:r>
    </w:p>
    <w:p w14:paraId="3C3C02D0" w14:textId="77777777" w:rsidR="00AC356F" w:rsidRPr="00AC356F" w:rsidRDefault="00AC356F" w:rsidP="00AC356F">
      <w:pPr>
        <w:numPr>
          <w:ilvl w:val="0"/>
          <w:numId w:val="13"/>
        </w:numPr>
        <w:rPr>
          <w:rFonts w:eastAsia="標楷體" w:hAnsi="標楷體"/>
        </w:rPr>
      </w:pPr>
      <w:r w:rsidRPr="00AC356F">
        <w:rPr>
          <w:rFonts w:eastAsia="標楷體" w:hAnsi="標楷體"/>
          <w:b/>
          <w:bCs/>
        </w:rPr>
        <w:lastRenderedPageBreak/>
        <w:t>促進企業社會責任（</w:t>
      </w:r>
      <w:r w:rsidRPr="00AC356F">
        <w:rPr>
          <w:rFonts w:eastAsia="標楷體" w:hAnsi="標楷體"/>
          <w:b/>
          <w:bCs/>
        </w:rPr>
        <w:t>CSR</w:t>
      </w:r>
      <w:r w:rsidRPr="00AC356F">
        <w:rPr>
          <w:rFonts w:eastAsia="標楷體" w:hAnsi="標楷體"/>
          <w:b/>
          <w:bCs/>
        </w:rPr>
        <w:t>）與</w:t>
      </w:r>
      <w:r w:rsidRPr="00AC356F">
        <w:rPr>
          <w:rFonts w:eastAsia="標楷體" w:hAnsi="標楷體"/>
          <w:b/>
          <w:bCs/>
        </w:rPr>
        <w:t xml:space="preserve"> ESG </w:t>
      </w:r>
      <w:r w:rsidRPr="00AC356F">
        <w:rPr>
          <w:rFonts w:eastAsia="標楷體" w:hAnsi="標楷體"/>
          <w:b/>
          <w:bCs/>
        </w:rPr>
        <w:t>表現</w:t>
      </w:r>
    </w:p>
    <w:p w14:paraId="6544BA28" w14:textId="470A38EA" w:rsidR="00AC356F" w:rsidRPr="00AC356F" w:rsidRDefault="00AC356F" w:rsidP="00AC356F">
      <w:pPr>
        <w:numPr>
          <w:ilvl w:val="1"/>
          <w:numId w:val="13"/>
        </w:numPr>
        <w:rPr>
          <w:rFonts w:eastAsia="標楷體" w:hAnsi="標楷體"/>
        </w:rPr>
      </w:pPr>
      <w:r w:rsidRPr="00AC356F">
        <w:rPr>
          <w:rFonts w:eastAsia="標楷體" w:hAnsi="標楷體"/>
        </w:rPr>
        <w:t>截至</w:t>
      </w:r>
      <w:r w:rsidRPr="00AC356F">
        <w:rPr>
          <w:rFonts w:eastAsia="標楷體" w:hAnsi="標楷體"/>
        </w:rPr>
        <w:t xml:space="preserve"> 2024 </w:t>
      </w:r>
      <w:r w:rsidRPr="00AC356F">
        <w:rPr>
          <w:rFonts w:eastAsia="標楷體" w:hAnsi="標楷體"/>
        </w:rPr>
        <w:t>年</w:t>
      </w:r>
      <w:r w:rsidRPr="00AC356F">
        <w:rPr>
          <w:rFonts w:eastAsia="標楷體" w:hAnsi="標楷體"/>
        </w:rPr>
        <w:t xml:space="preserve"> 4 </w:t>
      </w:r>
      <w:r w:rsidRPr="00AC356F">
        <w:rPr>
          <w:rFonts w:eastAsia="標楷體" w:hAnsi="標楷體"/>
        </w:rPr>
        <w:t>月，全球已有</w:t>
      </w:r>
      <w:r w:rsidRPr="00AC356F">
        <w:rPr>
          <w:rFonts w:eastAsia="標楷體" w:hAnsi="標楷體"/>
        </w:rPr>
        <w:t xml:space="preserve"> 75 </w:t>
      </w:r>
      <w:proofErr w:type="gramStart"/>
      <w:r w:rsidRPr="00AC356F">
        <w:rPr>
          <w:rFonts w:eastAsia="標楷體" w:hAnsi="標楷體"/>
        </w:rPr>
        <w:t>個</w:t>
      </w:r>
      <w:proofErr w:type="gramEnd"/>
      <w:r w:rsidRPr="00AC356F">
        <w:rPr>
          <w:rFonts w:eastAsia="標楷體" w:hAnsi="標楷體"/>
        </w:rPr>
        <w:t>國家與次國家層級實施「碳稅或排放交易系統（</w:t>
      </w:r>
      <w:r w:rsidRPr="00AC356F">
        <w:rPr>
          <w:rFonts w:eastAsia="標楷體" w:hAnsi="標楷體"/>
        </w:rPr>
        <w:t>ETS</w:t>
      </w:r>
      <w:r w:rsidRPr="00AC356F">
        <w:rPr>
          <w:rFonts w:eastAsia="標楷體" w:hAnsi="標楷體"/>
        </w:rPr>
        <w:t>）」，覆蓋約</w:t>
      </w:r>
      <w:r w:rsidRPr="00AC356F">
        <w:rPr>
          <w:rFonts w:eastAsia="標楷體" w:hAnsi="標楷體"/>
        </w:rPr>
        <w:t xml:space="preserve"> 24 % </w:t>
      </w:r>
      <w:r w:rsidRPr="00AC356F">
        <w:rPr>
          <w:rFonts w:eastAsia="標楷體" w:hAnsi="標楷體"/>
        </w:rPr>
        <w:t>的溫室氣體排放量，為企業設定了可量化、可審計</w:t>
      </w:r>
      <w:proofErr w:type="gramStart"/>
      <w:r w:rsidRPr="00AC356F">
        <w:rPr>
          <w:rFonts w:eastAsia="標楷體" w:hAnsi="標楷體"/>
        </w:rPr>
        <w:t>的減排目標</w:t>
      </w:r>
      <w:proofErr w:type="gramEnd"/>
      <w:r w:rsidRPr="00AC356F">
        <w:rPr>
          <w:rFonts w:eastAsia="標楷體" w:hAnsi="標楷體"/>
        </w:rPr>
        <w:t>。</w:t>
      </w:r>
      <w:r>
        <w:rPr>
          <w:rFonts w:eastAsia="標楷體" w:hAnsi="標楷體" w:hint="eastAsia"/>
        </w:rPr>
        <w:t>(</w:t>
      </w:r>
      <w:r w:rsidR="00F23508">
        <w:fldChar w:fldCharType="begin"/>
      </w:r>
      <w:r w:rsidR="00AA464B">
        <w:instrText xml:space="preserve"> ADDIN ZOTERO_ITEM CSL_CITATION {"citationID":"lMOaa0Bk","properties":{"formattedCitation":"(WorldBank, n.d.)","plainCitation":"(WorldBank, n.d.)","noteIndex":0},"citationItems":[{"id":6,"uris":["http://zotero.org/users/local/NGxO4FTN/items/HAD8YM4D"],"itemData":{"id":6,"type":"speech","title":"World Bank Document","author":[{"family":"WorldBank","given":"Group"}]}}],"schema":"https://github.com/citation-style-language/schema/raw/master/csl-citation.json"} </w:instrText>
      </w:r>
      <w:r w:rsidR="00F23508">
        <w:fldChar w:fldCharType="separate"/>
      </w:r>
      <w:r w:rsidR="00F23508" w:rsidRPr="00F23508">
        <w:t>(WorldBank, n.d.)</w:t>
      </w:r>
      <w:r w:rsidR="00F23508">
        <w:fldChar w:fldCharType="end"/>
      </w:r>
      <w:r>
        <w:rPr>
          <w:rFonts w:eastAsia="標楷體" w:hAnsi="標楷體" w:hint="eastAsia"/>
        </w:rPr>
        <w:t>)</w:t>
      </w:r>
    </w:p>
    <w:p w14:paraId="18A66D25" w14:textId="77777777" w:rsidR="00AC356F" w:rsidRPr="00AC356F" w:rsidRDefault="00AC356F" w:rsidP="00AC356F">
      <w:pPr>
        <w:numPr>
          <w:ilvl w:val="1"/>
          <w:numId w:val="13"/>
        </w:numPr>
        <w:rPr>
          <w:rFonts w:eastAsia="標楷體" w:hAnsi="標楷體"/>
        </w:rPr>
      </w:pPr>
      <w:r w:rsidRPr="00AC356F">
        <w:rPr>
          <w:rFonts w:eastAsia="標楷體" w:hAnsi="標楷體"/>
        </w:rPr>
        <w:t>參與</w:t>
      </w:r>
      <w:r w:rsidRPr="00AC356F">
        <w:rPr>
          <w:rFonts w:eastAsia="標楷體" w:hAnsi="標楷體"/>
        </w:rPr>
        <w:t xml:space="preserve"> ETS </w:t>
      </w:r>
      <w:r w:rsidRPr="00AC356F">
        <w:rPr>
          <w:rFonts w:eastAsia="標楷體" w:hAnsi="標楷體"/>
        </w:rPr>
        <w:t>或購買</w:t>
      </w:r>
      <w:proofErr w:type="gramStart"/>
      <w:r w:rsidRPr="00AC356F">
        <w:rPr>
          <w:rFonts w:eastAsia="標楷體" w:hAnsi="標楷體"/>
        </w:rPr>
        <w:t>高品質碳權</w:t>
      </w:r>
      <w:proofErr w:type="gramEnd"/>
      <w:r w:rsidRPr="00AC356F">
        <w:rPr>
          <w:rFonts w:eastAsia="標楷體" w:hAnsi="標楷體"/>
        </w:rPr>
        <w:t>，可直接在永續報告中</w:t>
      </w:r>
      <w:proofErr w:type="gramStart"/>
      <w:r w:rsidRPr="00AC356F">
        <w:rPr>
          <w:rFonts w:eastAsia="標楷體" w:hAnsi="標楷體"/>
        </w:rPr>
        <w:t>揭露減排成效</w:t>
      </w:r>
      <w:proofErr w:type="gramEnd"/>
      <w:r w:rsidRPr="00AC356F">
        <w:rPr>
          <w:rFonts w:eastAsia="標楷體" w:hAnsi="標楷體"/>
        </w:rPr>
        <w:t>，提升品牌信任度並吸引綠色金融資金。</w:t>
      </w:r>
    </w:p>
    <w:p w14:paraId="43B5EB66" w14:textId="77777777" w:rsidR="00AC356F" w:rsidRPr="00AC356F" w:rsidRDefault="00AC356F" w:rsidP="00AC356F">
      <w:pPr>
        <w:numPr>
          <w:ilvl w:val="0"/>
          <w:numId w:val="13"/>
        </w:numPr>
        <w:rPr>
          <w:rFonts w:eastAsia="標楷體" w:hAnsi="標楷體"/>
        </w:rPr>
      </w:pPr>
      <w:proofErr w:type="gramStart"/>
      <w:r w:rsidRPr="00AC356F">
        <w:rPr>
          <w:rFonts w:eastAsia="標楷體" w:hAnsi="標楷體"/>
          <w:b/>
          <w:bCs/>
        </w:rPr>
        <w:t>彈性減排與</w:t>
      </w:r>
      <w:proofErr w:type="gramEnd"/>
      <w:r w:rsidRPr="00AC356F">
        <w:rPr>
          <w:rFonts w:eastAsia="標楷體" w:hAnsi="標楷體"/>
          <w:b/>
          <w:bCs/>
        </w:rPr>
        <w:t>成本效益</w:t>
      </w:r>
    </w:p>
    <w:p w14:paraId="3514826B" w14:textId="77777777" w:rsidR="00AC356F" w:rsidRPr="00AC356F" w:rsidRDefault="00AC356F" w:rsidP="00AC356F">
      <w:pPr>
        <w:numPr>
          <w:ilvl w:val="1"/>
          <w:numId w:val="13"/>
        </w:numPr>
        <w:rPr>
          <w:rFonts w:eastAsia="標楷體" w:hAnsi="標楷體"/>
        </w:rPr>
      </w:pPr>
      <w:r w:rsidRPr="00AC356F">
        <w:rPr>
          <w:rFonts w:eastAsia="標楷體" w:hAnsi="標楷體"/>
        </w:rPr>
        <w:t>企業可在「</w:t>
      </w:r>
      <w:proofErr w:type="gramStart"/>
      <w:r w:rsidRPr="00AC356F">
        <w:rPr>
          <w:rFonts w:eastAsia="標楷體" w:hAnsi="標楷體"/>
        </w:rPr>
        <w:t>內部減排</w:t>
      </w:r>
      <w:proofErr w:type="gramEnd"/>
      <w:r w:rsidRPr="00AC356F">
        <w:rPr>
          <w:rFonts w:eastAsia="標楷體" w:hAnsi="標楷體"/>
        </w:rPr>
        <w:t>」與「外部購買配額</w:t>
      </w:r>
      <w:r w:rsidRPr="00AC356F">
        <w:rPr>
          <w:rFonts w:eastAsia="標楷體" w:hAnsi="標楷體"/>
        </w:rPr>
        <w:t>/</w:t>
      </w:r>
      <w:r w:rsidRPr="00AC356F">
        <w:rPr>
          <w:rFonts w:eastAsia="標楷體" w:hAnsi="標楷體"/>
        </w:rPr>
        <w:t>抵換」之間尋求最具成本效益的組合，減少一次性資本支出所造成的轉型衝擊。</w:t>
      </w:r>
    </w:p>
    <w:p w14:paraId="6EDC1EF5" w14:textId="42235116" w:rsidR="00AC356F" w:rsidRPr="00AC356F" w:rsidRDefault="00AC356F" w:rsidP="00AC356F">
      <w:pPr>
        <w:numPr>
          <w:ilvl w:val="1"/>
          <w:numId w:val="13"/>
        </w:numPr>
        <w:rPr>
          <w:rFonts w:eastAsia="標楷體" w:hAnsi="標楷體"/>
        </w:rPr>
      </w:pPr>
      <w:r w:rsidRPr="00AC356F">
        <w:rPr>
          <w:rFonts w:eastAsia="標楷體" w:hAnsi="標楷體"/>
        </w:rPr>
        <w:t>以歐盟排放交易體系（</w:t>
      </w:r>
      <w:r w:rsidRPr="00AC356F">
        <w:rPr>
          <w:rFonts w:eastAsia="標楷體" w:hAnsi="標楷體"/>
        </w:rPr>
        <w:t>EU ETS</w:t>
      </w:r>
      <w:r w:rsidRPr="00AC356F">
        <w:rPr>
          <w:rFonts w:eastAsia="標楷體" w:hAnsi="標楷體"/>
        </w:rPr>
        <w:t>）為例，</w:t>
      </w:r>
      <w:r w:rsidRPr="00AC356F">
        <w:rPr>
          <w:rFonts w:eastAsia="標楷體" w:hAnsi="標楷體"/>
        </w:rPr>
        <w:t xml:space="preserve">2025 </w:t>
      </w:r>
      <w:r w:rsidRPr="00AC356F">
        <w:rPr>
          <w:rFonts w:eastAsia="標楷體" w:hAnsi="標楷體"/>
        </w:rPr>
        <w:t>年</w:t>
      </w:r>
      <w:r w:rsidRPr="00AC356F">
        <w:rPr>
          <w:rFonts w:eastAsia="標楷體" w:hAnsi="標楷體"/>
        </w:rPr>
        <w:t xml:space="preserve"> 4 </w:t>
      </w:r>
      <w:r w:rsidRPr="00AC356F">
        <w:rPr>
          <w:rFonts w:eastAsia="標楷體" w:hAnsi="標楷體"/>
        </w:rPr>
        <w:t>月</w:t>
      </w:r>
      <w:r w:rsidRPr="00AC356F">
        <w:rPr>
          <w:rFonts w:eastAsia="標楷體" w:hAnsi="標楷體"/>
        </w:rPr>
        <w:t xml:space="preserve"> EUA </w:t>
      </w:r>
      <w:proofErr w:type="gramStart"/>
      <w:r w:rsidRPr="00AC356F">
        <w:rPr>
          <w:rFonts w:eastAsia="標楷體" w:hAnsi="標楷體"/>
        </w:rPr>
        <w:t>均價維持</w:t>
      </w:r>
      <w:proofErr w:type="gramEnd"/>
      <w:r w:rsidRPr="00AC356F">
        <w:rPr>
          <w:rFonts w:eastAsia="標楷體" w:hAnsi="標楷體"/>
        </w:rPr>
        <w:t>在每噸</w:t>
      </w:r>
      <w:r w:rsidRPr="00AC356F">
        <w:rPr>
          <w:rFonts w:eastAsia="標楷體" w:hAnsi="標楷體"/>
        </w:rPr>
        <w:t xml:space="preserve"> 75</w:t>
      </w:r>
      <w:proofErr w:type="gramStart"/>
      <w:r w:rsidRPr="00AC356F">
        <w:rPr>
          <w:rFonts w:eastAsia="標楷體" w:hAnsi="標楷體"/>
        </w:rPr>
        <w:t>–</w:t>
      </w:r>
      <w:proofErr w:type="gramEnd"/>
      <w:r w:rsidRPr="00AC356F">
        <w:rPr>
          <w:rFonts w:eastAsia="標楷體" w:hAnsi="標楷體"/>
        </w:rPr>
        <w:t xml:space="preserve">80 </w:t>
      </w:r>
      <w:r w:rsidRPr="00AC356F">
        <w:rPr>
          <w:rFonts w:eastAsia="標楷體" w:hAnsi="標楷體"/>
        </w:rPr>
        <w:t>歐元區間，形成明確的碳價格訊號，讓投資部門能據此計算回收期並提前部署低碳技術</w:t>
      </w:r>
      <w:r w:rsidR="00E44330">
        <w:rPr>
          <w:rFonts w:eastAsia="標楷體" w:hAnsi="標楷體"/>
        </w:rPr>
        <w:fldChar w:fldCharType="begin"/>
      </w:r>
      <w:r w:rsidR="00E44330">
        <w:rPr>
          <w:rFonts w:eastAsia="標楷體" w:hAnsi="標楷體"/>
        </w:rPr>
        <w:instrText xml:space="preserve"> ADDIN ZOTERO_ITEM CSL_CITATION {"citationID":"J39LE5ZN","properties":{"formattedCitation":"({\\i{}EU Carbon Permits}, 2023)","plainCitation":"(EU Carbon Permits, 2023)","noteIndex":0},"citationItems":[{"id":1,"uris":["http://zotero.org/users/local/NGxO4FTN/items/I4Q74VGT"],"itemData":{"id":1,"type":"personal_communication","language":"EN","title":"EU Carbon Permits","URL":"https://tradingeconomics.com/commodity/carbon","issued":{"date-parts":[["2023"]]}}}],"schema":"https://github.com/citation-style-language/schema/raw/master/csl-citation.json"} </w:instrText>
      </w:r>
      <w:r w:rsidR="00E44330">
        <w:rPr>
          <w:rFonts w:eastAsia="標楷體" w:hAnsi="標楷體"/>
        </w:rPr>
        <w:fldChar w:fldCharType="separate"/>
      </w:r>
      <w:r w:rsidR="00C349AE" w:rsidRPr="00C349AE">
        <w:t>(</w:t>
      </w:r>
      <w:r w:rsidR="00C349AE" w:rsidRPr="00C349AE">
        <w:rPr>
          <w:i/>
          <w:iCs/>
        </w:rPr>
        <w:t>EU Carbon Permits</w:t>
      </w:r>
      <w:r w:rsidR="00C349AE" w:rsidRPr="00C349AE">
        <w:t>, 2023)</w:t>
      </w:r>
      <w:r w:rsidR="00E44330">
        <w:rPr>
          <w:rFonts w:eastAsia="標楷體" w:hAnsi="標楷體"/>
        </w:rPr>
        <w:fldChar w:fldCharType="end"/>
      </w:r>
      <w:r w:rsidRPr="00AC356F">
        <w:rPr>
          <w:rFonts w:eastAsia="標楷體" w:hAnsi="標楷體"/>
        </w:rPr>
        <w:t>。</w:t>
      </w:r>
    </w:p>
    <w:p w14:paraId="0D9C7FEA" w14:textId="77777777" w:rsidR="00AC356F" w:rsidRPr="00AC356F" w:rsidRDefault="00AC356F" w:rsidP="00AC356F">
      <w:pPr>
        <w:numPr>
          <w:ilvl w:val="0"/>
          <w:numId w:val="13"/>
        </w:numPr>
        <w:rPr>
          <w:rFonts w:eastAsia="標楷體" w:hAnsi="標楷體"/>
        </w:rPr>
      </w:pPr>
      <w:r w:rsidRPr="00AC356F">
        <w:rPr>
          <w:rFonts w:eastAsia="標楷體" w:hAnsi="標楷體"/>
          <w:b/>
          <w:bCs/>
        </w:rPr>
        <w:t>激勵技術創新與能源效率提升</w:t>
      </w:r>
    </w:p>
    <w:p w14:paraId="47E3DE7E" w14:textId="77777777" w:rsidR="00AC356F" w:rsidRPr="00AC356F" w:rsidRDefault="00AC356F" w:rsidP="00AC356F">
      <w:pPr>
        <w:numPr>
          <w:ilvl w:val="1"/>
          <w:numId w:val="13"/>
        </w:numPr>
        <w:rPr>
          <w:rFonts w:eastAsia="標楷體" w:hAnsi="標楷體"/>
        </w:rPr>
      </w:pPr>
      <w:r w:rsidRPr="00AC356F">
        <w:rPr>
          <w:rFonts w:eastAsia="標楷體" w:hAnsi="標楷體"/>
        </w:rPr>
        <w:t>積極投資於再生能源、碳捕捉與封存（</w:t>
      </w:r>
      <w:r w:rsidRPr="00AC356F">
        <w:rPr>
          <w:rFonts w:eastAsia="標楷體" w:hAnsi="標楷體"/>
        </w:rPr>
        <w:t>CCS</w:t>
      </w:r>
      <w:r w:rsidRPr="00AC356F">
        <w:rPr>
          <w:rFonts w:eastAsia="標楷體" w:hAnsi="標楷體"/>
        </w:rPr>
        <w:t>）、電氣化製程等創新技術的企業，可透過「節省的排放量」或「超額配額」獲得交易收益，強化研發動力。</w:t>
      </w:r>
    </w:p>
    <w:p w14:paraId="0BDB613E" w14:textId="05C008A5" w:rsidR="00AC356F" w:rsidRPr="00AC356F" w:rsidRDefault="00AC356F" w:rsidP="00AC356F">
      <w:pPr>
        <w:numPr>
          <w:ilvl w:val="1"/>
          <w:numId w:val="13"/>
        </w:numPr>
        <w:rPr>
          <w:rFonts w:eastAsia="標楷體" w:hAnsi="標楷體"/>
        </w:rPr>
      </w:pPr>
      <w:r w:rsidRPr="00A172A2">
        <w:rPr>
          <w:rFonts w:eastAsia="標楷體" w:hAnsi="標楷體"/>
        </w:rPr>
        <w:t>案例</w:t>
      </w:r>
      <w:r w:rsidRPr="00AC356F">
        <w:rPr>
          <w:rFonts w:eastAsia="標楷體" w:hAnsi="標楷體"/>
        </w:rPr>
        <w:t>：中國國家碳市場已宣示</w:t>
      </w:r>
      <w:r w:rsidRPr="00AC356F">
        <w:rPr>
          <w:rFonts w:eastAsia="標楷體" w:hAnsi="標楷體"/>
        </w:rPr>
        <w:t xml:space="preserve"> 2024 </w:t>
      </w:r>
      <w:r w:rsidRPr="00AC356F">
        <w:rPr>
          <w:rFonts w:eastAsia="標楷體" w:hAnsi="標楷體"/>
        </w:rPr>
        <w:t>年擴大至鋼鐵、</w:t>
      </w:r>
      <w:proofErr w:type="gramStart"/>
      <w:r w:rsidRPr="00AC356F">
        <w:rPr>
          <w:rFonts w:eastAsia="標楷體" w:hAnsi="標楷體"/>
        </w:rPr>
        <w:t>水泥與鋁業</w:t>
      </w:r>
      <w:proofErr w:type="gramEnd"/>
      <w:r w:rsidRPr="00AC356F">
        <w:rPr>
          <w:rFonts w:eastAsia="標楷體" w:hAnsi="標楷體"/>
        </w:rPr>
        <w:t>，納管企業將由</w:t>
      </w:r>
      <w:r w:rsidRPr="00AC356F">
        <w:rPr>
          <w:rFonts w:eastAsia="標楷體" w:hAnsi="標楷體"/>
        </w:rPr>
        <w:t xml:space="preserve"> 2,200 </w:t>
      </w:r>
      <w:r w:rsidRPr="00AC356F">
        <w:rPr>
          <w:rFonts w:eastAsia="標楷體" w:hAnsi="標楷體"/>
        </w:rPr>
        <w:t>家增至逾</w:t>
      </w:r>
      <w:r w:rsidRPr="00AC356F">
        <w:rPr>
          <w:rFonts w:eastAsia="標楷體" w:hAnsi="標楷體"/>
        </w:rPr>
        <w:t xml:space="preserve"> 3,700 </w:t>
      </w:r>
      <w:r w:rsidRPr="00AC356F">
        <w:rPr>
          <w:rFonts w:eastAsia="標楷體" w:hAnsi="標楷體"/>
        </w:rPr>
        <w:t>家，覆蓋量提升到全國排放的</w:t>
      </w:r>
      <w:r w:rsidRPr="00AC356F">
        <w:rPr>
          <w:rFonts w:eastAsia="標楷體" w:hAnsi="標楷體"/>
        </w:rPr>
        <w:t xml:space="preserve"> 60 %</w:t>
      </w:r>
      <w:r w:rsidRPr="00AC356F">
        <w:rPr>
          <w:rFonts w:eastAsia="標楷體" w:hAnsi="標楷體"/>
        </w:rPr>
        <w:t>以上，官方預估可為這三大高耗能產業釋出</w:t>
      </w:r>
      <w:r w:rsidRPr="00AC356F">
        <w:rPr>
          <w:rFonts w:eastAsia="標楷體" w:hAnsi="標楷體"/>
        </w:rPr>
        <w:t xml:space="preserve"> 400</w:t>
      </w:r>
      <w:proofErr w:type="gramStart"/>
      <w:r w:rsidRPr="00AC356F">
        <w:rPr>
          <w:rFonts w:eastAsia="標楷體" w:hAnsi="標楷體"/>
        </w:rPr>
        <w:t>–</w:t>
      </w:r>
      <w:proofErr w:type="gramEnd"/>
      <w:r w:rsidRPr="00AC356F">
        <w:rPr>
          <w:rFonts w:eastAsia="標楷體" w:hAnsi="標楷體"/>
        </w:rPr>
        <w:t xml:space="preserve">500 </w:t>
      </w:r>
      <w:r w:rsidRPr="00AC356F">
        <w:rPr>
          <w:rFonts w:eastAsia="標楷體" w:hAnsi="標楷體"/>
        </w:rPr>
        <w:t>億人民幣的</w:t>
      </w:r>
      <w:proofErr w:type="gramStart"/>
      <w:r w:rsidRPr="00AC356F">
        <w:rPr>
          <w:rFonts w:eastAsia="標楷體" w:hAnsi="標楷體"/>
        </w:rPr>
        <w:t>節能減排投資</w:t>
      </w:r>
      <w:proofErr w:type="gramEnd"/>
      <w:r w:rsidRPr="00AC356F">
        <w:rPr>
          <w:rFonts w:eastAsia="標楷體" w:hAnsi="標楷體"/>
        </w:rPr>
        <w:t>需求。</w:t>
      </w:r>
      <w:r w:rsidR="0003222F">
        <w:fldChar w:fldCharType="begin"/>
      </w:r>
      <w:r w:rsidR="0003222F">
        <w:instrText xml:space="preserve"> ADDIN ZOTERO_ITEM CSL_CITATION {"citationID":"lRe5D4mg","properties":{"formattedCitation":"(Reuters, 2025)","plainCitation":"(Reuters, 2025)","noteIndex":0},"citationItems":[{"id":5,"uris":["http://zotero.org/users/local/NGxO4FTN/items/HIA3YAP3"],"itemData":{"id":5,"type":"article-newspaper","title":"China to expand carbon trading market to steel, cement and aluminium","author":[{"family":"Reuters","given":""}],"issued":{"date-parts":[["2025",3,26]]}}}],"schema":"https://github.com/citation-style-language/schema/raw/master/csl-citation.json"} </w:instrText>
      </w:r>
      <w:r w:rsidR="0003222F">
        <w:fldChar w:fldCharType="separate"/>
      </w:r>
      <w:r w:rsidR="0003222F" w:rsidRPr="0003222F">
        <w:t>(Reuters, 2025)</w:t>
      </w:r>
      <w:r w:rsidR="0003222F">
        <w:fldChar w:fldCharType="end"/>
      </w:r>
    </w:p>
    <w:p w14:paraId="7A2E365A" w14:textId="77777777" w:rsidR="00AC356F" w:rsidRPr="00AC356F" w:rsidRDefault="00AC356F" w:rsidP="00AC356F">
      <w:pPr>
        <w:numPr>
          <w:ilvl w:val="0"/>
          <w:numId w:val="13"/>
        </w:numPr>
        <w:rPr>
          <w:rFonts w:eastAsia="標楷體" w:hAnsi="標楷體"/>
        </w:rPr>
      </w:pPr>
      <w:r w:rsidRPr="00AC356F">
        <w:rPr>
          <w:rFonts w:eastAsia="標楷體" w:hAnsi="標楷體"/>
          <w:b/>
          <w:bCs/>
        </w:rPr>
        <w:lastRenderedPageBreak/>
        <w:t>推動供應</w:t>
      </w:r>
      <w:proofErr w:type="gramStart"/>
      <w:r w:rsidRPr="00AC356F">
        <w:rPr>
          <w:rFonts w:eastAsia="標楷體" w:hAnsi="標楷體"/>
          <w:b/>
          <w:bCs/>
        </w:rPr>
        <w:t>鏈減碳</w:t>
      </w:r>
      <w:proofErr w:type="gramEnd"/>
      <w:r w:rsidRPr="00AC356F">
        <w:rPr>
          <w:rFonts w:eastAsia="標楷體" w:hAnsi="標楷體"/>
          <w:b/>
          <w:bCs/>
        </w:rPr>
        <w:t>與全球碳價格趨同</w:t>
      </w:r>
    </w:p>
    <w:p w14:paraId="59E808B0" w14:textId="77777777" w:rsidR="00AC356F" w:rsidRPr="00AC356F" w:rsidRDefault="00AC356F" w:rsidP="00AC356F">
      <w:pPr>
        <w:numPr>
          <w:ilvl w:val="1"/>
          <w:numId w:val="13"/>
        </w:numPr>
        <w:rPr>
          <w:rFonts w:eastAsia="標楷體" w:hAnsi="標楷體"/>
        </w:rPr>
      </w:pPr>
      <w:r w:rsidRPr="00AC356F">
        <w:rPr>
          <w:rFonts w:eastAsia="標楷體" w:hAnsi="標楷體"/>
        </w:rPr>
        <w:t>歐盟自</w:t>
      </w:r>
      <w:r w:rsidRPr="00AC356F">
        <w:rPr>
          <w:rFonts w:eastAsia="標楷體" w:hAnsi="標楷體"/>
        </w:rPr>
        <w:t xml:space="preserve"> 2026 </w:t>
      </w:r>
      <w:r w:rsidRPr="00AC356F">
        <w:rPr>
          <w:rFonts w:eastAsia="標楷體" w:hAnsi="標楷體"/>
        </w:rPr>
        <w:t>年起分階段實施「碳邊境調整機制（</w:t>
      </w:r>
      <w:r w:rsidRPr="00AC356F">
        <w:rPr>
          <w:rFonts w:eastAsia="標楷體" w:hAnsi="標楷體"/>
        </w:rPr>
        <w:t>CBAM</w:t>
      </w:r>
      <w:r w:rsidRPr="00AC356F">
        <w:rPr>
          <w:rFonts w:eastAsia="標楷體" w:hAnsi="標楷體"/>
        </w:rPr>
        <w:t>）」，若英國與</w:t>
      </w:r>
      <w:r w:rsidRPr="00AC356F">
        <w:rPr>
          <w:rFonts w:eastAsia="標楷體" w:hAnsi="標楷體"/>
        </w:rPr>
        <w:t xml:space="preserve"> EU ETS </w:t>
      </w:r>
      <w:r w:rsidRPr="00AC356F">
        <w:rPr>
          <w:rFonts w:eastAsia="標楷體" w:hAnsi="標楷體"/>
        </w:rPr>
        <w:t>能順利「市場連結」，將進一步拉高低碳產品在跨區貿易中的競爭優勢，並迫使第三國出口商披露與支付隱含碳成本。</w:t>
      </w:r>
    </w:p>
    <w:p w14:paraId="38629E8E" w14:textId="77777777" w:rsidR="00AC356F" w:rsidRPr="00AC356F" w:rsidRDefault="00AC356F" w:rsidP="00AC356F">
      <w:pPr>
        <w:rPr>
          <w:rFonts w:eastAsia="標楷體" w:hAnsi="標楷體"/>
          <w:b/>
          <w:bCs/>
        </w:rPr>
      </w:pPr>
      <w:r w:rsidRPr="00AC356F">
        <w:rPr>
          <w:rFonts w:eastAsia="標楷體" w:hAnsi="標楷體"/>
          <w:b/>
          <w:bCs/>
        </w:rPr>
        <w:t>主要反對論點與挑戰</w:t>
      </w:r>
    </w:p>
    <w:p w14:paraId="3A6976F1" w14:textId="77777777" w:rsidR="00AC356F" w:rsidRPr="00AC356F" w:rsidRDefault="00AC356F" w:rsidP="00AC356F">
      <w:pPr>
        <w:numPr>
          <w:ilvl w:val="0"/>
          <w:numId w:val="14"/>
        </w:numPr>
        <w:rPr>
          <w:rFonts w:eastAsia="標楷體" w:hAnsi="標楷體"/>
        </w:rPr>
      </w:pPr>
      <w:r w:rsidRPr="00AC356F">
        <w:rPr>
          <w:rFonts w:eastAsia="標楷體" w:hAnsi="標楷體"/>
          <w:b/>
          <w:bCs/>
        </w:rPr>
        <w:t>碳洩漏與產業遷移風險</w:t>
      </w:r>
    </w:p>
    <w:p w14:paraId="7B04CEB8" w14:textId="73420E33" w:rsidR="00AC356F" w:rsidRDefault="00AC356F" w:rsidP="00AC356F">
      <w:pPr>
        <w:numPr>
          <w:ilvl w:val="1"/>
          <w:numId w:val="14"/>
        </w:numPr>
        <w:rPr>
          <w:rFonts w:eastAsia="標楷體" w:hAnsi="標楷體"/>
        </w:rPr>
      </w:pPr>
      <w:r w:rsidRPr="00AC356F">
        <w:rPr>
          <w:rFonts w:eastAsia="標楷體" w:hAnsi="標楷體"/>
        </w:rPr>
        <w:t>早期研究曾憂慮</w:t>
      </w:r>
      <w:proofErr w:type="gramStart"/>
      <w:r w:rsidRPr="00AC356F">
        <w:rPr>
          <w:rFonts w:eastAsia="標楷體" w:hAnsi="標楷體"/>
        </w:rPr>
        <w:t>高碳排產業</w:t>
      </w:r>
      <w:proofErr w:type="gramEnd"/>
      <w:r w:rsidRPr="00AC356F">
        <w:rPr>
          <w:rFonts w:eastAsia="標楷體" w:hAnsi="標楷體"/>
        </w:rPr>
        <w:t>外移至氣候規範較鬆散的地區，但最新實證對歐盟製造業「整廠搬遷」並未觀察到顯著趨勢；真正常見的是透過全球採購</w:t>
      </w:r>
      <w:proofErr w:type="gramStart"/>
      <w:r w:rsidRPr="00AC356F">
        <w:rPr>
          <w:rFonts w:eastAsia="標楷體" w:hAnsi="標楷體"/>
        </w:rPr>
        <w:t>鏈重配高碳排</w:t>
      </w:r>
      <w:proofErr w:type="gramEnd"/>
      <w:r w:rsidRPr="00AC356F">
        <w:rPr>
          <w:rFonts w:eastAsia="標楷體" w:hAnsi="標楷體"/>
        </w:rPr>
        <w:t>投入品，導致隱含碳</w:t>
      </w:r>
      <w:proofErr w:type="gramStart"/>
      <w:r w:rsidRPr="00AC356F">
        <w:rPr>
          <w:rFonts w:eastAsia="標楷體" w:hAnsi="標楷體"/>
        </w:rPr>
        <w:t>排外部化</w:t>
      </w:r>
      <w:proofErr w:type="gramEnd"/>
      <w:r w:rsidRPr="00AC356F">
        <w:rPr>
          <w:rFonts w:eastAsia="標楷體" w:hAnsi="標楷體"/>
        </w:rPr>
        <w:t>。</w:t>
      </w:r>
      <w:r>
        <w:rPr>
          <w:rFonts w:eastAsia="標楷體" w:hAnsi="標楷體" w:hint="eastAsia"/>
        </w:rPr>
        <w:t>(</w:t>
      </w:r>
      <w:r>
        <w:rPr>
          <w:rFonts w:eastAsia="標楷體" w:hAnsi="標楷體" w:hint="eastAsia"/>
        </w:rPr>
        <w:t>資料來源</w:t>
      </w:r>
      <w:r>
        <w:rPr>
          <w:rFonts w:eastAsia="標楷體" w:hAnsi="標楷體" w:hint="eastAsia"/>
        </w:rPr>
        <w:t>:ScienceDirect</w:t>
      </w:r>
    </w:p>
    <w:p w14:paraId="1E75DCE1" w14:textId="5F9601F2" w:rsidR="00AC356F" w:rsidRPr="00AC356F" w:rsidRDefault="0003222F" w:rsidP="00AC356F">
      <w:pPr>
        <w:ind w:left="1440"/>
        <w:rPr>
          <w:rFonts w:eastAsia="標楷體" w:hAnsi="標楷體"/>
        </w:rPr>
      </w:pPr>
      <w:r>
        <w:fldChar w:fldCharType="begin"/>
      </w:r>
      <w:r>
        <w:instrText xml:space="preserve"> ADDIN ZOTERO_ITEM CSL_CITATION {"citationID":"0Ztfv334","properties":{"formattedCitation":"(Kuusi &amp; Wang, 2024)","plainCitation":"(Kuusi &amp; Wang, 2024)","noteIndex":0},"citationItems":[{"id":4,"uris":["http://zotero.org/users/local/NGxO4FTN/items/2JFKUW2J"],"itemData":{"id":4,"type":"article-journal","container-title":"Trade flows, carbon leakage, and the EU Emissions Trading System","issue":"107556","title":"Energy Economics","volume":"volumn134","author":[{"family":"Kuusi","given":"Tero"},{"family":"Wang","given":"Maria"}],"issued":{"date-parts":[["2024",6]]}}}],"schema":"https://github.com/citation-style-language/schema/raw/master/csl-citation.json"} </w:instrText>
      </w:r>
      <w:r>
        <w:fldChar w:fldCharType="separate"/>
      </w:r>
      <w:r w:rsidRPr="0003222F">
        <w:t>(Kuusi &amp; Wang, 2024)</w:t>
      </w:r>
      <w:r>
        <w:fldChar w:fldCharType="end"/>
      </w:r>
    </w:p>
    <w:p w14:paraId="027B5A84" w14:textId="77777777" w:rsidR="00AC356F" w:rsidRPr="00AC356F" w:rsidRDefault="00AC356F" w:rsidP="00AC356F">
      <w:pPr>
        <w:numPr>
          <w:ilvl w:val="1"/>
          <w:numId w:val="14"/>
        </w:numPr>
        <w:rPr>
          <w:rFonts w:eastAsia="標楷體" w:hAnsi="標楷體"/>
        </w:rPr>
      </w:pPr>
      <w:r w:rsidRPr="00AC356F">
        <w:rPr>
          <w:rFonts w:eastAsia="標楷體" w:hAnsi="標楷體"/>
        </w:rPr>
        <w:t>若僅以「境內排放」衡量，不計進口隱含碳，便可能出現「已開發國家</w:t>
      </w:r>
      <w:proofErr w:type="gramStart"/>
      <w:r w:rsidRPr="00AC356F">
        <w:rPr>
          <w:rFonts w:eastAsia="標楷體" w:hAnsi="標楷體"/>
        </w:rPr>
        <w:t>看似減排成功</w:t>
      </w:r>
      <w:proofErr w:type="gramEnd"/>
      <w:r w:rsidRPr="00AC356F">
        <w:rPr>
          <w:rFonts w:eastAsia="標楷體" w:hAnsi="標楷體"/>
        </w:rPr>
        <w:t>，實則</w:t>
      </w:r>
      <w:proofErr w:type="gramStart"/>
      <w:r w:rsidRPr="00AC356F">
        <w:rPr>
          <w:rFonts w:eastAsia="標楷體" w:hAnsi="標楷體"/>
        </w:rPr>
        <w:t>將碳排</w:t>
      </w:r>
      <w:proofErr w:type="gramEnd"/>
      <w:r w:rsidRPr="00AC356F">
        <w:rPr>
          <w:rFonts w:eastAsia="標楷體" w:hAnsi="標楷體"/>
        </w:rPr>
        <w:t>壓力轉嫁至開發中國家」的扭曲現象。</w:t>
      </w:r>
    </w:p>
    <w:p w14:paraId="514C1C32" w14:textId="77777777" w:rsidR="00AC356F" w:rsidRPr="00AC356F" w:rsidRDefault="00AC356F" w:rsidP="00AC356F">
      <w:pPr>
        <w:numPr>
          <w:ilvl w:val="0"/>
          <w:numId w:val="14"/>
        </w:numPr>
        <w:rPr>
          <w:rFonts w:eastAsia="標楷體" w:hAnsi="標楷體"/>
        </w:rPr>
      </w:pPr>
      <w:r w:rsidRPr="00AC356F">
        <w:rPr>
          <w:rFonts w:eastAsia="標楷體" w:hAnsi="標楷體"/>
          <w:b/>
          <w:bCs/>
        </w:rPr>
        <w:t>巴黎協定約束力不足與執行落差</w:t>
      </w:r>
    </w:p>
    <w:p w14:paraId="6FE28461" w14:textId="77777777" w:rsidR="00AC356F" w:rsidRPr="00AC356F" w:rsidRDefault="00AC356F" w:rsidP="00AC356F">
      <w:pPr>
        <w:numPr>
          <w:ilvl w:val="1"/>
          <w:numId w:val="14"/>
        </w:numPr>
        <w:rPr>
          <w:rFonts w:eastAsia="標楷體" w:hAnsi="標楷體"/>
        </w:rPr>
      </w:pPr>
      <w:r w:rsidRPr="00AC356F">
        <w:rPr>
          <w:rFonts w:eastAsia="標楷體" w:hAnsi="標楷體"/>
        </w:rPr>
        <w:t>巴黎協定</w:t>
      </w:r>
      <w:proofErr w:type="gramStart"/>
      <w:r w:rsidRPr="00AC356F">
        <w:rPr>
          <w:rFonts w:eastAsia="標楷體" w:hAnsi="標楷體"/>
        </w:rPr>
        <w:t>採</w:t>
      </w:r>
      <w:proofErr w:type="gramEnd"/>
      <w:r w:rsidRPr="00AC356F">
        <w:rPr>
          <w:rFonts w:eastAsia="標楷體" w:hAnsi="標楷體"/>
        </w:rPr>
        <w:t>「自訂貢獻（</w:t>
      </w:r>
      <w:r w:rsidRPr="00AC356F">
        <w:rPr>
          <w:rFonts w:eastAsia="標楷體" w:hAnsi="標楷體"/>
        </w:rPr>
        <w:t>NDC</w:t>
      </w:r>
      <w:r w:rsidRPr="00AC356F">
        <w:rPr>
          <w:rFonts w:eastAsia="標楷體" w:hAnsi="標楷體"/>
        </w:rPr>
        <w:t>）」模式，缺乏強制制裁機制，</w:t>
      </w:r>
      <w:proofErr w:type="gramStart"/>
      <w:r w:rsidRPr="00AC356F">
        <w:rPr>
          <w:rFonts w:eastAsia="標楷體" w:hAnsi="標楷體"/>
        </w:rPr>
        <w:t>高碳排國家</w:t>
      </w:r>
      <w:proofErr w:type="gramEnd"/>
      <w:r w:rsidRPr="00AC356F">
        <w:rPr>
          <w:rFonts w:eastAsia="標楷體" w:hAnsi="標楷體"/>
        </w:rPr>
        <w:t>目標若設定過低或未如期強化，就難以對</w:t>
      </w:r>
      <w:proofErr w:type="gramStart"/>
      <w:r w:rsidRPr="00AC356F">
        <w:rPr>
          <w:rFonts w:eastAsia="標楷體" w:hAnsi="標楷體"/>
        </w:rPr>
        <w:t>全球溫升</w:t>
      </w:r>
      <w:proofErr w:type="gramEnd"/>
      <w:r w:rsidRPr="00AC356F">
        <w:rPr>
          <w:rFonts w:eastAsia="標楷體" w:hAnsi="標楷體"/>
        </w:rPr>
        <w:t xml:space="preserve"> 1.5 </w:t>
      </w:r>
      <w:r w:rsidRPr="00AC356F">
        <w:rPr>
          <w:rFonts w:eastAsia="標楷體" w:hAnsi="標楷體"/>
        </w:rPr>
        <w:t>°</w:t>
      </w:r>
      <w:r w:rsidRPr="00AC356F">
        <w:rPr>
          <w:rFonts w:eastAsia="標楷體" w:hAnsi="標楷體"/>
        </w:rPr>
        <w:t xml:space="preserve">C </w:t>
      </w:r>
      <w:r w:rsidRPr="00AC356F">
        <w:rPr>
          <w:rFonts w:eastAsia="標楷體" w:hAnsi="標楷體"/>
        </w:rPr>
        <w:t>目標形成閉環。</w:t>
      </w:r>
    </w:p>
    <w:p w14:paraId="5FFD6264" w14:textId="77777777" w:rsidR="00AC356F" w:rsidRPr="00AC356F" w:rsidRDefault="00AC356F" w:rsidP="00AC356F">
      <w:pPr>
        <w:numPr>
          <w:ilvl w:val="1"/>
          <w:numId w:val="14"/>
        </w:numPr>
        <w:rPr>
          <w:rFonts w:eastAsia="標楷體" w:hAnsi="標楷體"/>
        </w:rPr>
      </w:pPr>
      <w:r w:rsidRPr="00AC356F">
        <w:rPr>
          <w:rFonts w:eastAsia="標楷體" w:hAnsi="標楷體"/>
        </w:rPr>
        <w:t>為補足缺口，需推動「</w:t>
      </w:r>
      <w:proofErr w:type="gramStart"/>
      <w:r w:rsidRPr="00AC356F">
        <w:rPr>
          <w:rFonts w:eastAsia="標楷體" w:hAnsi="標楷體"/>
        </w:rPr>
        <w:t>最低碳價</w:t>
      </w:r>
      <w:proofErr w:type="gramEnd"/>
      <w:r w:rsidRPr="00AC356F">
        <w:rPr>
          <w:rFonts w:eastAsia="標楷體" w:hAnsi="標楷體"/>
        </w:rPr>
        <w:t>地板」或多邊</w:t>
      </w:r>
      <w:r w:rsidRPr="00AC356F">
        <w:rPr>
          <w:rFonts w:eastAsia="標楷體" w:hAnsi="標楷體"/>
        </w:rPr>
        <w:t xml:space="preserve"> ETS </w:t>
      </w:r>
      <w:r w:rsidRPr="00AC356F">
        <w:rPr>
          <w:rFonts w:eastAsia="標楷體" w:hAnsi="標楷體"/>
        </w:rPr>
        <w:t>連結，降低國際競爭失衡並</w:t>
      </w:r>
      <w:proofErr w:type="gramStart"/>
      <w:r w:rsidRPr="00AC356F">
        <w:rPr>
          <w:rFonts w:eastAsia="標楷體" w:hAnsi="標楷體"/>
        </w:rPr>
        <w:t>縮小碳價落差</w:t>
      </w:r>
      <w:proofErr w:type="gramEnd"/>
      <w:r w:rsidRPr="00AC356F">
        <w:rPr>
          <w:rFonts w:eastAsia="標楷體" w:hAnsi="標楷體"/>
        </w:rPr>
        <w:t>。</w:t>
      </w:r>
    </w:p>
    <w:p w14:paraId="16B47890" w14:textId="77777777" w:rsidR="00AC356F" w:rsidRPr="00AC356F" w:rsidRDefault="00AC356F" w:rsidP="00AC356F">
      <w:pPr>
        <w:numPr>
          <w:ilvl w:val="0"/>
          <w:numId w:val="14"/>
        </w:numPr>
        <w:rPr>
          <w:rFonts w:eastAsia="標楷體" w:hAnsi="標楷體"/>
        </w:rPr>
      </w:pPr>
      <w:proofErr w:type="gramStart"/>
      <w:r w:rsidRPr="00AC356F">
        <w:rPr>
          <w:rFonts w:eastAsia="標楷體" w:hAnsi="標楷體"/>
          <w:b/>
          <w:bCs/>
        </w:rPr>
        <w:t>碳抵換</w:t>
      </w:r>
      <w:proofErr w:type="gramEnd"/>
      <w:r w:rsidRPr="00AC356F">
        <w:rPr>
          <w:rFonts w:eastAsia="標楷體" w:hAnsi="標楷體"/>
          <w:b/>
          <w:bCs/>
        </w:rPr>
        <w:t>品質與「</w:t>
      </w:r>
      <w:proofErr w:type="gramStart"/>
      <w:r w:rsidRPr="00AC356F">
        <w:rPr>
          <w:rFonts w:eastAsia="標楷體" w:hAnsi="標楷體"/>
          <w:b/>
          <w:bCs/>
        </w:rPr>
        <w:t>漂綠</w:t>
      </w:r>
      <w:proofErr w:type="gramEnd"/>
      <w:r w:rsidRPr="00AC356F">
        <w:rPr>
          <w:rFonts w:eastAsia="標楷體" w:hAnsi="標楷體"/>
          <w:b/>
          <w:bCs/>
        </w:rPr>
        <w:t>」疑慮</w:t>
      </w:r>
    </w:p>
    <w:p w14:paraId="2481E4CF" w14:textId="031B4D6A" w:rsidR="00AC356F" w:rsidRPr="00AC356F" w:rsidRDefault="00AC356F" w:rsidP="00AC356F">
      <w:pPr>
        <w:numPr>
          <w:ilvl w:val="1"/>
          <w:numId w:val="14"/>
        </w:numPr>
        <w:rPr>
          <w:rFonts w:eastAsia="標楷體" w:hAnsi="標楷體"/>
        </w:rPr>
      </w:pPr>
      <w:r w:rsidRPr="00AC356F">
        <w:rPr>
          <w:rFonts w:eastAsia="標楷體" w:hAnsi="標楷體"/>
        </w:rPr>
        <w:lastRenderedPageBreak/>
        <w:t xml:space="preserve">2024 </w:t>
      </w:r>
      <w:r w:rsidRPr="00AC356F">
        <w:rPr>
          <w:rFonts w:eastAsia="標楷體" w:hAnsi="標楷體"/>
        </w:rPr>
        <w:t>年自願碳市場（</w:t>
      </w:r>
      <w:r w:rsidRPr="00AC356F">
        <w:rPr>
          <w:rFonts w:eastAsia="標楷體" w:hAnsi="標楷體"/>
        </w:rPr>
        <w:t>VCM</w:t>
      </w:r>
      <w:r w:rsidRPr="00AC356F">
        <w:rPr>
          <w:rFonts w:eastAsia="標楷體" w:hAnsi="標楷體"/>
        </w:rPr>
        <w:t>）中，前十名買家有七家為化石燃料公司；部分低價或「早已發生、不可歸因」的專案，難以證明</w:t>
      </w:r>
      <w:r w:rsidRPr="00AC356F">
        <w:rPr>
          <w:rFonts w:eastAsia="標楷體" w:hAnsi="標楷體"/>
        </w:rPr>
        <w:t xml:space="preserve"> </w:t>
      </w:r>
      <w:r w:rsidRPr="00AC356F">
        <w:rPr>
          <w:rFonts w:eastAsia="標楷體" w:hAnsi="標楷體"/>
          <w:b/>
          <w:bCs/>
        </w:rPr>
        <w:t>額外性</w:t>
      </w:r>
      <w:r w:rsidRPr="00AC356F">
        <w:rPr>
          <w:rFonts w:eastAsia="標楷體" w:hAnsi="標楷體"/>
        </w:rPr>
        <w:t xml:space="preserve"> </w:t>
      </w:r>
      <w:r w:rsidRPr="00AC356F">
        <w:rPr>
          <w:rFonts w:eastAsia="標楷體" w:hAnsi="標楷體"/>
        </w:rPr>
        <w:t>與</w:t>
      </w:r>
      <w:r w:rsidRPr="00AC356F">
        <w:rPr>
          <w:rFonts w:eastAsia="標楷體" w:hAnsi="標楷體"/>
        </w:rPr>
        <w:t xml:space="preserve"> </w:t>
      </w:r>
      <w:r w:rsidRPr="00AC356F">
        <w:rPr>
          <w:rFonts w:eastAsia="標楷體" w:hAnsi="標楷體"/>
          <w:b/>
          <w:bCs/>
        </w:rPr>
        <w:t>永久性</w:t>
      </w:r>
      <w:r w:rsidRPr="00AC356F">
        <w:rPr>
          <w:rFonts w:eastAsia="標楷體" w:hAnsi="標楷體"/>
        </w:rPr>
        <w:t>，被批評為</w:t>
      </w:r>
      <w:proofErr w:type="gramStart"/>
      <w:r w:rsidRPr="00AC356F">
        <w:rPr>
          <w:rFonts w:eastAsia="標楷體" w:hAnsi="標楷體"/>
        </w:rPr>
        <w:t>企業漂綠工具</w:t>
      </w:r>
      <w:proofErr w:type="gramEnd"/>
      <w:r w:rsidRPr="00AC356F">
        <w:rPr>
          <w:rFonts w:eastAsia="標楷體" w:hAnsi="標楷體"/>
        </w:rPr>
        <w:t>。</w:t>
      </w:r>
      <w:r w:rsidR="00C349AE">
        <w:rPr>
          <w:rFonts w:eastAsia="標楷體" w:hAnsi="標楷體"/>
        </w:rPr>
        <w:fldChar w:fldCharType="begin"/>
      </w:r>
      <w:r w:rsidR="00C349AE">
        <w:rPr>
          <w:rFonts w:eastAsia="標楷體" w:hAnsi="標楷體"/>
        </w:rPr>
        <w:instrText xml:space="preserve"> ADDIN ZOTERO_ITEM CSL_CITATION {"citationID":"nm1IrMxs","properties":{"formattedCitation":"({\\i{}Behind the Green Curtain: Big Oil and the Voluntary Carbon Market}, n.d.)","plainCitation":"(Behind the Green Curtain: Big Oil and the Voluntary Carbon Market, n.d.)","noteIndex":0},"citationItems":[{"id":3,"uris":["http://zotero.org/users/local/NGxO4FTN/items/H9ITC68I"],"itemData":{"id":3,"type":"webpage","title":"Behind the green curtain: big oil and the voluntary carbon market","URL":"https://carbonmarketwatch.org/2025/02/12/behind-the-green-curtain-big-oil-and-the-voluntary-carbon-market/"}}],"schema":"https://github.com/citation-style-language/schema/raw/master/csl-citation.json"} </w:instrText>
      </w:r>
      <w:r w:rsidR="00C349AE">
        <w:rPr>
          <w:rFonts w:eastAsia="標楷體" w:hAnsi="標楷體"/>
        </w:rPr>
        <w:fldChar w:fldCharType="separate"/>
      </w:r>
      <w:r w:rsidR="00C349AE" w:rsidRPr="00C349AE">
        <w:t>(</w:t>
      </w:r>
      <w:r w:rsidR="00C349AE" w:rsidRPr="00C349AE">
        <w:rPr>
          <w:i/>
          <w:iCs/>
        </w:rPr>
        <w:t>Behind the Green Curtain: Big Oil and the Voluntary Carbon Market</w:t>
      </w:r>
      <w:r w:rsidR="00C349AE" w:rsidRPr="00C349AE">
        <w:t>, n.d.)</w:t>
      </w:r>
      <w:r w:rsidR="00C349AE">
        <w:rPr>
          <w:rFonts w:eastAsia="標楷體" w:hAnsi="標楷體"/>
        </w:rPr>
        <w:fldChar w:fldCharType="end"/>
      </w:r>
    </w:p>
    <w:p w14:paraId="2633B164" w14:textId="29AAB040" w:rsidR="00AC356F" w:rsidRPr="00AC356F" w:rsidRDefault="00AC356F" w:rsidP="00AC356F">
      <w:pPr>
        <w:numPr>
          <w:ilvl w:val="1"/>
          <w:numId w:val="14"/>
        </w:numPr>
        <w:rPr>
          <w:rFonts w:eastAsia="標楷體" w:hAnsi="標楷體"/>
        </w:rPr>
      </w:pPr>
      <w:r w:rsidRPr="00AC356F">
        <w:rPr>
          <w:rFonts w:eastAsia="標楷體" w:hAnsi="標楷體"/>
        </w:rPr>
        <w:t>市場仍缺乏統一的計量、報告、驗證（</w:t>
      </w:r>
      <w:r w:rsidRPr="00AC356F">
        <w:rPr>
          <w:rFonts w:eastAsia="標楷體" w:hAnsi="標楷體"/>
        </w:rPr>
        <w:t>MRV</w:t>
      </w:r>
      <w:r w:rsidRPr="00AC356F">
        <w:rPr>
          <w:rFonts w:eastAsia="標楷體" w:hAnsi="標楷體"/>
        </w:rPr>
        <w:t>）標準，也存在雙重計算與資訊不對稱問題。</w:t>
      </w:r>
      <w:r w:rsidR="00E44330">
        <w:fldChar w:fldCharType="begin"/>
      </w:r>
      <w:r w:rsidR="00E44330">
        <w:instrText xml:space="preserve"> ADDIN ZOTERO_ITEM CSL_CITATION {"citationID":"AvVGlLfd","properties":{"formattedCitation":"({\\i{}What\\uc0\\u8217{}s Plaguing Voluntary Carbon Markets?}, 2024)","plainCitation":"(What’s Plaguing Voluntary Carbon Markets?, 2024)","noteIndex":0},"citationItems":[{"id":2,"uris":["http://zotero.org/users/local/NGxO4FTN/items/389IUNHQ"],"itemData":{"id":2,"type":"webpage","title":"What’s Plaguing Voluntary Carbon Markets?","URL":"https://www.csis.org/analysis/whats-plaguing-voluntary-carbon-markets","issued":{"date-parts":[["2024",2,2]]}}}],"schema":"https://github.com/citation-style-language/schema/raw/master/csl-citation.json"} </w:instrText>
      </w:r>
      <w:r w:rsidR="00E44330">
        <w:fldChar w:fldCharType="separate"/>
      </w:r>
      <w:r w:rsidR="00C349AE" w:rsidRPr="00C349AE">
        <w:t>(</w:t>
      </w:r>
      <w:r w:rsidR="00C349AE" w:rsidRPr="00C349AE">
        <w:rPr>
          <w:i/>
          <w:iCs/>
        </w:rPr>
        <w:t>What’s Plaguing Voluntary Carbon Markets?</w:t>
      </w:r>
      <w:r w:rsidR="00C349AE" w:rsidRPr="00C349AE">
        <w:t>, 2024)</w:t>
      </w:r>
      <w:r w:rsidR="00E44330">
        <w:fldChar w:fldCharType="end"/>
      </w:r>
    </w:p>
    <w:p w14:paraId="28291B27" w14:textId="77777777" w:rsidR="00AC356F" w:rsidRPr="00AC356F" w:rsidRDefault="00AC356F" w:rsidP="00AC356F">
      <w:pPr>
        <w:numPr>
          <w:ilvl w:val="0"/>
          <w:numId w:val="14"/>
        </w:numPr>
        <w:rPr>
          <w:rFonts w:eastAsia="標楷體" w:hAnsi="標楷體"/>
        </w:rPr>
      </w:pPr>
      <w:r w:rsidRPr="00AC356F">
        <w:rPr>
          <w:rFonts w:eastAsia="標楷體" w:hAnsi="標楷體"/>
          <w:b/>
          <w:bCs/>
        </w:rPr>
        <w:t>對發展中國家的潛在衝擊</w:t>
      </w:r>
    </w:p>
    <w:p w14:paraId="4C036821" w14:textId="77777777" w:rsidR="00AC356F" w:rsidRPr="00AC356F" w:rsidRDefault="00AC356F" w:rsidP="00AC356F">
      <w:pPr>
        <w:numPr>
          <w:ilvl w:val="1"/>
          <w:numId w:val="14"/>
        </w:numPr>
        <w:rPr>
          <w:rFonts w:eastAsia="標楷體" w:hAnsi="標楷體"/>
        </w:rPr>
      </w:pPr>
      <w:r w:rsidRPr="00AC356F">
        <w:rPr>
          <w:rFonts w:eastAsia="標楷體" w:hAnsi="標楷體"/>
        </w:rPr>
        <w:t>若缺乏轉型資金與技術移轉，</w:t>
      </w:r>
      <w:proofErr w:type="gramStart"/>
      <w:r w:rsidRPr="00AC356F">
        <w:rPr>
          <w:rFonts w:eastAsia="標楷體" w:hAnsi="標楷體"/>
        </w:rPr>
        <w:t>高碳排部門</w:t>
      </w:r>
      <w:proofErr w:type="gramEnd"/>
      <w:r w:rsidRPr="00AC356F">
        <w:rPr>
          <w:rFonts w:eastAsia="標楷體" w:hAnsi="標楷體"/>
        </w:rPr>
        <w:t>可能</w:t>
      </w:r>
      <w:proofErr w:type="gramStart"/>
      <w:r w:rsidRPr="00AC356F">
        <w:rPr>
          <w:rFonts w:eastAsia="標楷體" w:hAnsi="標楷體"/>
        </w:rPr>
        <w:t>因碳價</w:t>
      </w:r>
      <w:proofErr w:type="gramEnd"/>
      <w:r w:rsidRPr="00AC356F">
        <w:rPr>
          <w:rFonts w:eastAsia="標楷體" w:hAnsi="標楷體"/>
        </w:rPr>
        <w:t>上升而削弱當地就業、財政與基礎設施擴張能力。</w:t>
      </w:r>
    </w:p>
    <w:p w14:paraId="39BEA656" w14:textId="77777777" w:rsidR="00AC356F" w:rsidRPr="00AC356F" w:rsidRDefault="00AC356F" w:rsidP="00AC356F">
      <w:pPr>
        <w:numPr>
          <w:ilvl w:val="1"/>
          <w:numId w:val="14"/>
        </w:numPr>
        <w:rPr>
          <w:rFonts w:eastAsia="標楷體" w:hAnsi="標楷體"/>
        </w:rPr>
      </w:pPr>
      <w:r w:rsidRPr="00AC356F">
        <w:rPr>
          <w:rFonts w:eastAsia="標楷體" w:hAnsi="標楷體"/>
        </w:rPr>
        <w:t>需設計「公正轉型基金」</w:t>
      </w:r>
      <w:proofErr w:type="gramStart"/>
      <w:r w:rsidRPr="00AC356F">
        <w:rPr>
          <w:rFonts w:eastAsia="標楷體" w:hAnsi="標楷體"/>
        </w:rPr>
        <w:t>或將碳定價</w:t>
      </w:r>
      <w:proofErr w:type="gramEnd"/>
      <w:r w:rsidRPr="00AC356F">
        <w:rPr>
          <w:rFonts w:eastAsia="標楷體" w:hAnsi="標楷體"/>
        </w:rPr>
        <w:t>收入部分用於支持欠發達地區的綠色投資，以避免氣候政策與發展目標相衝突。</w:t>
      </w:r>
    </w:p>
    <w:p w14:paraId="61FFFDBE" w14:textId="28001C78" w:rsidR="00AC356F" w:rsidRPr="00AC356F" w:rsidRDefault="00AC356F" w:rsidP="00AC356F">
      <w:pPr>
        <w:rPr>
          <w:rFonts w:eastAsia="標楷體" w:hAnsi="標楷體"/>
        </w:rPr>
      </w:pPr>
    </w:p>
    <w:p w14:paraId="34B64D52" w14:textId="77777777" w:rsidR="00AC356F" w:rsidRPr="00AC356F" w:rsidRDefault="00AC356F" w:rsidP="00BA2E6D">
      <w:pPr>
        <w:jc w:val="center"/>
        <w:rPr>
          <w:rFonts w:eastAsia="標楷體" w:hAnsi="標楷體"/>
          <w:b/>
          <w:bCs/>
          <w:sz w:val="32"/>
          <w:szCs w:val="32"/>
        </w:rPr>
      </w:pPr>
      <w:r w:rsidRPr="00AC356F">
        <w:rPr>
          <w:rFonts w:eastAsia="標楷體" w:hAnsi="標楷體"/>
          <w:b/>
          <w:bCs/>
          <w:sz w:val="32"/>
          <w:szCs w:val="32"/>
        </w:rPr>
        <w:t>三、綜合分析</w:t>
      </w:r>
    </w:p>
    <w:p w14:paraId="2A98E737" w14:textId="454C7EA9" w:rsidR="00825C35" w:rsidRDefault="00BA2E6D" w:rsidP="00BA2E6D">
      <w:pPr>
        <w:rPr>
          <w:rFonts w:eastAsia="標楷體" w:hAnsi="標楷體"/>
        </w:rPr>
      </w:pPr>
      <w:r w:rsidRPr="00BA2E6D">
        <w:rPr>
          <w:rFonts w:eastAsia="標楷體" w:hAnsi="標楷體"/>
        </w:rPr>
        <w:t>從治理角度觀察，碳定價是目前唯一能同時提供「價格訊號、資金動員與創新誘因」的政策工具。沒有明確且可預期的碳成本，然而，現行架構</w:t>
      </w:r>
      <w:r>
        <w:rPr>
          <w:rFonts w:eastAsia="標楷體" w:hAnsi="標楷體" w:hint="eastAsia"/>
        </w:rPr>
        <w:t>過於單調缺乏配套措施，對</w:t>
      </w:r>
      <w:r w:rsidR="00B504C7">
        <w:rPr>
          <w:rFonts w:eastAsia="標楷體" w:hAnsi="標楷體" w:hint="eastAsia"/>
        </w:rPr>
        <w:t>不同國家的碳排放監管有明顯的</w:t>
      </w:r>
      <w:r w:rsidRPr="00BA2E6D">
        <w:rPr>
          <w:rFonts w:eastAsia="標楷體" w:hAnsi="標楷體"/>
        </w:rPr>
        <w:t>落差</w:t>
      </w:r>
      <w:r w:rsidR="00B504C7">
        <w:rPr>
          <w:rFonts w:eastAsia="標楷體" w:hAnsi="標楷體" w:hint="eastAsia"/>
        </w:rPr>
        <w:t>及</w:t>
      </w:r>
      <w:r w:rsidRPr="00BA2E6D">
        <w:rPr>
          <w:rFonts w:eastAsia="標楷體" w:hAnsi="標楷體"/>
        </w:rPr>
        <w:t>空洞，確實削弱了</w:t>
      </w:r>
      <w:proofErr w:type="gramStart"/>
      <w:r w:rsidRPr="00BA2E6D">
        <w:rPr>
          <w:rFonts w:eastAsia="標楷體" w:hAnsi="標楷體"/>
        </w:rPr>
        <w:t>它的減排成效</w:t>
      </w:r>
      <w:proofErr w:type="gramEnd"/>
      <w:r w:rsidR="00B504C7">
        <w:rPr>
          <w:rFonts w:eastAsia="標楷體" w:hAnsi="標楷體" w:hint="eastAsia"/>
        </w:rPr>
        <w:t>，</w:t>
      </w:r>
      <w:r w:rsidR="00825C35" w:rsidRPr="00825C35">
        <w:rPr>
          <w:rFonts w:eastAsia="標楷體" w:hAnsi="標楷體"/>
        </w:rPr>
        <w:t>我主張碳定價</w:t>
      </w:r>
      <w:r w:rsidR="00825C35">
        <w:rPr>
          <w:rFonts w:eastAsia="標楷體" w:hAnsi="標楷體" w:hint="eastAsia"/>
        </w:rPr>
        <w:t>、</w:t>
      </w:r>
      <w:r w:rsidR="00825C35" w:rsidRPr="00825C35">
        <w:rPr>
          <w:rFonts w:eastAsia="標楷體" w:hAnsi="標楷體"/>
        </w:rPr>
        <w:t>碳稅與排放交易</w:t>
      </w:r>
      <w:proofErr w:type="gramStart"/>
      <w:r w:rsidR="00825C35" w:rsidRPr="00825C35">
        <w:rPr>
          <w:rFonts w:eastAsia="標楷體" w:hAnsi="標楷體"/>
        </w:rPr>
        <w:t>）</w:t>
      </w:r>
      <w:proofErr w:type="gramEnd"/>
      <w:r w:rsidR="00825C35" w:rsidRPr="00825C35">
        <w:rPr>
          <w:rFonts w:eastAsia="標楷體" w:hAnsi="標楷體"/>
        </w:rPr>
        <w:t>必須長期存在，因為它是目前將外部成本</w:t>
      </w:r>
      <w:proofErr w:type="gramStart"/>
      <w:r w:rsidR="00825C35" w:rsidRPr="00825C35">
        <w:rPr>
          <w:rFonts w:eastAsia="標楷體" w:hAnsi="標楷體"/>
        </w:rPr>
        <w:t>內部化</w:t>
      </w:r>
      <w:proofErr w:type="gramEnd"/>
      <w:r w:rsidR="00825C35" w:rsidRPr="00825C35">
        <w:rPr>
          <w:rFonts w:eastAsia="標楷體" w:hAnsi="標楷體"/>
        </w:rPr>
        <w:t>、促進</w:t>
      </w:r>
      <w:proofErr w:type="gramStart"/>
      <w:r w:rsidR="00825C35" w:rsidRPr="00825C35">
        <w:rPr>
          <w:rFonts w:eastAsia="標楷體" w:hAnsi="標楷體"/>
        </w:rPr>
        <w:t>全球減排最</w:t>
      </w:r>
      <w:proofErr w:type="gramEnd"/>
      <w:r w:rsidR="00825C35" w:rsidRPr="00825C35">
        <w:rPr>
          <w:rFonts w:eastAsia="標楷體" w:hAnsi="標楷體"/>
        </w:rPr>
        <w:t>具效率的機制。然而，我對現行政策的批判在於：覆蓋率過低、價格差異過大、法規</w:t>
      </w:r>
      <w:r w:rsidR="00825C35">
        <w:rPr>
          <w:rFonts w:eastAsia="標楷體" w:hAnsi="標楷體" w:hint="eastAsia"/>
        </w:rPr>
        <w:t>對協議外國家</w:t>
      </w:r>
      <w:r w:rsidR="00825C35" w:rsidRPr="00825C35">
        <w:rPr>
          <w:rFonts w:eastAsia="標楷體" w:hAnsi="標楷體"/>
        </w:rPr>
        <w:t>缺乏強制力，導致碳洩漏與排放</w:t>
      </w:r>
      <w:proofErr w:type="gramStart"/>
      <w:r w:rsidR="00825C35" w:rsidRPr="00825C35">
        <w:rPr>
          <w:rFonts w:eastAsia="標楷體" w:hAnsi="標楷體"/>
        </w:rPr>
        <w:t>外部化</w:t>
      </w:r>
      <w:proofErr w:type="gramEnd"/>
      <w:r w:rsidR="00825C35" w:rsidRPr="00825C35">
        <w:rPr>
          <w:rFonts w:eastAsia="標楷體" w:hAnsi="標楷體"/>
        </w:rPr>
        <w:t>依舊嚴重</w:t>
      </w:r>
      <w:r w:rsidR="00825C35">
        <w:rPr>
          <w:rFonts w:eastAsia="標楷體" w:hAnsi="標楷體" w:hint="eastAsia"/>
        </w:rPr>
        <w:t>。以下針對三點做說明</w:t>
      </w:r>
      <w:r w:rsidR="00825C35" w:rsidRPr="00825C35">
        <w:rPr>
          <w:rFonts w:eastAsia="標楷體" w:hAnsi="標楷體"/>
        </w:rPr>
        <w:t>。</w:t>
      </w:r>
    </w:p>
    <w:p w14:paraId="07F3BF83" w14:textId="7A2594F1" w:rsidR="00825C35" w:rsidRPr="00825C35" w:rsidRDefault="00825C35" w:rsidP="00825C35">
      <w:pPr>
        <w:rPr>
          <w:rFonts w:eastAsia="標楷體" w:hAnsi="標楷體"/>
        </w:rPr>
      </w:pPr>
      <w:r w:rsidRPr="00825C35">
        <w:rPr>
          <w:rFonts w:eastAsia="標楷體" w:hAnsi="標楷體"/>
        </w:rPr>
        <w:t></w:t>
      </w:r>
      <w:r w:rsidRPr="00825C35">
        <w:rPr>
          <w:rFonts w:eastAsia="標楷體" w:hAnsi="標楷體"/>
        </w:rPr>
        <w:t xml:space="preserve">  </w:t>
      </w:r>
      <w:r w:rsidRPr="00825C35">
        <w:rPr>
          <w:rFonts w:eastAsia="標楷體" w:hAnsi="標楷體"/>
          <w:b/>
          <w:bCs/>
        </w:rPr>
        <w:t>覆蓋不足</w:t>
      </w:r>
    </w:p>
    <w:p w14:paraId="2D06A82F" w14:textId="7E3C647D" w:rsidR="00825C35" w:rsidRPr="00825C35" w:rsidRDefault="00825C35" w:rsidP="00825C35">
      <w:pPr>
        <w:numPr>
          <w:ilvl w:val="0"/>
          <w:numId w:val="16"/>
        </w:numPr>
        <w:rPr>
          <w:rFonts w:eastAsia="標楷體" w:hAnsi="標楷體"/>
        </w:rPr>
      </w:pPr>
      <w:r w:rsidRPr="00825C35">
        <w:rPr>
          <w:rFonts w:eastAsia="標楷體" w:hAnsi="標楷體"/>
        </w:rPr>
        <w:lastRenderedPageBreak/>
        <w:t>根據世界銀行</w:t>
      </w:r>
      <w:r w:rsidRPr="00825C35">
        <w:rPr>
          <w:rFonts w:eastAsia="標楷體" w:hAnsi="標楷體"/>
        </w:rPr>
        <w:t xml:space="preserve"> 2024 </w:t>
      </w:r>
      <w:r w:rsidRPr="00825C35">
        <w:rPr>
          <w:rFonts w:eastAsia="標楷體" w:hAnsi="標楷體"/>
        </w:rPr>
        <w:t>年《碳定價現況與趨勢報告》，全球僅</w:t>
      </w:r>
      <w:r w:rsidRPr="00825C35">
        <w:rPr>
          <w:rFonts w:eastAsia="標楷體" w:hAnsi="標楷體"/>
        </w:rPr>
        <w:t xml:space="preserve"> </w:t>
      </w:r>
      <w:r w:rsidRPr="00825C35">
        <w:rPr>
          <w:rFonts w:eastAsia="標楷體" w:hAnsi="標楷體"/>
          <w:b/>
          <w:bCs/>
        </w:rPr>
        <w:t>24</w:t>
      </w:r>
      <w:r w:rsidRPr="00825C35">
        <w:rPr>
          <w:rFonts w:eastAsia="標楷體"/>
          <w:b/>
          <w:bCs/>
        </w:rPr>
        <w:t> </w:t>
      </w:r>
      <w:r w:rsidRPr="00825C35">
        <w:rPr>
          <w:rFonts w:eastAsia="標楷體" w:hAnsi="標楷體"/>
          <w:b/>
          <w:bCs/>
        </w:rPr>
        <w:t xml:space="preserve">% </w:t>
      </w:r>
      <w:r w:rsidRPr="00825C35">
        <w:rPr>
          <w:rFonts w:eastAsia="標楷體" w:hAnsi="標楷體"/>
          <w:b/>
          <w:bCs/>
        </w:rPr>
        <w:t>的溫室氣體排放</w:t>
      </w:r>
      <w:r w:rsidRPr="00825C35">
        <w:rPr>
          <w:rFonts w:eastAsia="標楷體" w:hAnsi="標楷體"/>
        </w:rPr>
        <w:t xml:space="preserve"> </w:t>
      </w:r>
      <w:r w:rsidRPr="00825C35">
        <w:rPr>
          <w:rFonts w:eastAsia="標楷體" w:hAnsi="標楷體"/>
        </w:rPr>
        <w:t>被碳稅或</w:t>
      </w:r>
      <w:r w:rsidRPr="00825C35">
        <w:rPr>
          <w:rFonts w:eastAsia="標楷體" w:hAnsi="標楷體"/>
        </w:rPr>
        <w:t xml:space="preserve"> ETS </w:t>
      </w:r>
      <w:r w:rsidRPr="00825C35">
        <w:rPr>
          <w:rFonts w:eastAsia="標楷體" w:hAnsi="標楷體"/>
        </w:rPr>
        <w:t>覆蓋，且各國碳價差距從每噸數美元到逾百美元不等，削弱了價格訊號的可預測性與投資誘因。</w:t>
      </w:r>
    </w:p>
    <w:p w14:paraId="7D3C4EBE" w14:textId="77777777" w:rsidR="00825C35" w:rsidRDefault="00825C35" w:rsidP="00825C35">
      <w:pPr>
        <w:numPr>
          <w:ilvl w:val="0"/>
          <w:numId w:val="16"/>
        </w:numPr>
        <w:rPr>
          <w:rFonts w:eastAsia="標楷體" w:hAnsi="標楷體"/>
        </w:rPr>
      </w:pPr>
      <w:r w:rsidRPr="00825C35">
        <w:rPr>
          <w:rFonts w:eastAsia="標楷體" w:hAnsi="標楷體"/>
        </w:rPr>
        <w:t>同年《全球碳預算》指出，化石燃料</w:t>
      </w:r>
      <w:r w:rsidRPr="00825C35">
        <w:rPr>
          <w:rFonts w:eastAsia="標楷體" w:hAnsi="標楷體"/>
        </w:rPr>
        <w:t xml:space="preserve"> CO</w:t>
      </w:r>
      <w:r w:rsidRPr="00825C35">
        <w:rPr>
          <w:rFonts w:ascii="Cambria Math" w:eastAsia="標楷體" w:hAnsi="Cambria Math" w:cs="Cambria Math"/>
        </w:rPr>
        <w:t>₂</w:t>
      </w:r>
      <w:r w:rsidRPr="00825C35">
        <w:rPr>
          <w:rFonts w:eastAsia="標楷體" w:hAnsi="標楷體"/>
        </w:rPr>
        <w:t xml:space="preserve"> </w:t>
      </w:r>
      <w:r w:rsidRPr="00825C35">
        <w:rPr>
          <w:rFonts w:eastAsia="標楷體" w:hAnsi="標楷體"/>
        </w:rPr>
        <w:t>排放再創</w:t>
      </w:r>
      <w:r w:rsidRPr="00825C35">
        <w:rPr>
          <w:rFonts w:eastAsia="標楷體" w:hAnsi="標楷體"/>
        </w:rPr>
        <w:t xml:space="preserve"> </w:t>
      </w:r>
      <w:r w:rsidRPr="00825C35">
        <w:rPr>
          <w:rFonts w:eastAsia="標楷體" w:hAnsi="標楷體"/>
          <w:b/>
          <w:bCs/>
        </w:rPr>
        <w:t>37.4</w:t>
      </w:r>
      <w:r w:rsidRPr="00825C35">
        <w:rPr>
          <w:rFonts w:eastAsia="標楷體"/>
          <w:b/>
          <w:bCs/>
        </w:rPr>
        <w:t> </w:t>
      </w:r>
      <w:r w:rsidRPr="00825C35">
        <w:rPr>
          <w:rFonts w:eastAsia="標楷體" w:hAnsi="標楷體"/>
          <w:b/>
          <w:bCs/>
        </w:rPr>
        <w:t>Gt</w:t>
      </w:r>
      <w:r w:rsidRPr="00825C35">
        <w:rPr>
          <w:rFonts w:eastAsia="標楷體" w:hAnsi="標楷體"/>
        </w:rPr>
        <w:t xml:space="preserve"> </w:t>
      </w:r>
      <w:r w:rsidRPr="00825C35">
        <w:rPr>
          <w:rFonts w:eastAsia="標楷體" w:hAnsi="標楷體"/>
        </w:rPr>
        <w:t>歷史新高，顯示「定價拼裝車」對抑制總量效果有限。</w:t>
      </w:r>
    </w:p>
    <w:p w14:paraId="7D5EEE66" w14:textId="7C204677" w:rsidR="00825C35" w:rsidRPr="00825C35" w:rsidRDefault="00825C35" w:rsidP="00825C35">
      <w:pPr>
        <w:ind w:left="360"/>
        <w:rPr>
          <w:rFonts w:eastAsia="標楷體" w:hAnsi="標楷體"/>
        </w:rPr>
      </w:pPr>
      <w:proofErr w:type="gramStart"/>
      <w:r w:rsidRPr="00825C35">
        <w:rPr>
          <w:rFonts w:eastAsia="標楷體" w:hAnsi="標楷體"/>
          <w:b/>
          <w:bCs/>
        </w:rPr>
        <w:t>高碳排產業</w:t>
      </w:r>
      <w:proofErr w:type="gramEnd"/>
      <w:r w:rsidRPr="00825C35">
        <w:rPr>
          <w:rFonts w:eastAsia="標楷體" w:hAnsi="標楷體"/>
          <w:b/>
          <w:bCs/>
        </w:rPr>
        <w:t>外移與「協定真空地帶」</w:t>
      </w:r>
    </w:p>
    <w:p w14:paraId="3DECB105" w14:textId="07A2CBDE" w:rsidR="00825C35" w:rsidRPr="00825C35" w:rsidRDefault="00825C35" w:rsidP="00825C35">
      <w:pPr>
        <w:numPr>
          <w:ilvl w:val="0"/>
          <w:numId w:val="17"/>
        </w:numPr>
        <w:rPr>
          <w:rFonts w:eastAsia="標楷體" w:hAnsi="標楷體"/>
        </w:rPr>
      </w:pPr>
      <w:r w:rsidRPr="00825C35">
        <w:rPr>
          <w:rFonts w:eastAsia="標楷體" w:hAnsi="標楷體"/>
        </w:rPr>
        <w:t>大量鋼鐵、化工與水泥產線正轉向印度、印尼、越南等</w:t>
      </w:r>
      <w:r w:rsidRPr="00825C35">
        <w:rPr>
          <w:rFonts w:eastAsia="標楷體" w:hAnsi="標楷體"/>
        </w:rPr>
        <w:t xml:space="preserve"> </w:t>
      </w:r>
      <w:r w:rsidRPr="00825C35">
        <w:rPr>
          <w:rFonts w:eastAsia="標楷體" w:hAnsi="標楷體"/>
          <w:b/>
          <w:bCs/>
        </w:rPr>
        <w:t>未實施</w:t>
      </w:r>
      <w:proofErr w:type="gramStart"/>
      <w:r w:rsidRPr="00825C35">
        <w:rPr>
          <w:rFonts w:eastAsia="標楷體" w:hAnsi="標楷體"/>
          <w:b/>
          <w:bCs/>
        </w:rPr>
        <w:t>碳價或減排</w:t>
      </w:r>
      <w:proofErr w:type="gramEnd"/>
      <w:r w:rsidRPr="00825C35">
        <w:rPr>
          <w:rFonts w:eastAsia="標楷體" w:hAnsi="標楷體"/>
          <w:b/>
          <w:bCs/>
        </w:rPr>
        <w:t>義務較鬆散的開發中國家</w:t>
      </w:r>
      <w:r w:rsidRPr="00825C35">
        <w:rPr>
          <w:rFonts w:eastAsia="標楷體" w:hAnsi="標楷體"/>
        </w:rPr>
        <w:t>，使全球供應鏈</w:t>
      </w:r>
      <w:proofErr w:type="gramStart"/>
      <w:r w:rsidRPr="00825C35">
        <w:rPr>
          <w:rFonts w:eastAsia="標楷體" w:hAnsi="標楷體"/>
        </w:rPr>
        <w:t>隱含碳排上升</w:t>
      </w:r>
      <w:proofErr w:type="gramEnd"/>
      <w:r w:rsidRPr="00825C35">
        <w:rPr>
          <w:rFonts w:eastAsia="標楷體" w:hAnsi="標楷體"/>
        </w:rPr>
        <w:t>，稀釋已開發國家的</w:t>
      </w:r>
      <w:proofErr w:type="gramStart"/>
      <w:r w:rsidRPr="00825C35">
        <w:rPr>
          <w:rFonts w:eastAsia="標楷體" w:hAnsi="標楷體"/>
        </w:rPr>
        <w:t>帳面減排</w:t>
      </w:r>
      <w:proofErr w:type="gramEnd"/>
      <w:r w:rsidRPr="00825C35">
        <w:rPr>
          <w:rFonts w:eastAsia="標楷體" w:hAnsi="標楷體"/>
        </w:rPr>
        <w:t>。</w:t>
      </w:r>
    </w:p>
    <w:p w14:paraId="3C4FF14C" w14:textId="22A3F961" w:rsidR="00825C35" w:rsidRPr="00825C35" w:rsidRDefault="00825C35" w:rsidP="00825C35">
      <w:pPr>
        <w:numPr>
          <w:ilvl w:val="0"/>
          <w:numId w:val="17"/>
        </w:numPr>
        <w:rPr>
          <w:rFonts w:eastAsia="標楷體" w:hAnsi="標楷體"/>
        </w:rPr>
      </w:pPr>
      <w:r w:rsidRPr="00825C35">
        <w:rPr>
          <w:rFonts w:eastAsia="標楷體" w:hAnsi="標楷體"/>
        </w:rPr>
        <w:t xml:space="preserve">WTO </w:t>
      </w:r>
      <w:r w:rsidRPr="00825C35">
        <w:rPr>
          <w:rFonts w:eastAsia="標楷體" w:hAnsi="標楷體"/>
        </w:rPr>
        <w:t>亦警告，若不建立「全球</w:t>
      </w:r>
      <w:proofErr w:type="gramStart"/>
      <w:r w:rsidRPr="00825C35">
        <w:rPr>
          <w:rFonts w:eastAsia="標楷體" w:hAnsi="標楷體"/>
        </w:rPr>
        <w:t>最低碳價</w:t>
      </w:r>
      <w:proofErr w:type="gramEnd"/>
      <w:r w:rsidRPr="00825C35">
        <w:rPr>
          <w:rFonts w:eastAsia="標楷體" w:hAnsi="標楷體"/>
        </w:rPr>
        <w:t>地板」，各區域的邊境調整稅</w:t>
      </w:r>
      <w:proofErr w:type="gramStart"/>
      <w:r w:rsidRPr="00825C35">
        <w:rPr>
          <w:rFonts w:eastAsia="標楷體" w:hAnsi="標楷體"/>
        </w:rPr>
        <w:t>（</w:t>
      </w:r>
      <w:proofErr w:type="gramEnd"/>
      <w:r w:rsidRPr="00825C35">
        <w:rPr>
          <w:rFonts w:eastAsia="標楷體" w:hAnsi="標楷體"/>
        </w:rPr>
        <w:t>如</w:t>
      </w:r>
      <w:r w:rsidRPr="00825C35">
        <w:rPr>
          <w:rFonts w:eastAsia="標楷體" w:hAnsi="標楷體"/>
        </w:rPr>
        <w:t xml:space="preserve"> EU</w:t>
      </w:r>
      <w:r w:rsidRPr="00825C35">
        <w:rPr>
          <w:rFonts w:eastAsia="標楷體"/>
        </w:rPr>
        <w:t> </w:t>
      </w:r>
      <w:r w:rsidRPr="00825C35">
        <w:rPr>
          <w:rFonts w:eastAsia="標楷體" w:hAnsi="標楷體"/>
        </w:rPr>
        <w:t>CBAM</w:t>
      </w:r>
      <w:r w:rsidRPr="00825C35">
        <w:rPr>
          <w:rFonts w:eastAsia="標楷體" w:hAnsi="標楷體"/>
        </w:rPr>
        <w:t>）恐引發貿易摩擦，卻仍無法真正降低總排放。</w:t>
      </w:r>
    </w:p>
    <w:p w14:paraId="61E8BA56" w14:textId="77777777" w:rsidR="00825C35" w:rsidRPr="00825C35" w:rsidRDefault="00825C35" w:rsidP="00825C35">
      <w:pPr>
        <w:rPr>
          <w:rFonts w:eastAsia="標楷體" w:hAnsi="標楷體"/>
        </w:rPr>
      </w:pPr>
      <w:r w:rsidRPr="00825C35">
        <w:rPr>
          <w:rFonts w:eastAsia="標楷體" w:hAnsi="標楷體"/>
        </w:rPr>
        <w:t></w:t>
      </w:r>
      <w:r w:rsidRPr="00825C35">
        <w:rPr>
          <w:rFonts w:eastAsia="標楷體" w:hAnsi="標楷體"/>
        </w:rPr>
        <w:t xml:space="preserve">  </w:t>
      </w:r>
      <w:r w:rsidRPr="00825C35">
        <w:rPr>
          <w:rFonts w:eastAsia="標楷體" w:hAnsi="標楷體"/>
          <w:b/>
          <w:bCs/>
        </w:rPr>
        <w:t>抵換與交易機制的品質缺口</w:t>
      </w:r>
    </w:p>
    <w:p w14:paraId="38416B41" w14:textId="1B6E5D8A" w:rsidR="00825C35" w:rsidRDefault="00825C35" w:rsidP="00825C35">
      <w:pPr>
        <w:numPr>
          <w:ilvl w:val="0"/>
          <w:numId w:val="18"/>
        </w:numPr>
        <w:rPr>
          <w:rFonts w:eastAsia="標楷體" w:hAnsi="標楷體"/>
        </w:rPr>
      </w:pPr>
      <w:r w:rsidRPr="00825C35">
        <w:rPr>
          <w:rFonts w:eastAsia="標楷體" w:hAnsi="標楷體"/>
        </w:rPr>
        <w:t>現行自願碳市場存在額外性、永久性與雙重計算爭議，部分企業以</w:t>
      </w:r>
      <w:proofErr w:type="gramStart"/>
      <w:r w:rsidRPr="00825C35">
        <w:rPr>
          <w:rFonts w:eastAsia="標楷體" w:hAnsi="標楷體"/>
        </w:rPr>
        <w:t>廉價碳權「漂綠</w:t>
      </w:r>
      <w:proofErr w:type="gramEnd"/>
      <w:r w:rsidRPr="00825C35">
        <w:rPr>
          <w:rFonts w:eastAsia="標楷體" w:hAnsi="標楷體"/>
        </w:rPr>
        <w:t>」，</w:t>
      </w:r>
      <w:proofErr w:type="gramStart"/>
      <w:r w:rsidRPr="00825C35">
        <w:rPr>
          <w:rFonts w:eastAsia="標楷體" w:hAnsi="標楷體"/>
        </w:rPr>
        <w:t>弱化碳價對</w:t>
      </w:r>
      <w:proofErr w:type="gramEnd"/>
      <w:r w:rsidRPr="00825C35">
        <w:rPr>
          <w:rFonts w:eastAsia="標楷體" w:hAnsi="標楷體"/>
        </w:rPr>
        <w:t>技術創新的驅動力。</w:t>
      </w:r>
    </w:p>
    <w:p w14:paraId="74073A0A" w14:textId="77777777" w:rsidR="00A172A2" w:rsidRPr="00825C35" w:rsidRDefault="00A172A2" w:rsidP="00A172A2">
      <w:pPr>
        <w:ind w:left="720"/>
        <w:rPr>
          <w:rFonts w:eastAsia="標楷體" w:hAnsi="標楷體"/>
        </w:rPr>
      </w:pPr>
    </w:p>
    <w:p w14:paraId="3FF4EE2E" w14:textId="30ECAEAE" w:rsidR="00825C35" w:rsidRPr="00A172A2" w:rsidRDefault="00A172A2" w:rsidP="00B8182C">
      <w:pPr>
        <w:jc w:val="center"/>
        <w:rPr>
          <w:rFonts w:eastAsia="標楷體" w:hAnsi="標楷體"/>
          <w:b/>
          <w:bCs/>
          <w:sz w:val="32"/>
          <w:szCs w:val="32"/>
        </w:rPr>
      </w:pPr>
      <w:r w:rsidRPr="00A172A2">
        <w:rPr>
          <w:rFonts w:eastAsia="標楷體" w:hAnsi="標楷體" w:hint="eastAsia"/>
          <w:b/>
          <w:bCs/>
          <w:sz w:val="32"/>
          <w:szCs w:val="32"/>
        </w:rPr>
        <w:t>四、</w:t>
      </w:r>
      <w:r w:rsidR="00B8182C" w:rsidRPr="00A172A2">
        <w:rPr>
          <w:rFonts w:eastAsia="標楷體" w:hAnsi="標楷體" w:hint="eastAsia"/>
          <w:b/>
          <w:bCs/>
          <w:sz w:val="32"/>
          <w:szCs w:val="32"/>
        </w:rPr>
        <w:t>未來展望</w:t>
      </w:r>
    </w:p>
    <w:p w14:paraId="2244732C" w14:textId="2BD6CFB3" w:rsidR="00BA2E6D" w:rsidRPr="00BA2E6D" w:rsidRDefault="00825C35" w:rsidP="00BA2E6D">
      <w:pPr>
        <w:rPr>
          <w:rFonts w:eastAsia="標楷體" w:hAnsi="標楷體"/>
        </w:rPr>
      </w:pPr>
      <w:r>
        <w:rPr>
          <w:rFonts w:eastAsia="標楷體" w:hAnsi="標楷體" w:hint="eastAsia"/>
        </w:rPr>
        <w:t>因此</w:t>
      </w:r>
      <w:r w:rsidR="00E43B79">
        <w:rPr>
          <w:rFonts w:eastAsia="標楷體" w:hAnsi="標楷體" w:hint="eastAsia"/>
        </w:rPr>
        <w:t>我認為</w:t>
      </w:r>
      <w:r w:rsidR="00BA2E6D" w:rsidRPr="00BA2E6D">
        <w:rPr>
          <w:rFonts w:eastAsia="標楷體" w:hAnsi="標楷體"/>
        </w:rPr>
        <w:t>碳定價</w:t>
      </w:r>
      <w:r>
        <w:rPr>
          <w:rFonts w:eastAsia="標楷體" w:hAnsi="標楷體" w:hint="eastAsia"/>
        </w:rPr>
        <w:t>系統</w:t>
      </w:r>
      <w:r w:rsidR="00B8182C">
        <w:rPr>
          <w:rFonts w:eastAsia="標楷體" w:hAnsi="標楷體" w:hint="eastAsia"/>
        </w:rPr>
        <w:t>需要</w:t>
      </w:r>
      <w:r>
        <w:rPr>
          <w:rFonts w:eastAsia="標楷體" w:hAnsi="標楷體" w:hint="eastAsia"/>
        </w:rPr>
        <w:t>存在但</w:t>
      </w:r>
      <w:r w:rsidR="00BA2E6D" w:rsidRPr="00BA2E6D">
        <w:rPr>
          <w:rFonts w:eastAsia="標楷體" w:hAnsi="標楷體"/>
        </w:rPr>
        <w:t>必須</w:t>
      </w:r>
      <w:r>
        <w:rPr>
          <w:rFonts w:eastAsia="標楷體" w:hAnsi="標楷體" w:hint="eastAsia"/>
        </w:rPr>
        <w:t>改變</w:t>
      </w:r>
      <w:r w:rsidR="00BA2E6D" w:rsidRPr="00BA2E6D">
        <w:rPr>
          <w:rFonts w:eastAsia="標楷體" w:hAnsi="標楷體"/>
        </w:rPr>
        <w:t>，並以系統化升級來回應三大挑戰：效率、公平與創新。</w:t>
      </w:r>
    </w:p>
    <w:p w14:paraId="37032E8F" w14:textId="1A5660F9" w:rsidR="00BA2E6D" w:rsidRPr="00BA2E6D" w:rsidRDefault="00BA2E6D" w:rsidP="00BA2E6D">
      <w:pPr>
        <w:rPr>
          <w:rFonts w:eastAsia="標楷體" w:hAnsi="標楷體"/>
        </w:rPr>
      </w:pPr>
      <w:r w:rsidRPr="00BA2E6D">
        <w:rPr>
          <w:rFonts w:eastAsia="標楷體" w:hAnsi="標楷體"/>
        </w:rPr>
        <w:t xml:space="preserve">1. </w:t>
      </w:r>
      <w:r w:rsidRPr="00BA2E6D">
        <w:rPr>
          <w:rFonts w:eastAsia="標楷體" w:hAnsi="標楷體"/>
        </w:rPr>
        <w:t>效率</w:t>
      </w:r>
      <w:proofErr w:type="gramStart"/>
      <w:r w:rsidRPr="00BA2E6D">
        <w:rPr>
          <w:rFonts w:eastAsia="標楷體" w:hAnsi="標楷體"/>
        </w:rPr>
        <w:t>——</w:t>
      </w:r>
      <w:proofErr w:type="gramEnd"/>
      <w:r w:rsidRPr="00BA2E6D">
        <w:rPr>
          <w:rFonts w:eastAsia="標楷體" w:hAnsi="標楷體"/>
        </w:rPr>
        <w:t>以穩定且遞增</w:t>
      </w:r>
      <w:proofErr w:type="gramStart"/>
      <w:r w:rsidRPr="00BA2E6D">
        <w:rPr>
          <w:rFonts w:eastAsia="標楷體" w:hAnsi="標楷體"/>
        </w:rPr>
        <w:t>的碳價內部</w:t>
      </w:r>
      <w:proofErr w:type="gramEnd"/>
      <w:r w:rsidRPr="00BA2E6D">
        <w:rPr>
          <w:rFonts w:eastAsia="標楷體" w:hAnsi="標楷體"/>
        </w:rPr>
        <w:t>化外部成本</w:t>
      </w:r>
      <w:r w:rsidRPr="00BA2E6D">
        <w:rPr>
          <w:rFonts w:eastAsia="標楷體" w:hAnsi="標楷體"/>
        </w:rPr>
        <w:br/>
      </w:r>
      <w:proofErr w:type="gramStart"/>
      <w:r w:rsidRPr="00BA2E6D">
        <w:rPr>
          <w:rFonts w:eastAsia="標楷體" w:hAnsi="標楷體"/>
        </w:rPr>
        <w:t>碳價唯有</w:t>
      </w:r>
      <w:proofErr w:type="gramEnd"/>
      <w:r w:rsidRPr="00BA2E6D">
        <w:rPr>
          <w:rFonts w:eastAsia="標楷體" w:hAnsi="標楷體"/>
        </w:rPr>
        <w:t>保持可預測的上升曲線，企業與金融機構才願意將低碳投資視為理性選擇。未</w:t>
      </w:r>
      <w:r w:rsidRPr="00BA2E6D">
        <w:rPr>
          <w:rFonts w:eastAsia="標楷體" w:hAnsi="標楷體"/>
        </w:rPr>
        <w:lastRenderedPageBreak/>
        <w:t>來十年應建立明確的「</w:t>
      </w:r>
      <w:proofErr w:type="gramStart"/>
      <w:r w:rsidRPr="00BA2E6D">
        <w:rPr>
          <w:rFonts w:eastAsia="標楷體" w:hAnsi="標楷體"/>
        </w:rPr>
        <w:t>碳價走廊</w:t>
      </w:r>
      <w:proofErr w:type="gramEnd"/>
      <w:r w:rsidRPr="00BA2E6D">
        <w:rPr>
          <w:rFonts w:eastAsia="標楷體" w:hAnsi="標楷體"/>
        </w:rPr>
        <w:t>」（</w:t>
      </w:r>
      <w:r w:rsidRPr="00BA2E6D">
        <w:rPr>
          <w:rFonts w:eastAsia="標楷體" w:hAnsi="標楷體"/>
        </w:rPr>
        <w:t>price corridor</w:t>
      </w:r>
      <w:r w:rsidRPr="00BA2E6D">
        <w:rPr>
          <w:rFonts w:eastAsia="標楷體" w:hAnsi="標楷體"/>
        </w:rPr>
        <w:t>），以減少政策反覆造成的</w:t>
      </w:r>
      <w:proofErr w:type="gramStart"/>
      <w:r w:rsidRPr="00BA2E6D">
        <w:rPr>
          <w:rFonts w:eastAsia="標楷體" w:hAnsi="標楷體"/>
        </w:rPr>
        <w:t>價格劇震</w:t>
      </w:r>
      <w:proofErr w:type="gramEnd"/>
      <w:r w:rsidRPr="00BA2E6D">
        <w:rPr>
          <w:rFonts w:eastAsia="標楷體" w:hAnsi="標楷體"/>
        </w:rPr>
        <w:t>，同時逐步把航運、建築、農業等</w:t>
      </w:r>
      <w:proofErr w:type="gramStart"/>
      <w:r w:rsidRPr="00BA2E6D">
        <w:rPr>
          <w:rFonts w:eastAsia="標楷體" w:hAnsi="標楷體"/>
        </w:rPr>
        <w:t>難減排</w:t>
      </w:r>
      <w:proofErr w:type="gramEnd"/>
      <w:r w:rsidRPr="00BA2E6D">
        <w:rPr>
          <w:rFonts w:eastAsia="標楷體" w:hAnsi="標楷體"/>
        </w:rPr>
        <w:t>部門納入排放交易或碳稅體系，</w:t>
      </w:r>
      <w:proofErr w:type="gramStart"/>
      <w:r w:rsidR="00B504C7">
        <w:rPr>
          <w:rFonts w:eastAsia="標楷體" w:hAnsi="標楷體" w:hint="eastAsia"/>
        </w:rPr>
        <w:t>擴大減排的</w:t>
      </w:r>
      <w:proofErr w:type="gramEnd"/>
      <w:r w:rsidR="00B504C7">
        <w:rPr>
          <w:rFonts w:eastAsia="標楷體" w:hAnsi="標楷體" w:hint="eastAsia"/>
        </w:rPr>
        <w:t>限制範圍，強制將原本並未加入協議的國家或地區加入管轄範圍，若拒絕加入則如現今加徵關稅的形式，限制跨國企業鑽漏洞的行為。</w:t>
      </w:r>
      <w:r w:rsidR="00B504C7" w:rsidRPr="00BA2E6D">
        <w:rPr>
          <w:rFonts w:eastAsia="標楷體" w:hAnsi="標楷體"/>
        </w:rPr>
        <w:t xml:space="preserve"> </w:t>
      </w:r>
    </w:p>
    <w:p w14:paraId="101DFA0C" w14:textId="29400933" w:rsidR="00BA2E6D" w:rsidRPr="00BA2E6D" w:rsidRDefault="00BA2E6D" w:rsidP="00BA2E6D">
      <w:pPr>
        <w:rPr>
          <w:rFonts w:eastAsia="標楷體" w:hAnsi="標楷體"/>
        </w:rPr>
      </w:pPr>
      <w:r w:rsidRPr="00BA2E6D">
        <w:rPr>
          <w:rFonts w:eastAsia="標楷體" w:hAnsi="標楷體"/>
        </w:rPr>
        <w:t xml:space="preserve">2. </w:t>
      </w:r>
      <w:r w:rsidRPr="00BA2E6D">
        <w:rPr>
          <w:rFonts w:eastAsia="標楷體" w:hAnsi="標楷體"/>
        </w:rPr>
        <w:t>公平</w:t>
      </w:r>
      <w:proofErr w:type="gramStart"/>
      <w:r w:rsidRPr="00BA2E6D">
        <w:rPr>
          <w:rFonts w:eastAsia="標楷體" w:hAnsi="標楷體"/>
        </w:rPr>
        <w:t>——</w:t>
      </w:r>
      <w:proofErr w:type="gramEnd"/>
      <w:r w:rsidRPr="00BA2E6D">
        <w:rPr>
          <w:rFonts w:eastAsia="標楷體" w:hAnsi="標楷體"/>
        </w:rPr>
        <w:t>透過收益再分配實現公正轉型</w:t>
      </w:r>
      <w:r w:rsidRPr="00BA2E6D">
        <w:rPr>
          <w:rFonts w:eastAsia="標楷體" w:hAnsi="標楷體"/>
        </w:rPr>
        <w:br/>
      </w:r>
      <w:proofErr w:type="gramStart"/>
      <w:r w:rsidRPr="00BA2E6D">
        <w:rPr>
          <w:rFonts w:eastAsia="標楷體" w:hAnsi="標楷體"/>
        </w:rPr>
        <w:t>高碳排產業</w:t>
      </w:r>
      <w:proofErr w:type="gramEnd"/>
      <w:r w:rsidRPr="00BA2E6D">
        <w:rPr>
          <w:rFonts w:eastAsia="標楷體" w:hAnsi="標楷體"/>
        </w:rPr>
        <w:t>與低所得族群在短期內最易</w:t>
      </w:r>
      <w:proofErr w:type="gramStart"/>
      <w:r w:rsidRPr="00BA2E6D">
        <w:rPr>
          <w:rFonts w:eastAsia="標楷體" w:hAnsi="標楷體"/>
        </w:rPr>
        <w:t>受碳價</w:t>
      </w:r>
      <w:proofErr w:type="gramEnd"/>
      <w:r w:rsidRPr="00BA2E6D">
        <w:rPr>
          <w:rFonts w:eastAsia="標楷體" w:hAnsi="標楷體"/>
        </w:rPr>
        <w:t>衝擊。政府須將部分碳稅／拍賣收入指定用於再教育、社區基礎建設及能源補貼，並設立跨國「公正轉型基金」，協助開發中國家取得淨零所需的技術與資本。如此方能消弭排放</w:t>
      </w:r>
      <w:r w:rsidR="00B504C7">
        <w:rPr>
          <w:rFonts w:eastAsia="標楷體" w:hAnsi="標楷體" w:hint="eastAsia"/>
        </w:rPr>
        <w:t>成本的</w:t>
      </w:r>
      <w:r w:rsidRPr="00BA2E6D">
        <w:rPr>
          <w:rFonts w:eastAsia="標楷體" w:hAnsi="標楷體"/>
        </w:rPr>
        <w:t>轉嫁，也可緩和國內外對氣候政策的不滿情緒。</w:t>
      </w:r>
    </w:p>
    <w:p w14:paraId="6EECE8DB" w14:textId="3AD7A679" w:rsidR="00E44330" w:rsidRDefault="00BA2E6D" w:rsidP="006F60A1">
      <w:pPr>
        <w:rPr>
          <w:rFonts w:eastAsia="標楷體" w:hAnsi="標楷體"/>
        </w:rPr>
      </w:pPr>
      <w:r w:rsidRPr="00BA2E6D">
        <w:rPr>
          <w:rFonts w:eastAsia="標楷體" w:hAnsi="標楷體"/>
        </w:rPr>
        <w:t xml:space="preserve">3. </w:t>
      </w:r>
      <w:r w:rsidRPr="00BA2E6D">
        <w:rPr>
          <w:rFonts w:eastAsia="標楷體" w:hAnsi="標楷體"/>
        </w:rPr>
        <w:t>創新</w:t>
      </w:r>
      <w:proofErr w:type="gramStart"/>
      <w:r w:rsidRPr="00BA2E6D">
        <w:rPr>
          <w:rFonts w:eastAsia="標楷體" w:hAnsi="標楷體"/>
        </w:rPr>
        <w:t>——</w:t>
      </w:r>
      <w:proofErr w:type="gramEnd"/>
      <w:r w:rsidRPr="00BA2E6D">
        <w:rPr>
          <w:rFonts w:eastAsia="標楷體" w:hAnsi="標楷體"/>
        </w:rPr>
        <w:t>以高品質監管與市場連結縮短技術學習曲線</w:t>
      </w:r>
      <w:r w:rsidRPr="00BA2E6D">
        <w:rPr>
          <w:rFonts w:eastAsia="標楷體" w:hAnsi="標楷體"/>
        </w:rPr>
        <w:br/>
      </w:r>
      <w:r w:rsidRPr="00BA2E6D">
        <w:rPr>
          <w:rFonts w:eastAsia="標楷體" w:hAnsi="標楷體"/>
        </w:rPr>
        <w:t>穩定而偏高</w:t>
      </w:r>
      <w:proofErr w:type="gramStart"/>
      <w:r w:rsidRPr="00BA2E6D">
        <w:rPr>
          <w:rFonts w:eastAsia="標楷體" w:hAnsi="標楷體"/>
        </w:rPr>
        <w:t>的碳價會</w:t>
      </w:r>
      <w:proofErr w:type="gramEnd"/>
      <w:r w:rsidRPr="00BA2E6D">
        <w:rPr>
          <w:rFonts w:eastAsia="標楷體" w:hAnsi="標楷體"/>
        </w:rPr>
        <w:t>壓縮新技術的商轉周期，但前提是市場</w:t>
      </w:r>
      <w:proofErr w:type="gramStart"/>
      <w:r w:rsidRPr="00BA2E6D">
        <w:rPr>
          <w:rFonts w:eastAsia="標楷體" w:hAnsi="標楷體"/>
        </w:rPr>
        <w:t>相信減排量</w:t>
      </w:r>
      <w:proofErr w:type="gramEnd"/>
      <w:r w:rsidRPr="00BA2E6D">
        <w:rPr>
          <w:rFonts w:eastAsia="標楷體" w:hAnsi="標楷體"/>
        </w:rPr>
        <w:t>計算真實且唯一。下一步應採用數位化</w:t>
      </w:r>
      <w:r w:rsidRPr="00BA2E6D">
        <w:rPr>
          <w:rFonts w:eastAsia="標楷體" w:hAnsi="標楷體"/>
        </w:rPr>
        <w:t xml:space="preserve"> MRV</w:t>
      </w:r>
      <w:r w:rsidRPr="00BA2E6D">
        <w:rPr>
          <w:rFonts w:eastAsia="標楷體" w:hAnsi="標楷體"/>
        </w:rPr>
        <w:t>（</w:t>
      </w:r>
      <w:r w:rsidRPr="00BA2E6D">
        <w:rPr>
          <w:rFonts w:eastAsia="標楷體" w:hAnsi="標楷體"/>
        </w:rPr>
        <w:t>Measurement, Reporting, Verification</w:t>
      </w:r>
      <w:r w:rsidRPr="00BA2E6D">
        <w:rPr>
          <w:rFonts w:eastAsia="標楷體" w:hAnsi="標楷體"/>
        </w:rPr>
        <w:t>）與</w:t>
      </w:r>
      <w:proofErr w:type="gramStart"/>
      <w:r w:rsidRPr="00BA2E6D">
        <w:rPr>
          <w:rFonts w:eastAsia="標楷體" w:hAnsi="標楷體"/>
        </w:rPr>
        <w:t>區塊鏈溯源</w:t>
      </w:r>
      <w:proofErr w:type="gramEnd"/>
      <w:r w:rsidRPr="00BA2E6D">
        <w:rPr>
          <w:rFonts w:eastAsia="標楷體" w:hAnsi="標楷體"/>
        </w:rPr>
        <w:t>，淘汰低品質抵換專案；同時推動區域</w:t>
      </w:r>
      <w:r w:rsidRPr="00BA2E6D">
        <w:rPr>
          <w:rFonts w:eastAsia="標楷體" w:hAnsi="標楷體"/>
        </w:rPr>
        <w:t xml:space="preserve"> ETS </w:t>
      </w:r>
      <w:r w:rsidRPr="00BA2E6D">
        <w:rPr>
          <w:rFonts w:eastAsia="標楷體" w:hAnsi="標楷體"/>
        </w:rPr>
        <w:t>連結並簽訂「</w:t>
      </w:r>
      <w:proofErr w:type="gramStart"/>
      <w:r w:rsidRPr="00BA2E6D">
        <w:rPr>
          <w:rFonts w:eastAsia="標楷體" w:hAnsi="標楷體"/>
        </w:rPr>
        <w:t>最低碳價</w:t>
      </w:r>
      <w:proofErr w:type="gramEnd"/>
      <w:r w:rsidRPr="00BA2E6D">
        <w:rPr>
          <w:rFonts w:eastAsia="標楷體" w:hAnsi="標楷體"/>
        </w:rPr>
        <w:t>地板協議」，用更大的市場規模與一致的監管標準，降低私部門的制度套利空間，讓創新回報真正與</w:t>
      </w:r>
      <w:proofErr w:type="gramStart"/>
      <w:r w:rsidRPr="00BA2E6D">
        <w:rPr>
          <w:rFonts w:eastAsia="標楷體" w:hAnsi="標楷體"/>
        </w:rPr>
        <w:t>減排掛鉤</w:t>
      </w:r>
      <w:proofErr w:type="gramEnd"/>
      <w:r w:rsidRPr="00BA2E6D">
        <w:rPr>
          <w:rFonts w:eastAsia="標楷體" w:hAnsi="標楷體"/>
        </w:rPr>
        <w:t>。</w:t>
      </w:r>
      <w:r w:rsidRPr="00BA2E6D">
        <w:rPr>
          <w:rFonts w:eastAsia="標楷體" w:hAnsi="標楷體"/>
        </w:rPr>
        <w:br/>
      </w:r>
    </w:p>
    <w:p w14:paraId="1B1EBE8E" w14:textId="565CA2A0" w:rsidR="00E44330" w:rsidRPr="00A172A2" w:rsidRDefault="00A172A2" w:rsidP="00A172A2">
      <w:pPr>
        <w:jc w:val="center"/>
        <w:rPr>
          <w:rFonts w:eastAsia="標楷體" w:hAnsi="標楷體"/>
        </w:rPr>
      </w:pPr>
      <w:r>
        <w:rPr>
          <w:rFonts w:eastAsia="標楷體" w:hAnsi="標楷體" w:hint="eastAsia"/>
          <w:b/>
          <w:bCs/>
          <w:sz w:val="32"/>
          <w:szCs w:val="32"/>
        </w:rPr>
        <w:t>五、參考文獻</w:t>
      </w:r>
    </w:p>
    <w:p w14:paraId="17296328" w14:textId="77777777" w:rsidR="00EE5298" w:rsidRPr="00EE5298" w:rsidRDefault="00E44330" w:rsidP="00EE5298">
      <w:pPr>
        <w:pStyle w:val="ad"/>
      </w:pPr>
      <w:r>
        <w:fldChar w:fldCharType="begin"/>
      </w:r>
      <w:r w:rsidR="00EE5298">
        <w:instrText xml:space="preserve"> ADDIN ZOTERO_BIBL {"uncited":[],"omitted":[],"custom":[]} CSL_BIBLIOGRAPHY </w:instrText>
      </w:r>
      <w:r>
        <w:fldChar w:fldCharType="separate"/>
      </w:r>
      <w:r w:rsidR="00EE5298" w:rsidRPr="00EE5298">
        <w:rPr>
          <w:i/>
          <w:iCs/>
        </w:rPr>
        <w:t>Behind the green curtain: Big oil and the voluntary carbon market</w:t>
      </w:r>
      <w:r w:rsidR="00EE5298" w:rsidRPr="00EE5298">
        <w:t>. (n.d.). https://carbonmarketwatch.org/2025/02/12/behind-the-green-curtain-big-oil-and-the-voluntary-carbon-market/</w:t>
      </w:r>
    </w:p>
    <w:p w14:paraId="29CDC46F" w14:textId="77777777" w:rsidR="00EE5298" w:rsidRPr="00EE5298" w:rsidRDefault="00EE5298" w:rsidP="00EE5298">
      <w:pPr>
        <w:pStyle w:val="ad"/>
      </w:pPr>
      <w:r w:rsidRPr="00EE5298">
        <w:t xml:space="preserve">Boundless. (2025, February 25). </w:t>
      </w:r>
      <w:r w:rsidRPr="00EE5298">
        <w:rPr>
          <w:i/>
          <w:iCs/>
        </w:rPr>
        <w:t>ImpactAlpha: These Clues Can Help Smart Investors Spot Corporate Greenwashing</w:t>
      </w:r>
      <w:r w:rsidRPr="00EE5298">
        <w:t>.</w:t>
      </w:r>
    </w:p>
    <w:p w14:paraId="55F59410" w14:textId="77777777" w:rsidR="00EE5298" w:rsidRPr="00EE5298" w:rsidRDefault="00EE5298" w:rsidP="00EE5298">
      <w:pPr>
        <w:pStyle w:val="ad"/>
      </w:pPr>
      <w:r w:rsidRPr="00EE5298">
        <w:rPr>
          <w:i/>
          <w:iCs/>
        </w:rPr>
        <w:lastRenderedPageBreak/>
        <w:t>Carbon Brief</w:t>
      </w:r>
      <w:r w:rsidRPr="00EE5298">
        <w:t>. (2024, November 13). Analysis: Global CO2 Emissions Will Reach New High in 2024 despite Slower Growth.</w:t>
      </w:r>
    </w:p>
    <w:p w14:paraId="493E1D6D" w14:textId="77777777" w:rsidR="00EE5298" w:rsidRPr="00EE5298" w:rsidRDefault="00EE5298" w:rsidP="00EE5298">
      <w:pPr>
        <w:pStyle w:val="ad"/>
      </w:pPr>
      <w:r w:rsidRPr="00EE5298">
        <w:t xml:space="preserve">Diego, K., Julian, M., &amp; Marcel, O. (2024, May 17). </w:t>
      </w:r>
      <w:r w:rsidRPr="00EE5298">
        <w:rPr>
          <w:i/>
          <w:iCs/>
        </w:rPr>
        <w:t>Carbon Leakage to Developing Countries</w:t>
      </w:r>
      <w:r w:rsidRPr="00EE5298">
        <w:t>.</w:t>
      </w:r>
    </w:p>
    <w:p w14:paraId="6EFBC2D9" w14:textId="77777777" w:rsidR="00EE5298" w:rsidRPr="00EE5298" w:rsidRDefault="00EE5298" w:rsidP="00EE5298">
      <w:pPr>
        <w:pStyle w:val="ad"/>
      </w:pPr>
      <w:r w:rsidRPr="00EE5298">
        <w:rPr>
          <w:i/>
          <w:iCs/>
        </w:rPr>
        <w:t>EU Carbon Permits</w:t>
      </w:r>
      <w:r w:rsidRPr="00EE5298">
        <w:t>. (2023). https://tradingeconomics.com/commodity/carbon</w:t>
      </w:r>
    </w:p>
    <w:p w14:paraId="4B6F0062" w14:textId="77777777" w:rsidR="00EE5298" w:rsidRPr="00EE5298" w:rsidRDefault="00EE5298" w:rsidP="00EE5298">
      <w:pPr>
        <w:pStyle w:val="ad"/>
      </w:pPr>
      <w:r w:rsidRPr="00EE5298">
        <w:t xml:space="preserve">Kuusi, T., &amp; Wang, M. (2024). Energy Economics. </w:t>
      </w:r>
      <w:r w:rsidRPr="00EE5298">
        <w:rPr>
          <w:i/>
          <w:iCs/>
        </w:rPr>
        <w:t>Trade Flows, Carbon Leakage, and the EU Emissions Trading System</w:t>
      </w:r>
      <w:r w:rsidRPr="00EE5298">
        <w:t xml:space="preserve">, </w:t>
      </w:r>
      <w:r w:rsidRPr="00EE5298">
        <w:rPr>
          <w:i/>
          <w:iCs/>
        </w:rPr>
        <w:t>volumn134</w:t>
      </w:r>
      <w:r w:rsidRPr="00EE5298">
        <w:t>(107556).</w:t>
      </w:r>
    </w:p>
    <w:p w14:paraId="7C6E8BAF" w14:textId="77777777" w:rsidR="00EE5298" w:rsidRPr="00EE5298" w:rsidRDefault="00EE5298" w:rsidP="00EE5298">
      <w:pPr>
        <w:pStyle w:val="ad"/>
      </w:pPr>
      <w:r w:rsidRPr="00EE5298">
        <w:t xml:space="preserve">Reuters. (2025, March 26). </w:t>
      </w:r>
      <w:r w:rsidRPr="00EE5298">
        <w:rPr>
          <w:i/>
          <w:iCs/>
        </w:rPr>
        <w:t>China to expand carbon trading market to steel, cement and aluminium</w:t>
      </w:r>
      <w:r w:rsidRPr="00EE5298">
        <w:t>.</w:t>
      </w:r>
    </w:p>
    <w:p w14:paraId="37F1C1D8" w14:textId="77777777" w:rsidR="00EE5298" w:rsidRPr="00EE5298" w:rsidRDefault="00EE5298" w:rsidP="00EE5298">
      <w:pPr>
        <w:pStyle w:val="ad"/>
      </w:pPr>
      <w:r w:rsidRPr="00EE5298">
        <w:t xml:space="preserve">The Guardian. (2024). </w:t>
      </w:r>
      <w:r w:rsidRPr="00EE5298">
        <w:rPr>
          <w:i/>
          <w:iCs/>
        </w:rPr>
        <w:t>This article is more than 10 months old Corporations invested in carbon offsets that were ‘likely junk’, analysis says</w:t>
      </w:r>
      <w:r w:rsidRPr="00EE5298">
        <w:t>. https://www.theguardian.com/environment/article/2024/may/30/corporate-carbon-offsets-credits?</w:t>
      </w:r>
    </w:p>
    <w:p w14:paraId="50A64C51" w14:textId="77777777" w:rsidR="00EE5298" w:rsidRPr="00EE5298" w:rsidRDefault="00EE5298" w:rsidP="00EE5298">
      <w:pPr>
        <w:pStyle w:val="ad"/>
      </w:pPr>
      <w:r w:rsidRPr="00EE5298">
        <w:t xml:space="preserve">University of Exeter. (2024, November 13). </w:t>
      </w:r>
      <w:r w:rsidRPr="00EE5298">
        <w:rPr>
          <w:i/>
          <w:iCs/>
        </w:rPr>
        <w:t>Global Carbon Project</w:t>
      </w:r>
      <w:r w:rsidRPr="00EE5298">
        <w:t>. Fossil Fuel CO2 Emissions Increase Again in 2024.</w:t>
      </w:r>
    </w:p>
    <w:p w14:paraId="16CA98E5" w14:textId="77777777" w:rsidR="00EE5298" w:rsidRPr="00EE5298" w:rsidRDefault="00EE5298" w:rsidP="00EE5298">
      <w:pPr>
        <w:pStyle w:val="ad"/>
      </w:pPr>
      <w:r w:rsidRPr="00EE5298">
        <w:t xml:space="preserve">University of Oxford. (2024, November 21). </w:t>
      </w:r>
      <w:r w:rsidRPr="00EE5298">
        <w:rPr>
          <w:i/>
          <w:iCs/>
        </w:rPr>
        <w:t>Global Spillovers of Carbon Taxes: How Emissions “Leak” to Developing Countries</w:t>
      </w:r>
      <w:r w:rsidRPr="00EE5298">
        <w:t>. https://oxfordtax.sbs.ox.ac.uk/article/global-spillovers-carbon-taxes-how-emissions-leak-developing-conuntries?</w:t>
      </w:r>
    </w:p>
    <w:p w14:paraId="75583805" w14:textId="77777777" w:rsidR="00EE5298" w:rsidRPr="00EE5298" w:rsidRDefault="00EE5298" w:rsidP="00EE5298">
      <w:pPr>
        <w:pStyle w:val="ad"/>
      </w:pPr>
      <w:r w:rsidRPr="00EE5298">
        <w:rPr>
          <w:i/>
          <w:iCs/>
        </w:rPr>
        <w:t>What’s Plaguing Voluntary Carbon Markets?</w:t>
      </w:r>
      <w:r w:rsidRPr="00EE5298">
        <w:t xml:space="preserve"> (2024, February 2). https://www.csis.org/analysis/whats-plaguing-voluntary-carbon-markets</w:t>
      </w:r>
    </w:p>
    <w:p w14:paraId="546A05CF" w14:textId="77777777" w:rsidR="00EE5298" w:rsidRPr="00EE5298" w:rsidRDefault="00EE5298" w:rsidP="00EE5298">
      <w:pPr>
        <w:pStyle w:val="ad"/>
      </w:pPr>
      <w:r w:rsidRPr="00EE5298">
        <w:t xml:space="preserve">WorldBank, G. (n.d.). </w:t>
      </w:r>
      <w:r w:rsidRPr="00EE5298">
        <w:rPr>
          <w:i/>
          <w:iCs/>
        </w:rPr>
        <w:t>World Bank Document</w:t>
      </w:r>
      <w:r w:rsidRPr="00EE5298">
        <w:t>.</w:t>
      </w:r>
    </w:p>
    <w:p w14:paraId="33BCFA87" w14:textId="45B27A6E" w:rsidR="006F60A1" w:rsidRPr="00BA2E6D" w:rsidRDefault="00E44330" w:rsidP="006F60A1">
      <w:pPr>
        <w:rPr>
          <w:rFonts w:eastAsia="標楷體" w:hAnsi="標楷體"/>
        </w:rPr>
      </w:pPr>
      <w:r>
        <w:rPr>
          <w:rFonts w:eastAsia="標楷體" w:hAnsi="標楷體"/>
        </w:rPr>
        <w:fldChar w:fldCharType="end"/>
      </w:r>
    </w:p>
    <w:sectPr w:rsidR="006F60A1" w:rsidRPr="00BA2E6D" w:rsidSect="00286098">
      <w:footerReference w:type="even" r:id="rId8"/>
      <w:footerReference w:type="default" r:id="rId9"/>
      <w:pgSz w:w="11906" w:h="16838"/>
      <w:pgMar w:top="1134" w:right="1134" w:bottom="1134"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9EA746" w14:textId="77777777" w:rsidR="008706C0" w:rsidRDefault="008706C0" w:rsidP="00A243C4">
      <w:r>
        <w:separator/>
      </w:r>
    </w:p>
  </w:endnote>
  <w:endnote w:type="continuationSeparator" w:id="0">
    <w:p w14:paraId="3D0403F6" w14:textId="77777777" w:rsidR="008706C0" w:rsidRDefault="008706C0" w:rsidP="00A243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微軟正黑體">
    <w:altName w:val="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9663F" w14:textId="77777777" w:rsidR="002B02B4" w:rsidRDefault="002B02B4">
    <w:pPr>
      <w:pStyle w:val="a5"/>
      <w:jc w:val="center"/>
    </w:pPr>
    <w:r>
      <w:fldChar w:fldCharType="begin"/>
    </w:r>
    <w:r>
      <w:instrText>PAGE   \* MERGEFORMAT</w:instrText>
    </w:r>
    <w:r>
      <w:fldChar w:fldCharType="separate"/>
    </w:r>
    <w:r w:rsidR="00286098" w:rsidRPr="00286098">
      <w:rPr>
        <w:noProof/>
        <w:lang w:val="zh-TW"/>
      </w:rPr>
      <w:t>2</w:t>
    </w:r>
    <w:r>
      <w:fldChar w:fldCharType="end"/>
    </w:r>
  </w:p>
  <w:p w14:paraId="24348071" w14:textId="77777777" w:rsidR="002B02B4" w:rsidRDefault="002B02B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8326122"/>
      <w:docPartObj>
        <w:docPartGallery w:val="Page Numbers (Bottom of Page)"/>
        <w:docPartUnique/>
      </w:docPartObj>
    </w:sdtPr>
    <w:sdtEndPr/>
    <w:sdtContent>
      <w:p w14:paraId="6A7EF344" w14:textId="04CC2AE6" w:rsidR="00F92104" w:rsidRDefault="00F92104">
        <w:pPr>
          <w:pStyle w:val="a5"/>
          <w:jc w:val="center"/>
        </w:pPr>
        <w:r>
          <w:fldChar w:fldCharType="begin"/>
        </w:r>
        <w:r>
          <w:instrText>PAGE   \* MERGEFORMAT</w:instrText>
        </w:r>
        <w:r>
          <w:fldChar w:fldCharType="separate"/>
        </w:r>
        <w:r>
          <w:rPr>
            <w:lang w:val="zh-TW"/>
          </w:rPr>
          <w:t>2</w:t>
        </w:r>
        <w:r>
          <w:fldChar w:fldCharType="end"/>
        </w:r>
      </w:p>
    </w:sdtContent>
  </w:sdt>
  <w:p w14:paraId="0C16BC98" w14:textId="77777777" w:rsidR="004B1696" w:rsidRDefault="004B169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D0330F" w14:textId="77777777" w:rsidR="008706C0" w:rsidRDefault="008706C0" w:rsidP="00A243C4">
      <w:r>
        <w:separator/>
      </w:r>
    </w:p>
  </w:footnote>
  <w:footnote w:type="continuationSeparator" w:id="0">
    <w:p w14:paraId="54A91F42" w14:textId="77777777" w:rsidR="008706C0" w:rsidRDefault="008706C0" w:rsidP="00A243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F25F4"/>
    <w:multiLevelType w:val="hybridMultilevel"/>
    <w:tmpl w:val="AC640BB2"/>
    <w:lvl w:ilvl="0" w:tplc="F2F400D6">
      <w:start w:val="1"/>
      <w:numFmt w:val="bullet"/>
      <w:lvlText w:val="•"/>
      <w:lvlJc w:val="left"/>
      <w:pPr>
        <w:tabs>
          <w:tab w:val="num" w:pos="720"/>
        </w:tabs>
        <w:ind w:left="720" w:hanging="360"/>
      </w:pPr>
      <w:rPr>
        <w:rFonts w:ascii="新細明體" w:hAnsi="新細明體" w:hint="default"/>
      </w:rPr>
    </w:lvl>
    <w:lvl w:ilvl="1" w:tplc="9446E9D0" w:tentative="1">
      <w:start w:val="1"/>
      <w:numFmt w:val="bullet"/>
      <w:lvlText w:val="•"/>
      <w:lvlJc w:val="left"/>
      <w:pPr>
        <w:tabs>
          <w:tab w:val="num" w:pos="1440"/>
        </w:tabs>
        <w:ind w:left="1440" w:hanging="360"/>
      </w:pPr>
      <w:rPr>
        <w:rFonts w:ascii="新細明體" w:hAnsi="新細明體" w:hint="default"/>
      </w:rPr>
    </w:lvl>
    <w:lvl w:ilvl="2" w:tplc="83B2A898" w:tentative="1">
      <w:start w:val="1"/>
      <w:numFmt w:val="bullet"/>
      <w:lvlText w:val="•"/>
      <w:lvlJc w:val="left"/>
      <w:pPr>
        <w:tabs>
          <w:tab w:val="num" w:pos="2160"/>
        </w:tabs>
        <w:ind w:left="2160" w:hanging="360"/>
      </w:pPr>
      <w:rPr>
        <w:rFonts w:ascii="新細明體" w:hAnsi="新細明體" w:hint="default"/>
      </w:rPr>
    </w:lvl>
    <w:lvl w:ilvl="3" w:tplc="6D560B1A" w:tentative="1">
      <w:start w:val="1"/>
      <w:numFmt w:val="bullet"/>
      <w:lvlText w:val="•"/>
      <w:lvlJc w:val="left"/>
      <w:pPr>
        <w:tabs>
          <w:tab w:val="num" w:pos="2880"/>
        </w:tabs>
        <w:ind w:left="2880" w:hanging="360"/>
      </w:pPr>
      <w:rPr>
        <w:rFonts w:ascii="新細明體" w:hAnsi="新細明體" w:hint="default"/>
      </w:rPr>
    </w:lvl>
    <w:lvl w:ilvl="4" w:tplc="5AF495FC" w:tentative="1">
      <w:start w:val="1"/>
      <w:numFmt w:val="bullet"/>
      <w:lvlText w:val="•"/>
      <w:lvlJc w:val="left"/>
      <w:pPr>
        <w:tabs>
          <w:tab w:val="num" w:pos="3600"/>
        </w:tabs>
        <w:ind w:left="3600" w:hanging="360"/>
      </w:pPr>
      <w:rPr>
        <w:rFonts w:ascii="新細明體" w:hAnsi="新細明體" w:hint="default"/>
      </w:rPr>
    </w:lvl>
    <w:lvl w:ilvl="5" w:tplc="523C47B0" w:tentative="1">
      <w:start w:val="1"/>
      <w:numFmt w:val="bullet"/>
      <w:lvlText w:val="•"/>
      <w:lvlJc w:val="left"/>
      <w:pPr>
        <w:tabs>
          <w:tab w:val="num" w:pos="4320"/>
        </w:tabs>
        <w:ind w:left="4320" w:hanging="360"/>
      </w:pPr>
      <w:rPr>
        <w:rFonts w:ascii="新細明體" w:hAnsi="新細明體" w:hint="default"/>
      </w:rPr>
    </w:lvl>
    <w:lvl w:ilvl="6" w:tplc="B70CE908" w:tentative="1">
      <w:start w:val="1"/>
      <w:numFmt w:val="bullet"/>
      <w:lvlText w:val="•"/>
      <w:lvlJc w:val="left"/>
      <w:pPr>
        <w:tabs>
          <w:tab w:val="num" w:pos="5040"/>
        </w:tabs>
        <w:ind w:left="5040" w:hanging="360"/>
      </w:pPr>
      <w:rPr>
        <w:rFonts w:ascii="新細明體" w:hAnsi="新細明體" w:hint="default"/>
      </w:rPr>
    </w:lvl>
    <w:lvl w:ilvl="7" w:tplc="61488ABE" w:tentative="1">
      <w:start w:val="1"/>
      <w:numFmt w:val="bullet"/>
      <w:lvlText w:val="•"/>
      <w:lvlJc w:val="left"/>
      <w:pPr>
        <w:tabs>
          <w:tab w:val="num" w:pos="5760"/>
        </w:tabs>
        <w:ind w:left="5760" w:hanging="360"/>
      </w:pPr>
      <w:rPr>
        <w:rFonts w:ascii="新細明體" w:hAnsi="新細明體" w:hint="default"/>
      </w:rPr>
    </w:lvl>
    <w:lvl w:ilvl="8" w:tplc="000626BC" w:tentative="1">
      <w:start w:val="1"/>
      <w:numFmt w:val="bullet"/>
      <w:lvlText w:val="•"/>
      <w:lvlJc w:val="left"/>
      <w:pPr>
        <w:tabs>
          <w:tab w:val="num" w:pos="6480"/>
        </w:tabs>
        <w:ind w:left="6480" w:hanging="360"/>
      </w:pPr>
      <w:rPr>
        <w:rFonts w:ascii="新細明體" w:hAnsi="新細明體" w:hint="default"/>
      </w:rPr>
    </w:lvl>
  </w:abstractNum>
  <w:abstractNum w:abstractNumId="1" w15:restartNumberingAfterBreak="0">
    <w:nsid w:val="14082B67"/>
    <w:multiLevelType w:val="hybridMultilevel"/>
    <w:tmpl w:val="AEBCDE88"/>
    <w:lvl w:ilvl="0" w:tplc="C114D06A">
      <w:start w:val="1"/>
      <w:numFmt w:val="bullet"/>
      <w:lvlText w:val=""/>
      <w:lvlJc w:val="left"/>
      <w:pPr>
        <w:tabs>
          <w:tab w:val="num" w:pos="720"/>
        </w:tabs>
        <w:ind w:left="720" w:hanging="360"/>
      </w:pPr>
      <w:rPr>
        <w:rFonts w:ascii="Wingdings" w:hAnsi="Wingdings" w:hint="default"/>
      </w:rPr>
    </w:lvl>
    <w:lvl w:ilvl="1" w:tplc="02000E4A" w:tentative="1">
      <w:start w:val="1"/>
      <w:numFmt w:val="bullet"/>
      <w:lvlText w:val=""/>
      <w:lvlJc w:val="left"/>
      <w:pPr>
        <w:tabs>
          <w:tab w:val="num" w:pos="1440"/>
        </w:tabs>
        <w:ind w:left="1440" w:hanging="360"/>
      </w:pPr>
      <w:rPr>
        <w:rFonts w:ascii="Wingdings" w:hAnsi="Wingdings" w:hint="default"/>
      </w:rPr>
    </w:lvl>
    <w:lvl w:ilvl="2" w:tplc="9A3EB5A8" w:tentative="1">
      <w:start w:val="1"/>
      <w:numFmt w:val="bullet"/>
      <w:lvlText w:val=""/>
      <w:lvlJc w:val="left"/>
      <w:pPr>
        <w:tabs>
          <w:tab w:val="num" w:pos="2160"/>
        </w:tabs>
        <w:ind w:left="2160" w:hanging="360"/>
      </w:pPr>
      <w:rPr>
        <w:rFonts w:ascii="Wingdings" w:hAnsi="Wingdings" w:hint="default"/>
      </w:rPr>
    </w:lvl>
    <w:lvl w:ilvl="3" w:tplc="9BCE9924" w:tentative="1">
      <w:start w:val="1"/>
      <w:numFmt w:val="bullet"/>
      <w:lvlText w:val=""/>
      <w:lvlJc w:val="left"/>
      <w:pPr>
        <w:tabs>
          <w:tab w:val="num" w:pos="2880"/>
        </w:tabs>
        <w:ind w:left="2880" w:hanging="360"/>
      </w:pPr>
      <w:rPr>
        <w:rFonts w:ascii="Wingdings" w:hAnsi="Wingdings" w:hint="default"/>
      </w:rPr>
    </w:lvl>
    <w:lvl w:ilvl="4" w:tplc="8FAAFDE4" w:tentative="1">
      <w:start w:val="1"/>
      <w:numFmt w:val="bullet"/>
      <w:lvlText w:val=""/>
      <w:lvlJc w:val="left"/>
      <w:pPr>
        <w:tabs>
          <w:tab w:val="num" w:pos="3600"/>
        </w:tabs>
        <w:ind w:left="3600" w:hanging="360"/>
      </w:pPr>
      <w:rPr>
        <w:rFonts w:ascii="Wingdings" w:hAnsi="Wingdings" w:hint="default"/>
      </w:rPr>
    </w:lvl>
    <w:lvl w:ilvl="5" w:tplc="D5F25ACC" w:tentative="1">
      <w:start w:val="1"/>
      <w:numFmt w:val="bullet"/>
      <w:lvlText w:val=""/>
      <w:lvlJc w:val="left"/>
      <w:pPr>
        <w:tabs>
          <w:tab w:val="num" w:pos="4320"/>
        </w:tabs>
        <w:ind w:left="4320" w:hanging="360"/>
      </w:pPr>
      <w:rPr>
        <w:rFonts w:ascii="Wingdings" w:hAnsi="Wingdings" w:hint="default"/>
      </w:rPr>
    </w:lvl>
    <w:lvl w:ilvl="6" w:tplc="A66292D4" w:tentative="1">
      <w:start w:val="1"/>
      <w:numFmt w:val="bullet"/>
      <w:lvlText w:val=""/>
      <w:lvlJc w:val="left"/>
      <w:pPr>
        <w:tabs>
          <w:tab w:val="num" w:pos="5040"/>
        </w:tabs>
        <w:ind w:left="5040" w:hanging="360"/>
      </w:pPr>
      <w:rPr>
        <w:rFonts w:ascii="Wingdings" w:hAnsi="Wingdings" w:hint="default"/>
      </w:rPr>
    </w:lvl>
    <w:lvl w:ilvl="7" w:tplc="60D2D7B8" w:tentative="1">
      <w:start w:val="1"/>
      <w:numFmt w:val="bullet"/>
      <w:lvlText w:val=""/>
      <w:lvlJc w:val="left"/>
      <w:pPr>
        <w:tabs>
          <w:tab w:val="num" w:pos="5760"/>
        </w:tabs>
        <w:ind w:left="5760" w:hanging="360"/>
      </w:pPr>
      <w:rPr>
        <w:rFonts w:ascii="Wingdings" w:hAnsi="Wingdings" w:hint="default"/>
      </w:rPr>
    </w:lvl>
    <w:lvl w:ilvl="8" w:tplc="55807E7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8D71592"/>
    <w:multiLevelType w:val="multilevel"/>
    <w:tmpl w:val="6F94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F7B2A"/>
    <w:multiLevelType w:val="multilevel"/>
    <w:tmpl w:val="7DBC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C67FE"/>
    <w:multiLevelType w:val="hybridMultilevel"/>
    <w:tmpl w:val="7A94EA40"/>
    <w:lvl w:ilvl="0" w:tplc="561275F0">
      <w:start w:val="1"/>
      <w:numFmt w:val="bullet"/>
      <w:lvlText w:val=""/>
      <w:lvlJc w:val="left"/>
      <w:pPr>
        <w:tabs>
          <w:tab w:val="num" w:pos="720"/>
        </w:tabs>
        <w:ind w:left="720" w:hanging="360"/>
      </w:pPr>
      <w:rPr>
        <w:rFonts w:ascii="Wingdings" w:hAnsi="Wingdings" w:hint="default"/>
      </w:rPr>
    </w:lvl>
    <w:lvl w:ilvl="1" w:tplc="DF7080BA" w:tentative="1">
      <w:start w:val="1"/>
      <w:numFmt w:val="bullet"/>
      <w:lvlText w:val=""/>
      <w:lvlJc w:val="left"/>
      <w:pPr>
        <w:tabs>
          <w:tab w:val="num" w:pos="1440"/>
        </w:tabs>
        <w:ind w:left="1440" w:hanging="360"/>
      </w:pPr>
      <w:rPr>
        <w:rFonts w:ascii="Wingdings" w:hAnsi="Wingdings" w:hint="default"/>
      </w:rPr>
    </w:lvl>
    <w:lvl w:ilvl="2" w:tplc="ED904FE4" w:tentative="1">
      <w:start w:val="1"/>
      <w:numFmt w:val="bullet"/>
      <w:lvlText w:val=""/>
      <w:lvlJc w:val="left"/>
      <w:pPr>
        <w:tabs>
          <w:tab w:val="num" w:pos="2160"/>
        </w:tabs>
        <w:ind w:left="2160" w:hanging="360"/>
      </w:pPr>
      <w:rPr>
        <w:rFonts w:ascii="Wingdings" w:hAnsi="Wingdings" w:hint="default"/>
      </w:rPr>
    </w:lvl>
    <w:lvl w:ilvl="3" w:tplc="5EBE3D72" w:tentative="1">
      <w:start w:val="1"/>
      <w:numFmt w:val="bullet"/>
      <w:lvlText w:val=""/>
      <w:lvlJc w:val="left"/>
      <w:pPr>
        <w:tabs>
          <w:tab w:val="num" w:pos="2880"/>
        </w:tabs>
        <w:ind w:left="2880" w:hanging="360"/>
      </w:pPr>
      <w:rPr>
        <w:rFonts w:ascii="Wingdings" w:hAnsi="Wingdings" w:hint="default"/>
      </w:rPr>
    </w:lvl>
    <w:lvl w:ilvl="4" w:tplc="CB94747A" w:tentative="1">
      <w:start w:val="1"/>
      <w:numFmt w:val="bullet"/>
      <w:lvlText w:val=""/>
      <w:lvlJc w:val="left"/>
      <w:pPr>
        <w:tabs>
          <w:tab w:val="num" w:pos="3600"/>
        </w:tabs>
        <w:ind w:left="3600" w:hanging="360"/>
      </w:pPr>
      <w:rPr>
        <w:rFonts w:ascii="Wingdings" w:hAnsi="Wingdings" w:hint="default"/>
      </w:rPr>
    </w:lvl>
    <w:lvl w:ilvl="5" w:tplc="F1D4F7B0" w:tentative="1">
      <w:start w:val="1"/>
      <w:numFmt w:val="bullet"/>
      <w:lvlText w:val=""/>
      <w:lvlJc w:val="left"/>
      <w:pPr>
        <w:tabs>
          <w:tab w:val="num" w:pos="4320"/>
        </w:tabs>
        <w:ind w:left="4320" w:hanging="360"/>
      </w:pPr>
      <w:rPr>
        <w:rFonts w:ascii="Wingdings" w:hAnsi="Wingdings" w:hint="default"/>
      </w:rPr>
    </w:lvl>
    <w:lvl w:ilvl="6" w:tplc="CAC0AF44" w:tentative="1">
      <w:start w:val="1"/>
      <w:numFmt w:val="bullet"/>
      <w:lvlText w:val=""/>
      <w:lvlJc w:val="left"/>
      <w:pPr>
        <w:tabs>
          <w:tab w:val="num" w:pos="5040"/>
        </w:tabs>
        <w:ind w:left="5040" w:hanging="360"/>
      </w:pPr>
      <w:rPr>
        <w:rFonts w:ascii="Wingdings" w:hAnsi="Wingdings" w:hint="default"/>
      </w:rPr>
    </w:lvl>
    <w:lvl w:ilvl="7" w:tplc="6CEC16E0" w:tentative="1">
      <w:start w:val="1"/>
      <w:numFmt w:val="bullet"/>
      <w:lvlText w:val=""/>
      <w:lvlJc w:val="left"/>
      <w:pPr>
        <w:tabs>
          <w:tab w:val="num" w:pos="5760"/>
        </w:tabs>
        <w:ind w:left="5760" w:hanging="360"/>
      </w:pPr>
      <w:rPr>
        <w:rFonts w:ascii="Wingdings" w:hAnsi="Wingdings" w:hint="default"/>
      </w:rPr>
    </w:lvl>
    <w:lvl w:ilvl="8" w:tplc="F3687AC4"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AC74916"/>
    <w:multiLevelType w:val="multilevel"/>
    <w:tmpl w:val="20D4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F75DAD"/>
    <w:multiLevelType w:val="hybridMultilevel"/>
    <w:tmpl w:val="E8D49C90"/>
    <w:lvl w:ilvl="0" w:tplc="C14E63F2">
      <w:start w:val="1"/>
      <w:numFmt w:val="bullet"/>
      <w:lvlText w:val=""/>
      <w:lvlJc w:val="left"/>
      <w:pPr>
        <w:tabs>
          <w:tab w:val="num" w:pos="720"/>
        </w:tabs>
        <w:ind w:left="720" w:hanging="360"/>
      </w:pPr>
      <w:rPr>
        <w:rFonts w:ascii="Wingdings" w:hAnsi="Wingdings" w:hint="default"/>
      </w:rPr>
    </w:lvl>
    <w:lvl w:ilvl="1" w:tplc="AE709F1C" w:tentative="1">
      <w:start w:val="1"/>
      <w:numFmt w:val="bullet"/>
      <w:lvlText w:val=""/>
      <w:lvlJc w:val="left"/>
      <w:pPr>
        <w:tabs>
          <w:tab w:val="num" w:pos="1440"/>
        </w:tabs>
        <w:ind w:left="1440" w:hanging="360"/>
      </w:pPr>
      <w:rPr>
        <w:rFonts w:ascii="Wingdings" w:hAnsi="Wingdings" w:hint="default"/>
      </w:rPr>
    </w:lvl>
    <w:lvl w:ilvl="2" w:tplc="73D65E42" w:tentative="1">
      <w:start w:val="1"/>
      <w:numFmt w:val="bullet"/>
      <w:lvlText w:val=""/>
      <w:lvlJc w:val="left"/>
      <w:pPr>
        <w:tabs>
          <w:tab w:val="num" w:pos="2160"/>
        </w:tabs>
        <w:ind w:left="2160" w:hanging="360"/>
      </w:pPr>
      <w:rPr>
        <w:rFonts w:ascii="Wingdings" w:hAnsi="Wingdings" w:hint="default"/>
      </w:rPr>
    </w:lvl>
    <w:lvl w:ilvl="3" w:tplc="8F3C70E8" w:tentative="1">
      <w:start w:val="1"/>
      <w:numFmt w:val="bullet"/>
      <w:lvlText w:val=""/>
      <w:lvlJc w:val="left"/>
      <w:pPr>
        <w:tabs>
          <w:tab w:val="num" w:pos="2880"/>
        </w:tabs>
        <w:ind w:left="2880" w:hanging="360"/>
      </w:pPr>
      <w:rPr>
        <w:rFonts w:ascii="Wingdings" w:hAnsi="Wingdings" w:hint="default"/>
      </w:rPr>
    </w:lvl>
    <w:lvl w:ilvl="4" w:tplc="03A2D730" w:tentative="1">
      <w:start w:val="1"/>
      <w:numFmt w:val="bullet"/>
      <w:lvlText w:val=""/>
      <w:lvlJc w:val="left"/>
      <w:pPr>
        <w:tabs>
          <w:tab w:val="num" w:pos="3600"/>
        </w:tabs>
        <w:ind w:left="3600" w:hanging="360"/>
      </w:pPr>
      <w:rPr>
        <w:rFonts w:ascii="Wingdings" w:hAnsi="Wingdings" w:hint="default"/>
      </w:rPr>
    </w:lvl>
    <w:lvl w:ilvl="5" w:tplc="D56056B4" w:tentative="1">
      <w:start w:val="1"/>
      <w:numFmt w:val="bullet"/>
      <w:lvlText w:val=""/>
      <w:lvlJc w:val="left"/>
      <w:pPr>
        <w:tabs>
          <w:tab w:val="num" w:pos="4320"/>
        </w:tabs>
        <w:ind w:left="4320" w:hanging="360"/>
      </w:pPr>
      <w:rPr>
        <w:rFonts w:ascii="Wingdings" w:hAnsi="Wingdings" w:hint="default"/>
      </w:rPr>
    </w:lvl>
    <w:lvl w:ilvl="6" w:tplc="8B4A0D82" w:tentative="1">
      <w:start w:val="1"/>
      <w:numFmt w:val="bullet"/>
      <w:lvlText w:val=""/>
      <w:lvlJc w:val="left"/>
      <w:pPr>
        <w:tabs>
          <w:tab w:val="num" w:pos="5040"/>
        </w:tabs>
        <w:ind w:left="5040" w:hanging="360"/>
      </w:pPr>
      <w:rPr>
        <w:rFonts w:ascii="Wingdings" w:hAnsi="Wingdings" w:hint="default"/>
      </w:rPr>
    </w:lvl>
    <w:lvl w:ilvl="7" w:tplc="95E04556" w:tentative="1">
      <w:start w:val="1"/>
      <w:numFmt w:val="bullet"/>
      <w:lvlText w:val=""/>
      <w:lvlJc w:val="left"/>
      <w:pPr>
        <w:tabs>
          <w:tab w:val="num" w:pos="5760"/>
        </w:tabs>
        <w:ind w:left="5760" w:hanging="360"/>
      </w:pPr>
      <w:rPr>
        <w:rFonts w:ascii="Wingdings" w:hAnsi="Wingdings" w:hint="default"/>
      </w:rPr>
    </w:lvl>
    <w:lvl w:ilvl="8" w:tplc="734CB09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30514AD"/>
    <w:multiLevelType w:val="hybridMultilevel"/>
    <w:tmpl w:val="8312E6B6"/>
    <w:lvl w:ilvl="0" w:tplc="F3D60C58">
      <w:start w:val="1"/>
      <w:numFmt w:val="taiwaneseCountingThousand"/>
      <w:lvlText w:val="%1、"/>
      <w:lvlJc w:val="left"/>
      <w:pPr>
        <w:tabs>
          <w:tab w:val="num" w:pos="480"/>
        </w:tabs>
        <w:ind w:left="480" w:hanging="480"/>
      </w:pPr>
      <w:rPr>
        <w:rFonts w:hint="eastAsia"/>
      </w:rPr>
    </w:lvl>
    <w:lvl w:ilvl="1" w:tplc="F3D60C58">
      <w:start w:val="1"/>
      <w:numFmt w:val="taiwaneseCountingThousand"/>
      <w:lvlText w:val="%2、"/>
      <w:lvlJc w:val="left"/>
      <w:pPr>
        <w:tabs>
          <w:tab w:val="num" w:pos="480"/>
        </w:tabs>
        <w:ind w:left="480" w:hanging="480"/>
      </w:pPr>
      <w:rPr>
        <w:rFonts w:hint="eastAsia"/>
      </w:rPr>
    </w:lvl>
    <w:lvl w:ilvl="2" w:tplc="80022BA2">
      <w:start w:val="1"/>
      <w:numFmt w:val="taiwaneseCountingThousand"/>
      <w:lvlText w:val="(%3)"/>
      <w:lvlJc w:val="left"/>
      <w:pPr>
        <w:tabs>
          <w:tab w:val="num" w:pos="1350"/>
        </w:tabs>
        <w:ind w:left="1350" w:hanging="390"/>
      </w:pPr>
      <w:rPr>
        <w:rFonts w:hint="eastAsia"/>
      </w:r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362452BE"/>
    <w:multiLevelType w:val="hybridMultilevel"/>
    <w:tmpl w:val="216A515C"/>
    <w:lvl w:ilvl="0" w:tplc="B2E6B6F8">
      <w:start w:val="1"/>
      <w:numFmt w:val="bullet"/>
      <w:lvlText w:val=""/>
      <w:lvlJc w:val="left"/>
      <w:pPr>
        <w:tabs>
          <w:tab w:val="num" w:pos="720"/>
        </w:tabs>
        <w:ind w:left="720" w:hanging="360"/>
      </w:pPr>
      <w:rPr>
        <w:rFonts w:ascii="Wingdings" w:hAnsi="Wingdings" w:hint="default"/>
      </w:rPr>
    </w:lvl>
    <w:lvl w:ilvl="1" w:tplc="EDA69608" w:tentative="1">
      <w:start w:val="1"/>
      <w:numFmt w:val="bullet"/>
      <w:lvlText w:val=""/>
      <w:lvlJc w:val="left"/>
      <w:pPr>
        <w:tabs>
          <w:tab w:val="num" w:pos="1440"/>
        </w:tabs>
        <w:ind w:left="1440" w:hanging="360"/>
      </w:pPr>
      <w:rPr>
        <w:rFonts w:ascii="Wingdings" w:hAnsi="Wingdings" w:hint="default"/>
      </w:rPr>
    </w:lvl>
    <w:lvl w:ilvl="2" w:tplc="20EEBAF0" w:tentative="1">
      <w:start w:val="1"/>
      <w:numFmt w:val="bullet"/>
      <w:lvlText w:val=""/>
      <w:lvlJc w:val="left"/>
      <w:pPr>
        <w:tabs>
          <w:tab w:val="num" w:pos="2160"/>
        </w:tabs>
        <w:ind w:left="2160" w:hanging="360"/>
      </w:pPr>
      <w:rPr>
        <w:rFonts w:ascii="Wingdings" w:hAnsi="Wingdings" w:hint="default"/>
      </w:rPr>
    </w:lvl>
    <w:lvl w:ilvl="3" w:tplc="FA62193E" w:tentative="1">
      <w:start w:val="1"/>
      <w:numFmt w:val="bullet"/>
      <w:lvlText w:val=""/>
      <w:lvlJc w:val="left"/>
      <w:pPr>
        <w:tabs>
          <w:tab w:val="num" w:pos="2880"/>
        </w:tabs>
        <w:ind w:left="2880" w:hanging="360"/>
      </w:pPr>
      <w:rPr>
        <w:rFonts w:ascii="Wingdings" w:hAnsi="Wingdings" w:hint="default"/>
      </w:rPr>
    </w:lvl>
    <w:lvl w:ilvl="4" w:tplc="CE6487B8" w:tentative="1">
      <w:start w:val="1"/>
      <w:numFmt w:val="bullet"/>
      <w:lvlText w:val=""/>
      <w:lvlJc w:val="left"/>
      <w:pPr>
        <w:tabs>
          <w:tab w:val="num" w:pos="3600"/>
        </w:tabs>
        <w:ind w:left="3600" w:hanging="360"/>
      </w:pPr>
      <w:rPr>
        <w:rFonts w:ascii="Wingdings" w:hAnsi="Wingdings" w:hint="default"/>
      </w:rPr>
    </w:lvl>
    <w:lvl w:ilvl="5" w:tplc="2D801092" w:tentative="1">
      <w:start w:val="1"/>
      <w:numFmt w:val="bullet"/>
      <w:lvlText w:val=""/>
      <w:lvlJc w:val="left"/>
      <w:pPr>
        <w:tabs>
          <w:tab w:val="num" w:pos="4320"/>
        </w:tabs>
        <w:ind w:left="4320" w:hanging="360"/>
      </w:pPr>
      <w:rPr>
        <w:rFonts w:ascii="Wingdings" w:hAnsi="Wingdings" w:hint="default"/>
      </w:rPr>
    </w:lvl>
    <w:lvl w:ilvl="6" w:tplc="2D1C01FE" w:tentative="1">
      <w:start w:val="1"/>
      <w:numFmt w:val="bullet"/>
      <w:lvlText w:val=""/>
      <w:lvlJc w:val="left"/>
      <w:pPr>
        <w:tabs>
          <w:tab w:val="num" w:pos="5040"/>
        </w:tabs>
        <w:ind w:left="5040" w:hanging="360"/>
      </w:pPr>
      <w:rPr>
        <w:rFonts w:ascii="Wingdings" w:hAnsi="Wingdings" w:hint="default"/>
      </w:rPr>
    </w:lvl>
    <w:lvl w:ilvl="7" w:tplc="AE56903E" w:tentative="1">
      <w:start w:val="1"/>
      <w:numFmt w:val="bullet"/>
      <w:lvlText w:val=""/>
      <w:lvlJc w:val="left"/>
      <w:pPr>
        <w:tabs>
          <w:tab w:val="num" w:pos="5760"/>
        </w:tabs>
        <w:ind w:left="5760" w:hanging="360"/>
      </w:pPr>
      <w:rPr>
        <w:rFonts w:ascii="Wingdings" w:hAnsi="Wingdings" w:hint="default"/>
      </w:rPr>
    </w:lvl>
    <w:lvl w:ilvl="8" w:tplc="36C477B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B1D086C"/>
    <w:multiLevelType w:val="multilevel"/>
    <w:tmpl w:val="B122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3F38D0"/>
    <w:multiLevelType w:val="multilevel"/>
    <w:tmpl w:val="635AE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170077"/>
    <w:multiLevelType w:val="multilevel"/>
    <w:tmpl w:val="EAE2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86577B"/>
    <w:multiLevelType w:val="hybridMultilevel"/>
    <w:tmpl w:val="939C4090"/>
    <w:lvl w:ilvl="0" w:tplc="47005E62">
      <w:start w:val="1"/>
      <w:numFmt w:val="bullet"/>
      <w:lvlText w:val=""/>
      <w:lvlJc w:val="left"/>
      <w:pPr>
        <w:tabs>
          <w:tab w:val="num" w:pos="720"/>
        </w:tabs>
        <w:ind w:left="720" w:hanging="360"/>
      </w:pPr>
      <w:rPr>
        <w:rFonts w:ascii="Wingdings" w:hAnsi="Wingdings" w:hint="default"/>
      </w:rPr>
    </w:lvl>
    <w:lvl w:ilvl="1" w:tplc="35928154" w:tentative="1">
      <w:start w:val="1"/>
      <w:numFmt w:val="bullet"/>
      <w:lvlText w:val=""/>
      <w:lvlJc w:val="left"/>
      <w:pPr>
        <w:tabs>
          <w:tab w:val="num" w:pos="1440"/>
        </w:tabs>
        <w:ind w:left="1440" w:hanging="360"/>
      </w:pPr>
      <w:rPr>
        <w:rFonts w:ascii="Wingdings" w:hAnsi="Wingdings" w:hint="default"/>
      </w:rPr>
    </w:lvl>
    <w:lvl w:ilvl="2" w:tplc="F2AC5B5A" w:tentative="1">
      <w:start w:val="1"/>
      <w:numFmt w:val="bullet"/>
      <w:lvlText w:val=""/>
      <w:lvlJc w:val="left"/>
      <w:pPr>
        <w:tabs>
          <w:tab w:val="num" w:pos="2160"/>
        </w:tabs>
        <w:ind w:left="2160" w:hanging="360"/>
      </w:pPr>
      <w:rPr>
        <w:rFonts w:ascii="Wingdings" w:hAnsi="Wingdings" w:hint="default"/>
      </w:rPr>
    </w:lvl>
    <w:lvl w:ilvl="3" w:tplc="01649F46" w:tentative="1">
      <w:start w:val="1"/>
      <w:numFmt w:val="bullet"/>
      <w:lvlText w:val=""/>
      <w:lvlJc w:val="left"/>
      <w:pPr>
        <w:tabs>
          <w:tab w:val="num" w:pos="2880"/>
        </w:tabs>
        <w:ind w:left="2880" w:hanging="360"/>
      </w:pPr>
      <w:rPr>
        <w:rFonts w:ascii="Wingdings" w:hAnsi="Wingdings" w:hint="default"/>
      </w:rPr>
    </w:lvl>
    <w:lvl w:ilvl="4" w:tplc="BBEAB180" w:tentative="1">
      <w:start w:val="1"/>
      <w:numFmt w:val="bullet"/>
      <w:lvlText w:val=""/>
      <w:lvlJc w:val="left"/>
      <w:pPr>
        <w:tabs>
          <w:tab w:val="num" w:pos="3600"/>
        </w:tabs>
        <w:ind w:left="3600" w:hanging="360"/>
      </w:pPr>
      <w:rPr>
        <w:rFonts w:ascii="Wingdings" w:hAnsi="Wingdings" w:hint="default"/>
      </w:rPr>
    </w:lvl>
    <w:lvl w:ilvl="5" w:tplc="16AC1E94" w:tentative="1">
      <w:start w:val="1"/>
      <w:numFmt w:val="bullet"/>
      <w:lvlText w:val=""/>
      <w:lvlJc w:val="left"/>
      <w:pPr>
        <w:tabs>
          <w:tab w:val="num" w:pos="4320"/>
        </w:tabs>
        <w:ind w:left="4320" w:hanging="360"/>
      </w:pPr>
      <w:rPr>
        <w:rFonts w:ascii="Wingdings" w:hAnsi="Wingdings" w:hint="default"/>
      </w:rPr>
    </w:lvl>
    <w:lvl w:ilvl="6" w:tplc="819E0940" w:tentative="1">
      <w:start w:val="1"/>
      <w:numFmt w:val="bullet"/>
      <w:lvlText w:val=""/>
      <w:lvlJc w:val="left"/>
      <w:pPr>
        <w:tabs>
          <w:tab w:val="num" w:pos="5040"/>
        </w:tabs>
        <w:ind w:left="5040" w:hanging="360"/>
      </w:pPr>
      <w:rPr>
        <w:rFonts w:ascii="Wingdings" w:hAnsi="Wingdings" w:hint="default"/>
      </w:rPr>
    </w:lvl>
    <w:lvl w:ilvl="7" w:tplc="1DC215B0" w:tentative="1">
      <w:start w:val="1"/>
      <w:numFmt w:val="bullet"/>
      <w:lvlText w:val=""/>
      <w:lvlJc w:val="left"/>
      <w:pPr>
        <w:tabs>
          <w:tab w:val="num" w:pos="5760"/>
        </w:tabs>
        <w:ind w:left="5760" w:hanging="360"/>
      </w:pPr>
      <w:rPr>
        <w:rFonts w:ascii="Wingdings" w:hAnsi="Wingdings" w:hint="default"/>
      </w:rPr>
    </w:lvl>
    <w:lvl w:ilvl="8" w:tplc="70C4858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2D95C9E"/>
    <w:multiLevelType w:val="hybridMultilevel"/>
    <w:tmpl w:val="C388E362"/>
    <w:lvl w:ilvl="0" w:tplc="E99E12D0">
      <w:start w:val="1"/>
      <w:numFmt w:val="bullet"/>
      <w:lvlText w:val=""/>
      <w:lvlJc w:val="left"/>
      <w:pPr>
        <w:tabs>
          <w:tab w:val="num" w:pos="720"/>
        </w:tabs>
        <w:ind w:left="720" w:hanging="360"/>
      </w:pPr>
      <w:rPr>
        <w:rFonts w:ascii="Wingdings" w:hAnsi="Wingdings" w:hint="default"/>
      </w:rPr>
    </w:lvl>
    <w:lvl w:ilvl="1" w:tplc="199CD69C" w:tentative="1">
      <w:start w:val="1"/>
      <w:numFmt w:val="bullet"/>
      <w:lvlText w:val=""/>
      <w:lvlJc w:val="left"/>
      <w:pPr>
        <w:tabs>
          <w:tab w:val="num" w:pos="1440"/>
        </w:tabs>
        <w:ind w:left="1440" w:hanging="360"/>
      </w:pPr>
      <w:rPr>
        <w:rFonts w:ascii="Wingdings" w:hAnsi="Wingdings" w:hint="default"/>
      </w:rPr>
    </w:lvl>
    <w:lvl w:ilvl="2" w:tplc="CD444AD2" w:tentative="1">
      <w:start w:val="1"/>
      <w:numFmt w:val="bullet"/>
      <w:lvlText w:val=""/>
      <w:lvlJc w:val="left"/>
      <w:pPr>
        <w:tabs>
          <w:tab w:val="num" w:pos="2160"/>
        </w:tabs>
        <w:ind w:left="2160" w:hanging="360"/>
      </w:pPr>
      <w:rPr>
        <w:rFonts w:ascii="Wingdings" w:hAnsi="Wingdings" w:hint="default"/>
      </w:rPr>
    </w:lvl>
    <w:lvl w:ilvl="3" w:tplc="B1602DDC" w:tentative="1">
      <w:start w:val="1"/>
      <w:numFmt w:val="bullet"/>
      <w:lvlText w:val=""/>
      <w:lvlJc w:val="left"/>
      <w:pPr>
        <w:tabs>
          <w:tab w:val="num" w:pos="2880"/>
        </w:tabs>
        <w:ind w:left="2880" w:hanging="360"/>
      </w:pPr>
      <w:rPr>
        <w:rFonts w:ascii="Wingdings" w:hAnsi="Wingdings" w:hint="default"/>
      </w:rPr>
    </w:lvl>
    <w:lvl w:ilvl="4" w:tplc="97CA97E6" w:tentative="1">
      <w:start w:val="1"/>
      <w:numFmt w:val="bullet"/>
      <w:lvlText w:val=""/>
      <w:lvlJc w:val="left"/>
      <w:pPr>
        <w:tabs>
          <w:tab w:val="num" w:pos="3600"/>
        </w:tabs>
        <w:ind w:left="3600" w:hanging="360"/>
      </w:pPr>
      <w:rPr>
        <w:rFonts w:ascii="Wingdings" w:hAnsi="Wingdings" w:hint="default"/>
      </w:rPr>
    </w:lvl>
    <w:lvl w:ilvl="5" w:tplc="EADE0E1A" w:tentative="1">
      <w:start w:val="1"/>
      <w:numFmt w:val="bullet"/>
      <w:lvlText w:val=""/>
      <w:lvlJc w:val="left"/>
      <w:pPr>
        <w:tabs>
          <w:tab w:val="num" w:pos="4320"/>
        </w:tabs>
        <w:ind w:left="4320" w:hanging="360"/>
      </w:pPr>
      <w:rPr>
        <w:rFonts w:ascii="Wingdings" w:hAnsi="Wingdings" w:hint="default"/>
      </w:rPr>
    </w:lvl>
    <w:lvl w:ilvl="6" w:tplc="699E653E" w:tentative="1">
      <w:start w:val="1"/>
      <w:numFmt w:val="bullet"/>
      <w:lvlText w:val=""/>
      <w:lvlJc w:val="left"/>
      <w:pPr>
        <w:tabs>
          <w:tab w:val="num" w:pos="5040"/>
        </w:tabs>
        <w:ind w:left="5040" w:hanging="360"/>
      </w:pPr>
      <w:rPr>
        <w:rFonts w:ascii="Wingdings" w:hAnsi="Wingdings" w:hint="default"/>
      </w:rPr>
    </w:lvl>
    <w:lvl w:ilvl="7" w:tplc="5C72DCA6" w:tentative="1">
      <w:start w:val="1"/>
      <w:numFmt w:val="bullet"/>
      <w:lvlText w:val=""/>
      <w:lvlJc w:val="left"/>
      <w:pPr>
        <w:tabs>
          <w:tab w:val="num" w:pos="5760"/>
        </w:tabs>
        <w:ind w:left="5760" w:hanging="360"/>
      </w:pPr>
      <w:rPr>
        <w:rFonts w:ascii="Wingdings" w:hAnsi="Wingdings" w:hint="default"/>
      </w:rPr>
    </w:lvl>
    <w:lvl w:ilvl="8" w:tplc="901CE9B4"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7585647"/>
    <w:multiLevelType w:val="multilevel"/>
    <w:tmpl w:val="5C50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1222B2"/>
    <w:multiLevelType w:val="multilevel"/>
    <w:tmpl w:val="8FEE3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F75EA6"/>
    <w:multiLevelType w:val="singleLevel"/>
    <w:tmpl w:val="82C2BE82"/>
    <w:lvl w:ilvl="0">
      <w:start w:val="1"/>
      <w:numFmt w:val="taiwaneseCountingThousand"/>
      <w:lvlText w:val="(%1)"/>
      <w:lvlJc w:val="left"/>
      <w:pPr>
        <w:tabs>
          <w:tab w:val="num" w:pos="870"/>
        </w:tabs>
        <w:ind w:left="870" w:hanging="390"/>
      </w:pPr>
      <w:rPr>
        <w:rFonts w:hint="eastAsia"/>
      </w:rPr>
    </w:lvl>
  </w:abstractNum>
  <w:abstractNum w:abstractNumId="17" w15:restartNumberingAfterBreak="0">
    <w:nsid w:val="7E6241C2"/>
    <w:multiLevelType w:val="hybridMultilevel"/>
    <w:tmpl w:val="DF38EBB2"/>
    <w:lvl w:ilvl="0" w:tplc="1B947C6C">
      <w:start w:val="1"/>
      <w:numFmt w:val="decimal"/>
      <w:lvlText w:val="%1."/>
      <w:lvlJc w:val="left"/>
      <w:pPr>
        <w:tabs>
          <w:tab w:val="num" w:pos="885"/>
        </w:tabs>
        <w:ind w:left="885" w:hanging="360"/>
      </w:pPr>
      <w:rPr>
        <w:rFonts w:hint="eastAsia"/>
      </w:rPr>
    </w:lvl>
    <w:lvl w:ilvl="1" w:tplc="04090019" w:tentative="1">
      <w:start w:val="1"/>
      <w:numFmt w:val="ideographTraditional"/>
      <w:lvlText w:val="%2、"/>
      <w:lvlJc w:val="left"/>
      <w:pPr>
        <w:tabs>
          <w:tab w:val="num" w:pos="1485"/>
        </w:tabs>
        <w:ind w:left="1485" w:hanging="480"/>
      </w:pPr>
    </w:lvl>
    <w:lvl w:ilvl="2" w:tplc="0409001B" w:tentative="1">
      <w:start w:val="1"/>
      <w:numFmt w:val="lowerRoman"/>
      <w:lvlText w:val="%3."/>
      <w:lvlJc w:val="right"/>
      <w:pPr>
        <w:tabs>
          <w:tab w:val="num" w:pos="1965"/>
        </w:tabs>
        <w:ind w:left="1965" w:hanging="480"/>
      </w:pPr>
    </w:lvl>
    <w:lvl w:ilvl="3" w:tplc="0409000F" w:tentative="1">
      <w:start w:val="1"/>
      <w:numFmt w:val="decimal"/>
      <w:lvlText w:val="%4."/>
      <w:lvlJc w:val="left"/>
      <w:pPr>
        <w:tabs>
          <w:tab w:val="num" w:pos="2445"/>
        </w:tabs>
        <w:ind w:left="2445" w:hanging="480"/>
      </w:pPr>
    </w:lvl>
    <w:lvl w:ilvl="4" w:tplc="04090019" w:tentative="1">
      <w:start w:val="1"/>
      <w:numFmt w:val="ideographTraditional"/>
      <w:lvlText w:val="%5、"/>
      <w:lvlJc w:val="left"/>
      <w:pPr>
        <w:tabs>
          <w:tab w:val="num" w:pos="2925"/>
        </w:tabs>
        <w:ind w:left="2925" w:hanging="480"/>
      </w:pPr>
    </w:lvl>
    <w:lvl w:ilvl="5" w:tplc="0409001B" w:tentative="1">
      <w:start w:val="1"/>
      <w:numFmt w:val="lowerRoman"/>
      <w:lvlText w:val="%6."/>
      <w:lvlJc w:val="right"/>
      <w:pPr>
        <w:tabs>
          <w:tab w:val="num" w:pos="3405"/>
        </w:tabs>
        <w:ind w:left="3405" w:hanging="480"/>
      </w:pPr>
    </w:lvl>
    <w:lvl w:ilvl="6" w:tplc="0409000F" w:tentative="1">
      <w:start w:val="1"/>
      <w:numFmt w:val="decimal"/>
      <w:lvlText w:val="%7."/>
      <w:lvlJc w:val="left"/>
      <w:pPr>
        <w:tabs>
          <w:tab w:val="num" w:pos="3885"/>
        </w:tabs>
        <w:ind w:left="3885" w:hanging="480"/>
      </w:pPr>
    </w:lvl>
    <w:lvl w:ilvl="7" w:tplc="04090019" w:tentative="1">
      <w:start w:val="1"/>
      <w:numFmt w:val="ideographTraditional"/>
      <w:lvlText w:val="%8、"/>
      <w:lvlJc w:val="left"/>
      <w:pPr>
        <w:tabs>
          <w:tab w:val="num" w:pos="4365"/>
        </w:tabs>
        <w:ind w:left="4365" w:hanging="480"/>
      </w:pPr>
    </w:lvl>
    <w:lvl w:ilvl="8" w:tplc="0409001B" w:tentative="1">
      <w:start w:val="1"/>
      <w:numFmt w:val="lowerRoman"/>
      <w:lvlText w:val="%9."/>
      <w:lvlJc w:val="right"/>
      <w:pPr>
        <w:tabs>
          <w:tab w:val="num" w:pos="4845"/>
        </w:tabs>
        <w:ind w:left="4845" w:hanging="480"/>
      </w:pPr>
    </w:lvl>
  </w:abstractNum>
  <w:num w:numId="1">
    <w:abstractNumId w:val="7"/>
  </w:num>
  <w:num w:numId="2">
    <w:abstractNumId w:val="16"/>
  </w:num>
  <w:num w:numId="3">
    <w:abstractNumId w:val="17"/>
  </w:num>
  <w:num w:numId="4">
    <w:abstractNumId w:val="0"/>
  </w:num>
  <w:num w:numId="5">
    <w:abstractNumId w:val="13"/>
  </w:num>
  <w:num w:numId="6">
    <w:abstractNumId w:val="12"/>
  </w:num>
  <w:num w:numId="7">
    <w:abstractNumId w:val="6"/>
  </w:num>
  <w:num w:numId="8">
    <w:abstractNumId w:val="8"/>
  </w:num>
  <w:num w:numId="9">
    <w:abstractNumId w:val="4"/>
  </w:num>
  <w:num w:numId="10">
    <w:abstractNumId w:val="1"/>
  </w:num>
  <w:num w:numId="11">
    <w:abstractNumId w:val="9"/>
  </w:num>
  <w:num w:numId="12">
    <w:abstractNumId w:val="5"/>
  </w:num>
  <w:num w:numId="13">
    <w:abstractNumId w:val="15"/>
  </w:num>
  <w:num w:numId="14">
    <w:abstractNumId w:val="10"/>
  </w:num>
  <w:num w:numId="15">
    <w:abstractNumId w:val="2"/>
  </w:num>
  <w:num w:numId="16">
    <w:abstractNumId w:val="3"/>
  </w:num>
  <w:num w:numId="17">
    <w:abstractNumId w:val="11"/>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bordersDoNotSurroundHeader/>
  <w:bordersDoNotSurroundFooter/>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3C4"/>
    <w:rsid w:val="00024186"/>
    <w:rsid w:val="0003222F"/>
    <w:rsid w:val="00043449"/>
    <w:rsid w:val="000461EA"/>
    <w:rsid w:val="00072393"/>
    <w:rsid w:val="0009241F"/>
    <w:rsid w:val="00092F5E"/>
    <w:rsid w:val="000D027C"/>
    <w:rsid w:val="000E0788"/>
    <w:rsid w:val="001258B3"/>
    <w:rsid w:val="001522AA"/>
    <w:rsid w:val="001726BB"/>
    <w:rsid w:val="001B791B"/>
    <w:rsid w:val="001E75C2"/>
    <w:rsid w:val="001F2B8B"/>
    <w:rsid w:val="001F57F5"/>
    <w:rsid w:val="00203F09"/>
    <w:rsid w:val="00213884"/>
    <w:rsid w:val="002476B6"/>
    <w:rsid w:val="00286098"/>
    <w:rsid w:val="00294056"/>
    <w:rsid w:val="002B02B4"/>
    <w:rsid w:val="002B49A3"/>
    <w:rsid w:val="002D367D"/>
    <w:rsid w:val="002D6A9A"/>
    <w:rsid w:val="002F1079"/>
    <w:rsid w:val="00322970"/>
    <w:rsid w:val="003468C0"/>
    <w:rsid w:val="00347C93"/>
    <w:rsid w:val="00374BD8"/>
    <w:rsid w:val="003946EB"/>
    <w:rsid w:val="003A0F03"/>
    <w:rsid w:val="003A34B6"/>
    <w:rsid w:val="0046107C"/>
    <w:rsid w:val="00475696"/>
    <w:rsid w:val="004B1696"/>
    <w:rsid w:val="004C327D"/>
    <w:rsid w:val="004C34AF"/>
    <w:rsid w:val="004D37D6"/>
    <w:rsid w:val="00541351"/>
    <w:rsid w:val="00547F84"/>
    <w:rsid w:val="005677A8"/>
    <w:rsid w:val="005C4E9D"/>
    <w:rsid w:val="005D7624"/>
    <w:rsid w:val="006176CF"/>
    <w:rsid w:val="00620A8C"/>
    <w:rsid w:val="00627E3B"/>
    <w:rsid w:val="0069097F"/>
    <w:rsid w:val="006F60A1"/>
    <w:rsid w:val="00707799"/>
    <w:rsid w:val="00712380"/>
    <w:rsid w:val="00727B7F"/>
    <w:rsid w:val="00791F67"/>
    <w:rsid w:val="007B2415"/>
    <w:rsid w:val="007E67BA"/>
    <w:rsid w:val="00812F81"/>
    <w:rsid w:val="0082066D"/>
    <w:rsid w:val="00825C35"/>
    <w:rsid w:val="00833F68"/>
    <w:rsid w:val="00845269"/>
    <w:rsid w:val="0085498A"/>
    <w:rsid w:val="008706C0"/>
    <w:rsid w:val="00893FDC"/>
    <w:rsid w:val="008B51AA"/>
    <w:rsid w:val="008C0DF2"/>
    <w:rsid w:val="00946A0A"/>
    <w:rsid w:val="009700B0"/>
    <w:rsid w:val="009F34AE"/>
    <w:rsid w:val="00A05663"/>
    <w:rsid w:val="00A172A2"/>
    <w:rsid w:val="00A243C4"/>
    <w:rsid w:val="00A5683D"/>
    <w:rsid w:val="00A662F4"/>
    <w:rsid w:val="00A66404"/>
    <w:rsid w:val="00A92437"/>
    <w:rsid w:val="00AA464B"/>
    <w:rsid w:val="00AC356F"/>
    <w:rsid w:val="00B002D6"/>
    <w:rsid w:val="00B43A58"/>
    <w:rsid w:val="00B504C7"/>
    <w:rsid w:val="00B5482D"/>
    <w:rsid w:val="00B54D0D"/>
    <w:rsid w:val="00B54DE2"/>
    <w:rsid w:val="00B8182C"/>
    <w:rsid w:val="00BA2E6D"/>
    <w:rsid w:val="00C17F5D"/>
    <w:rsid w:val="00C349AE"/>
    <w:rsid w:val="00C444F6"/>
    <w:rsid w:val="00C45F6E"/>
    <w:rsid w:val="00C75859"/>
    <w:rsid w:val="00CA3020"/>
    <w:rsid w:val="00CB4640"/>
    <w:rsid w:val="00D33051"/>
    <w:rsid w:val="00D34F20"/>
    <w:rsid w:val="00D81430"/>
    <w:rsid w:val="00E1335E"/>
    <w:rsid w:val="00E21514"/>
    <w:rsid w:val="00E3284E"/>
    <w:rsid w:val="00E43B79"/>
    <w:rsid w:val="00E44330"/>
    <w:rsid w:val="00EC0C0D"/>
    <w:rsid w:val="00EE5298"/>
    <w:rsid w:val="00F0564F"/>
    <w:rsid w:val="00F12150"/>
    <w:rsid w:val="00F147DB"/>
    <w:rsid w:val="00F23508"/>
    <w:rsid w:val="00F92104"/>
    <w:rsid w:val="00FA13B7"/>
    <w:rsid w:val="00FB5850"/>
    <w:rsid w:val="00FD780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259C11"/>
  <w15:chartTrackingRefBased/>
  <w15:docId w15:val="{0EC6BF13-17B1-425A-9401-F5ABEC8C4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243C4"/>
    <w:pPr>
      <w:tabs>
        <w:tab w:val="center" w:pos="4153"/>
        <w:tab w:val="right" w:pos="8306"/>
      </w:tabs>
      <w:snapToGrid w:val="0"/>
    </w:pPr>
    <w:rPr>
      <w:sz w:val="20"/>
      <w:szCs w:val="20"/>
    </w:rPr>
  </w:style>
  <w:style w:type="character" w:customStyle="1" w:styleId="a4">
    <w:name w:val="頁首 字元"/>
    <w:basedOn w:val="a0"/>
    <w:link w:val="a3"/>
    <w:uiPriority w:val="99"/>
    <w:rsid w:val="00A243C4"/>
  </w:style>
  <w:style w:type="paragraph" w:styleId="a5">
    <w:name w:val="footer"/>
    <w:basedOn w:val="a"/>
    <w:link w:val="a6"/>
    <w:uiPriority w:val="99"/>
    <w:unhideWhenUsed/>
    <w:rsid w:val="00A243C4"/>
    <w:pPr>
      <w:tabs>
        <w:tab w:val="center" w:pos="4153"/>
        <w:tab w:val="right" w:pos="8306"/>
      </w:tabs>
      <w:snapToGrid w:val="0"/>
    </w:pPr>
    <w:rPr>
      <w:sz w:val="20"/>
      <w:szCs w:val="20"/>
    </w:rPr>
  </w:style>
  <w:style w:type="character" w:customStyle="1" w:styleId="a6">
    <w:name w:val="頁尾 字元"/>
    <w:basedOn w:val="a0"/>
    <w:link w:val="a5"/>
    <w:uiPriority w:val="99"/>
    <w:rsid w:val="00A243C4"/>
  </w:style>
  <w:style w:type="paragraph" w:styleId="a7">
    <w:name w:val="Body Text Indent"/>
    <w:basedOn w:val="a"/>
    <w:link w:val="a8"/>
    <w:semiHidden/>
    <w:rsid w:val="00620A8C"/>
    <w:pPr>
      <w:widowControl w:val="0"/>
      <w:ind w:leftChars="210" w:left="504" w:firstLineChars="209" w:firstLine="543"/>
      <w:jc w:val="both"/>
    </w:pPr>
    <w:rPr>
      <w:rFonts w:eastAsia="標楷體"/>
      <w:kern w:val="2"/>
      <w:sz w:val="26"/>
    </w:rPr>
  </w:style>
  <w:style w:type="character" w:customStyle="1" w:styleId="a8">
    <w:name w:val="本文縮排 字元"/>
    <w:link w:val="a7"/>
    <w:semiHidden/>
    <w:rsid w:val="00620A8C"/>
    <w:rPr>
      <w:rFonts w:eastAsia="標楷體"/>
      <w:kern w:val="2"/>
      <w:sz w:val="26"/>
      <w:szCs w:val="24"/>
    </w:rPr>
  </w:style>
  <w:style w:type="character" w:styleId="a9">
    <w:name w:val="Hyperlink"/>
    <w:uiPriority w:val="99"/>
    <w:unhideWhenUsed/>
    <w:rsid w:val="00E3284E"/>
    <w:rPr>
      <w:color w:val="0000FF"/>
      <w:u w:val="single"/>
    </w:rPr>
  </w:style>
  <w:style w:type="paragraph" w:styleId="aa">
    <w:name w:val="List Paragraph"/>
    <w:basedOn w:val="a"/>
    <w:uiPriority w:val="34"/>
    <w:qFormat/>
    <w:rsid w:val="00213884"/>
    <w:pPr>
      <w:ind w:leftChars="200" w:left="480"/>
    </w:pPr>
    <w:rPr>
      <w:rFonts w:ascii="新細明體" w:hAnsi="新細明體" w:cs="新細明體"/>
    </w:rPr>
  </w:style>
  <w:style w:type="character" w:styleId="ab">
    <w:name w:val="Unresolved Mention"/>
    <w:basedOn w:val="a0"/>
    <w:uiPriority w:val="99"/>
    <w:semiHidden/>
    <w:unhideWhenUsed/>
    <w:rsid w:val="003A34B6"/>
    <w:rPr>
      <w:color w:val="605E5C"/>
      <w:shd w:val="clear" w:color="auto" w:fill="E1DFDD"/>
    </w:rPr>
  </w:style>
  <w:style w:type="character" w:styleId="ac">
    <w:name w:val="FollowedHyperlink"/>
    <w:basedOn w:val="a0"/>
    <w:uiPriority w:val="99"/>
    <w:semiHidden/>
    <w:unhideWhenUsed/>
    <w:rsid w:val="006F60A1"/>
    <w:rPr>
      <w:color w:val="954F72" w:themeColor="followedHyperlink"/>
      <w:u w:val="single"/>
    </w:rPr>
  </w:style>
  <w:style w:type="paragraph" w:styleId="ad">
    <w:name w:val="Bibliography"/>
    <w:basedOn w:val="a"/>
    <w:next w:val="a"/>
    <w:uiPriority w:val="37"/>
    <w:unhideWhenUsed/>
    <w:rsid w:val="00E44330"/>
    <w:pPr>
      <w:spacing w:after="0"/>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226">
      <w:bodyDiv w:val="1"/>
      <w:marLeft w:val="0"/>
      <w:marRight w:val="0"/>
      <w:marTop w:val="0"/>
      <w:marBottom w:val="0"/>
      <w:divBdr>
        <w:top w:val="none" w:sz="0" w:space="0" w:color="auto"/>
        <w:left w:val="none" w:sz="0" w:space="0" w:color="auto"/>
        <w:bottom w:val="none" w:sz="0" w:space="0" w:color="auto"/>
        <w:right w:val="none" w:sz="0" w:space="0" w:color="auto"/>
      </w:divBdr>
      <w:divsChild>
        <w:div w:id="534805503">
          <w:marLeft w:val="302"/>
          <w:marRight w:val="0"/>
          <w:marTop w:val="115"/>
          <w:marBottom w:val="0"/>
          <w:divBdr>
            <w:top w:val="none" w:sz="0" w:space="0" w:color="auto"/>
            <w:left w:val="none" w:sz="0" w:space="0" w:color="auto"/>
            <w:bottom w:val="none" w:sz="0" w:space="0" w:color="auto"/>
            <w:right w:val="none" w:sz="0" w:space="0" w:color="auto"/>
          </w:divBdr>
        </w:div>
      </w:divsChild>
    </w:div>
    <w:div w:id="36512082">
      <w:bodyDiv w:val="1"/>
      <w:marLeft w:val="0"/>
      <w:marRight w:val="0"/>
      <w:marTop w:val="0"/>
      <w:marBottom w:val="0"/>
      <w:divBdr>
        <w:top w:val="none" w:sz="0" w:space="0" w:color="auto"/>
        <w:left w:val="none" w:sz="0" w:space="0" w:color="auto"/>
        <w:bottom w:val="none" w:sz="0" w:space="0" w:color="auto"/>
        <w:right w:val="none" w:sz="0" w:space="0" w:color="auto"/>
      </w:divBdr>
      <w:divsChild>
        <w:div w:id="787964895">
          <w:marLeft w:val="302"/>
          <w:marRight w:val="0"/>
          <w:marTop w:val="134"/>
          <w:marBottom w:val="0"/>
          <w:divBdr>
            <w:top w:val="none" w:sz="0" w:space="0" w:color="auto"/>
            <w:left w:val="none" w:sz="0" w:space="0" w:color="auto"/>
            <w:bottom w:val="none" w:sz="0" w:space="0" w:color="auto"/>
            <w:right w:val="none" w:sz="0" w:space="0" w:color="auto"/>
          </w:divBdr>
        </w:div>
      </w:divsChild>
    </w:div>
    <w:div w:id="39131376">
      <w:bodyDiv w:val="1"/>
      <w:marLeft w:val="0"/>
      <w:marRight w:val="0"/>
      <w:marTop w:val="0"/>
      <w:marBottom w:val="0"/>
      <w:divBdr>
        <w:top w:val="none" w:sz="0" w:space="0" w:color="auto"/>
        <w:left w:val="none" w:sz="0" w:space="0" w:color="auto"/>
        <w:bottom w:val="none" w:sz="0" w:space="0" w:color="auto"/>
        <w:right w:val="none" w:sz="0" w:space="0" w:color="auto"/>
      </w:divBdr>
    </w:div>
    <w:div w:id="116725039">
      <w:bodyDiv w:val="1"/>
      <w:marLeft w:val="0"/>
      <w:marRight w:val="0"/>
      <w:marTop w:val="0"/>
      <w:marBottom w:val="0"/>
      <w:divBdr>
        <w:top w:val="none" w:sz="0" w:space="0" w:color="auto"/>
        <w:left w:val="none" w:sz="0" w:space="0" w:color="auto"/>
        <w:bottom w:val="none" w:sz="0" w:space="0" w:color="auto"/>
        <w:right w:val="none" w:sz="0" w:space="0" w:color="auto"/>
      </w:divBdr>
    </w:div>
    <w:div w:id="188642685">
      <w:bodyDiv w:val="1"/>
      <w:marLeft w:val="0"/>
      <w:marRight w:val="0"/>
      <w:marTop w:val="0"/>
      <w:marBottom w:val="0"/>
      <w:divBdr>
        <w:top w:val="none" w:sz="0" w:space="0" w:color="auto"/>
        <w:left w:val="none" w:sz="0" w:space="0" w:color="auto"/>
        <w:bottom w:val="none" w:sz="0" w:space="0" w:color="auto"/>
        <w:right w:val="none" w:sz="0" w:space="0" w:color="auto"/>
      </w:divBdr>
      <w:divsChild>
        <w:div w:id="452330326">
          <w:marLeft w:val="302"/>
          <w:marRight w:val="0"/>
          <w:marTop w:val="115"/>
          <w:marBottom w:val="0"/>
          <w:divBdr>
            <w:top w:val="none" w:sz="0" w:space="0" w:color="auto"/>
            <w:left w:val="none" w:sz="0" w:space="0" w:color="auto"/>
            <w:bottom w:val="none" w:sz="0" w:space="0" w:color="auto"/>
            <w:right w:val="none" w:sz="0" w:space="0" w:color="auto"/>
          </w:divBdr>
        </w:div>
      </w:divsChild>
    </w:div>
    <w:div w:id="196965185">
      <w:bodyDiv w:val="1"/>
      <w:marLeft w:val="0"/>
      <w:marRight w:val="0"/>
      <w:marTop w:val="0"/>
      <w:marBottom w:val="0"/>
      <w:divBdr>
        <w:top w:val="none" w:sz="0" w:space="0" w:color="auto"/>
        <w:left w:val="none" w:sz="0" w:space="0" w:color="auto"/>
        <w:bottom w:val="none" w:sz="0" w:space="0" w:color="auto"/>
        <w:right w:val="none" w:sz="0" w:space="0" w:color="auto"/>
      </w:divBdr>
    </w:div>
    <w:div w:id="262685408">
      <w:bodyDiv w:val="1"/>
      <w:marLeft w:val="0"/>
      <w:marRight w:val="0"/>
      <w:marTop w:val="0"/>
      <w:marBottom w:val="0"/>
      <w:divBdr>
        <w:top w:val="none" w:sz="0" w:space="0" w:color="auto"/>
        <w:left w:val="none" w:sz="0" w:space="0" w:color="auto"/>
        <w:bottom w:val="none" w:sz="0" w:space="0" w:color="auto"/>
        <w:right w:val="none" w:sz="0" w:space="0" w:color="auto"/>
      </w:divBdr>
    </w:div>
    <w:div w:id="795831640">
      <w:bodyDiv w:val="1"/>
      <w:marLeft w:val="0"/>
      <w:marRight w:val="0"/>
      <w:marTop w:val="0"/>
      <w:marBottom w:val="0"/>
      <w:divBdr>
        <w:top w:val="none" w:sz="0" w:space="0" w:color="auto"/>
        <w:left w:val="none" w:sz="0" w:space="0" w:color="auto"/>
        <w:bottom w:val="none" w:sz="0" w:space="0" w:color="auto"/>
        <w:right w:val="none" w:sz="0" w:space="0" w:color="auto"/>
      </w:divBdr>
    </w:div>
    <w:div w:id="915625768">
      <w:bodyDiv w:val="1"/>
      <w:marLeft w:val="0"/>
      <w:marRight w:val="0"/>
      <w:marTop w:val="0"/>
      <w:marBottom w:val="0"/>
      <w:divBdr>
        <w:top w:val="none" w:sz="0" w:space="0" w:color="auto"/>
        <w:left w:val="none" w:sz="0" w:space="0" w:color="auto"/>
        <w:bottom w:val="none" w:sz="0" w:space="0" w:color="auto"/>
        <w:right w:val="none" w:sz="0" w:space="0" w:color="auto"/>
      </w:divBdr>
    </w:div>
    <w:div w:id="1009942173">
      <w:bodyDiv w:val="1"/>
      <w:marLeft w:val="0"/>
      <w:marRight w:val="0"/>
      <w:marTop w:val="0"/>
      <w:marBottom w:val="0"/>
      <w:divBdr>
        <w:top w:val="none" w:sz="0" w:space="0" w:color="auto"/>
        <w:left w:val="none" w:sz="0" w:space="0" w:color="auto"/>
        <w:bottom w:val="none" w:sz="0" w:space="0" w:color="auto"/>
        <w:right w:val="none" w:sz="0" w:space="0" w:color="auto"/>
      </w:divBdr>
    </w:div>
    <w:div w:id="1071271360">
      <w:bodyDiv w:val="1"/>
      <w:marLeft w:val="0"/>
      <w:marRight w:val="0"/>
      <w:marTop w:val="0"/>
      <w:marBottom w:val="0"/>
      <w:divBdr>
        <w:top w:val="none" w:sz="0" w:space="0" w:color="auto"/>
        <w:left w:val="none" w:sz="0" w:space="0" w:color="auto"/>
        <w:bottom w:val="none" w:sz="0" w:space="0" w:color="auto"/>
        <w:right w:val="none" w:sz="0" w:space="0" w:color="auto"/>
      </w:divBdr>
      <w:divsChild>
        <w:div w:id="954822972">
          <w:marLeft w:val="547"/>
          <w:marRight w:val="0"/>
          <w:marTop w:val="288"/>
          <w:marBottom w:val="0"/>
          <w:divBdr>
            <w:top w:val="none" w:sz="0" w:space="0" w:color="auto"/>
            <w:left w:val="none" w:sz="0" w:space="0" w:color="auto"/>
            <w:bottom w:val="none" w:sz="0" w:space="0" w:color="auto"/>
            <w:right w:val="none" w:sz="0" w:space="0" w:color="auto"/>
          </w:divBdr>
        </w:div>
      </w:divsChild>
    </w:div>
    <w:div w:id="1194460677">
      <w:bodyDiv w:val="1"/>
      <w:marLeft w:val="0"/>
      <w:marRight w:val="0"/>
      <w:marTop w:val="0"/>
      <w:marBottom w:val="0"/>
      <w:divBdr>
        <w:top w:val="none" w:sz="0" w:space="0" w:color="auto"/>
        <w:left w:val="none" w:sz="0" w:space="0" w:color="auto"/>
        <w:bottom w:val="none" w:sz="0" w:space="0" w:color="auto"/>
        <w:right w:val="none" w:sz="0" w:space="0" w:color="auto"/>
      </w:divBdr>
      <w:divsChild>
        <w:div w:id="155998399">
          <w:marLeft w:val="302"/>
          <w:marRight w:val="0"/>
          <w:marTop w:val="115"/>
          <w:marBottom w:val="0"/>
          <w:divBdr>
            <w:top w:val="none" w:sz="0" w:space="0" w:color="auto"/>
            <w:left w:val="none" w:sz="0" w:space="0" w:color="auto"/>
            <w:bottom w:val="none" w:sz="0" w:space="0" w:color="auto"/>
            <w:right w:val="none" w:sz="0" w:space="0" w:color="auto"/>
          </w:divBdr>
        </w:div>
      </w:divsChild>
    </w:div>
    <w:div w:id="1226912390">
      <w:bodyDiv w:val="1"/>
      <w:marLeft w:val="0"/>
      <w:marRight w:val="0"/>
      <w:marTop w:val="0"/>
      <w:marBottom w:val="0"/>
      <w:divBdr>
        <w:top w:val="none" w:sz="0" w:space="0" w:color="auto"/>
        <w:left w:val="none" w:sz="0" w:space="0" w:color="auto"/>
        <w:bottom w:val="none" w:sz="0" w:space="0" w:color="auto"/>
        <w:right w:val="none" w:sz="0" w:space="0" w:color="auto"/>
      </w:divBdr>
    </w:div>
    <w:div w:id="1412002341">
      <w:bodyDiv w:val="1"/>
      <w:marLeft w:val="0"/>
      <w:marRight w:val="0"/>
      <w:marTop w:val="0"/>
      <w:marBottom w:val="0"/>
      <w:divBdr>
        <w:top w:val="none" w:sz="0" w:space="0" w:color="auto"/>
        <w:left w:val="none" w:sz="0" w:space="0" w:color="auto"/>
        <w:bottom w:val="none" w:sz="0" w:space="0" w:color="auto"/>
        <w:right w:val="none" w:sz="0" w:space="0" w:color="auto"/>
      </w:divBdr>
    </w:div>
    <w:div w:id="1427265397">
      <w:bodyDiv w:val="1"/>
      <w:marLeft w:val="0"/>
      <w:marRight w:val="0"/>
      <w:marTop w:val="0"/>
      <w:marBottom w:val="0"/>
      <w:divBdr>
        <w:top w:val="none" w:sz="0" w:space="0" w:color="auto"/>
        <w:left w:val="none" w:sz="0" w:space="0" w:color="auto"/>
        <w:bottom w:val="none" w:sz="0" w:space="0" w:color="auto"/>
        <w:right w:val="none" w:sz="0" w:space="0" w:color="auto"/>
      </w:divBdr>
    </w:div>
    <w:div w:id="1563523309">
      <w:bodyDiv w:val="1"/>
      <w:marLeft w:val="0"/>
      <w:marRight w:val="0"/>
      <w:marTop w:val="0"/>
      <w:marBottom w:val="0"/>
      <w:divBdr>
        <w:top w:val="none" w:sz="0" w:space="0" w:color="auto"/>
        <w:left w:val="none" w:sz="0" w:space="0" w:color="auto"/>
        <w:bottom w:val="none" w:sz="0" w:space="0" w:color="auto"/>
        <w:right w:val="none" w:sz="0" w:space="0" w:color="auto"/>
      </w:divBdr>
      <w:divsChild>
        <w:div w:id="738791404">
          <w:marLeft w:val="302"/>
          <w:marRight w:val="0"/>
          <w:marTop w:val="115"/>
          <w:marBottom w:val="0"/>
          <w:divBdr>
            <w:top w:val="none" w:sz="0" w:space="0" w:color="auto"/>
            <w:left w:val="none" w:sz="0" w:space="0" w:color="auto"/>
            <w:bottom w:val="none" w:sz="0" w:space="0" w:color="auto"/>
            <w:right w:val="none" w:sz="0" w:space="0" w:color="auto"/>
          </w:divBdr>
        </w:div>
      </w:divsChild>
    </w:div>
    <w:div w:id="1569729041">
      <w:bodyDiv w:val="1"/>
      <w:marLeft w:val="0"/>
      <w:marRight w:val="0"/>
      <w:marTop w:val="0"/>
      <w:marBottom w:val="0"/>
      <w:divBdr>
        <w:top w:val="none" w:sz="0" w:space="0" w:color="auto"/>
        <w:left w:val="none" w:sz="0" w:space="0" w:color="auto"/>
        <w:bottom w:val="none" w:sz="0" w:space="0" w:color="auto"/>
        <w:right w:val="none" w:sz="0" w:space="0" w:color="auto"/>
      </w:divBdr>
    </w:div>
    <w:div w:id="1597982524">
      <w:bodyDiv w:val="1"/>
      <w:marLeft w:val="0"/>
      <w:marRight w:val="0"/>
      <w:marTop w:val="0"/>
      <w:marBottom w:val="0"/>
      <w:divBdr>
        <w:top w:val="none" w:sz="0" w:space="0" w:color="auto"/>
        <w:left w:val="none" w:sz="0" w:space="0" w:color="auto"/>
        <w:bottom w:val="none" w:sz="0" w:space="0" w:color="auto"/>
        <w:right w:val="none" w:sz="0" w:space="0" w:color="auto"/>
      </w:divBdr>
    </w:div>
    <w:div w:id="1676300366">
      <w:bodyDiv w:val="1"/>
      <w:marLeft w:val="0"/>
      <w:marRight w:val="0"/>
      <w:marTop w:val="0"/>
      <w:marBottom w:val="0"/>
      <w:divBdr>
        <w:top w:val="none" w:sz="0" w:space="0" w:color="auto"/>
        <w:left w:val="none" w:sz="0" w:space="0" w:color="auto"/>
        <w:bottom w:val="none" w:sz="0" w:space="0" w:color="auto"/>
        <w:right w:val="none" w:sz="0" w:space="0" w:color="auto"/>
      </w:divBdr>
    </w:div>
    <w:div w:id="1834951656">
      <w:bodyDiv w:val="1"/>
      <w:marLeft w:val="0"/>
      <w:marRight w:val="0"/>
      <w:marTop w:val="0"/>
      <w:marBottom w:val="0"/>
      <w:divBdr>
        <w:top w:val="none" w:sz="0" w:space="0" w:color="auto"/>
        <w:left w:val="none" w:sz="0" w:space="0" w:color="auto"/>
        <w:bottom w:val="none" w:sz="0" w:space="0" w:color="auto"/>
        <w:right w:val="none" w:sz="0" w:space="0" w:color="auto"/>
      </w:divBdr>
      <w:divsChild>
        <w:div w:id="128939963">
          <w:marLeft w:val="302"/>
          <w:marRight w:val="0"/>
          <w:marTop w:val="115"/>
          <w:marBottom w:val="0"/>
          <w:divBdr>
            <w:top w:val="none" w:sz="0" w:space="0" w:color="auto"/>
            <w:left w:val="none" w:sz="0" w:space="0" w:color="auto"/>
            <w:bottom w:val="none" w:sz="0" w:space="0" w:color="auto"/>
            <w:right w:val="none" w:sz="0" w:space="0" w:color="auto"/>
          </w:divBdr>
        </w:div>
      </w:divsChild>
    </w:div>
    <w:div w:id="1855801844">
      <w:bodyDiv w:val="1"/>
      <w:marLeft w:val="0"/>
      <w:marRight w:val="0"/>
      <w:marTop w:val="0"/>
      <w:marBottom w:val="0"/>
      <w:divBdr>
        <w:top w:val="none" w:sz="0" w:space="0" w:color="auto"/>
        <w:left w:val="none" w:sz="0" w:space="0" w:color="auto"/>
        <w:bottom w:val="none" w:sz="0" w:space="0" w:color="auto"/>
        <w:right w:val="none" w:sz="0" w:space="0" w:color="auto"/>
      </w:divBdr>
    </w:div>
    <w:div w:id="2090074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31F093-E73B-4994-AC7B-D96D88B1E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1955</Words>
  <Characters>11145</Characters>
  <Application>Microsoft Office Word</Application>
  <DocSecurity>0</DocSecurity>
  <Lines>92</Lines>
  <Paragraphs>26</Paragraphs>
  <ScaleCrop>false</ScaleCrop>
  <Company>nuu</Company>
  <LinksUpToDate>false</LinksUpToDate>
  <CharactersWithSpaces>13074</CharactersWithSpaces>
  <SharedDoc>false</SharedDoc>
  <HLinks>
    <vt:vector size="6" baseType="variant">
      <vt:variant>
        <vt:i4>3342348</vt:i4>
      </vt:variant>
      <vt:variant>
        <vt:i4>0</vt:i4>
      </vt:variant>
      <vt:variant>
        <vt:i4>0</vt:i4>
      </vt:variant>
      <vt:variant>
        <vt:i4>5</vt:i4>
      </vt:variant>
      <vt:variant>
        <vt:lpwstr>mailto:kguo@gm.scu.edu.tw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邏輯設計實驗報告格式</dc:title>
  <dc:subject/>
  <dc:creator>Kemin Guo</dc:creator>
  <cp:keywords/>
  <cp:lastModifiedBy>紘宇 林</cp:lastModifiedBy>
  <cp:revision>2</cp:revision>
  <cp:lastPrinted>2024-04-24T03:06:00Z</cp:lastPrinted>
  <dcterms:created xsi:type="dcterms:W3CDTF">2025-05-04T14:26:00Z</dcterms:created>
  <dcterms:modified xsi:type="dcterms:W3CDTF">2025-05-04T14:26:00Z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id="yxtATYVa"/&gt;&lt;style id="http://www.zotero.org/styles/apa" locale="en-US" hasBibliography="1" bibliographyStyleHasBeenSet="1"/&gt;&lt;prefs&gt;&lt;pref name="fieldType" value="Field"/&gt;&lt;/prefs&gt;&lt;/data&gt;</vt:lpwstr>
  </property>
</Properties>
</file>