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14E54" w14:textId="77777777" w:rsidR="00E47F07" w:rsidRDefault="00E47F07">
      <w:pPr>
        <w:spacing w:before="2400"/>
      </w:pPr>
    </w:p>
    <w:p w14:paraId="04A69C53" w14:textId="77777777" w:rsidR="00E47F07" w:rsidRDefault="00000000">
      <w:pPr>
        <w:spacing w:after="240" w:line="360" w:lineRule="auto"/>
        <w:jc w:val="center"/>
      </w:pPr>
      <w:r>
        <w:rPr>
          <w:rFonts w:ascii="Calibri" w:eastAsia="Calibri" w:hAnsi="Calibri" w:cs="Calibri"/>
          <w:b/>
          <w:bCs/>
          <w:color w:val="000000"/>
          <w:sz w:val="44"/>
          <w:szCs w:val="44"/>
        </w:rPr>
        <w:t>Text, Image and Video Analytics using AI</w:t>
      </w:r>
    </w:p>
    <w:p w14:paraId="06C7CB49" w14:textId="77777777" w:rsidR="00E47F07" w:rsidRDefault="00000000">
      <w:pPr>
        <w:spacing w:after="80" w:line="300" w:lineRule="auto"/>
        <w:jc w:val="center"/>
      </w:pPr>
      <w:r>
        <w:rPr>
          <w:rFonts w:ascii="Calibri" w:eastAsia="Calibri" w:hAnsi="Calibri" w:cs="Calibri"/>
          <w:b/>
          <w:bCs/>
          <w:color w:val="000000"/>
          <w:sz w:val="26"/>
          <w:szCs w:val="26"/>
        </w:rPr>
        <w:t>Group Project</w:t>
      </w:r>
    </w:p>
    <w:p w14:paraId="39CE6CA9" w14:textId="77777777" w:rsidR="00E47F07" w:rsidRDefault="00000000">
      <w:pPr>
        <w:spacing w:after="700" w:line="288" w:lineRule="auto"/>
        <w:jc w:val="center"/>
      </w:pPr>
      <w:r>
        <w:rPr>
          <w:rFonts w:ascii="Calibri" w:eastAsia="Calibri" w:hAnsi="Calibri" w:cs="Calibri"/>
          <w:i/>
          <w:iCs/>
          <w:color w:val="000000"/>
          <w:sz w:val="22"/>
          <w:szCs w:val="22"/>
        </w:rPr>
        <w:t>Using multimodal AI to decode why electric buses do and don't get adopted in India's school and employee transport segments.</w:t>
      </w:r>
    </w:p>
    <w:p w14:paraId="3F2B71A0" w14:textId="77777777" w:rsidR="00E47F07" w:rsidRDefault="00000000">
      <w:pPr>
        <w:spacing w:after="140" w:line="276" w:lineRule="auto"/>
        <w:jc w:val="center"/>
      </w:pPr>
      <w:r>
        <w:rPr>
          <w:rFonts w:ascii="Calibri" w:eastAsia="Calibri" w:hAnsi="Calibri" w:cs="Calibri"/>
          <w:b/>
          <w:bCs/>
          <w:color w:val="000000"/>
          <w:sz w:val="24"/>
          <w:szCs w:val="24"/>
        </w:rPr>
        <w:t>Academic Group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900"/>
        <w:gridCol w:w="3400"/>
      </w:tblGrid>
      <w:tr w:rsidR="00E47F07" w14:paraId="75FAA179" w14:textId="77777777">
        <w:tblPrEx>
          <w:tblCellMar>
            <w:top w:w="0" w:type="dxa"/>
            <w:bottom w:w="0" w:type="dxa"/>
          </w:tblCellMar>
        </w:tblPrEx>
        <w:trPr>
          <w:tblHeader/>
        </w:trPr>
        <w:tc>
          <w:tcPr>
            <w:tcW w:w="1700" w:type="dxa"/>
            <w:shd w:val="clear" w:color="auto" w:fill="E8E8E8"/>
            <w:tcMar>
              <w:top w:w="80" w:type="dxa"/>
              <w:left w:w="120" w:type="dxa"/>
              <w:bottom w:w="80" w:type="dxa"/>
              <w:right w:w="120" w:type="dxa"/>
            </w:tcMar>
          </w:tcPr>
          <w:p w14:paraId="00B2E5FD" w14:textId="77777777" w:rsidR="00E47F07" w:rsidRDefault="00000000">
            <w:pPr>
              <w:spacing w:line="252" w:lineRule="auto"/>
            </w:pPr>
            <w:r>
              <w:rPr>
                <w:rFonts w:ascii="Calibri" w:eastAsia="Calibri" w:hAnsi="Calibri" w:cs="Calibri"/>
                <w:b/>
                <w:bCs/>
                <w:color w:val="000000"/>
              </w:rPr>
              <w:t>Roll No.</w:t>
            </w:r>
          </w:p>
        </w:tc>
        <w:tc>
          <w:tcPr>
            <w:tcW w:w="3900" w:type="dxa"/>
            <w:shd w:val="clear" w:color="auto" w:fill="E8E8E8"/>
            <w:tcMar>
              <w:top w:w="80" w:type="dxa"/>
              <w:left w:w="120" w:type="dxa"/>
              <w:bottom w:w="80" w:type="dxa"/>
              <w:right w:w="120" w:type="dxa"/>
            </w:tcMar>
          </w:tcPr>
          <w:p w14:paraId="6A2DCCBC" w14:textId="77777777" w:rsidR="00E47F07" w:rsidRDefault="00000000">
            <w:pPr>
              <w:spacing w:line="252" w:lineRule="auto"/>
            </w:pPr>
            <w:r>
              <w:rPr>
                <w:rFonts w:ascii="Calibri" w:eastAsia="Calibri" w:hAnsi="Calibri" w:cs="Calibri"/>
                <w:b/>
                <w:bCs/>
                <w:color w:val="000000"/>
              </w:rPr>
              <w:t>Name</w:t>
            </w:r>
          </w:p>
        </w:tc>
        <w:tc>
          <w:tcPr>
            <w:tcW w:w="3400" w:type="dxa"/>
            <w:shd w:val="clear" w:color="auto" w:fill="E8E8E8"/>
            <w:tcMar>
              <w:top w:w="80" w:type="dxa"/>
              <w:left w:w="120" w:type="dxa"/>
              <w:bottom w:w="80" w:type="dxa"/>
              <w:right w:w="120" w:type="dxa"/>
            </w:tcMar>
          </w:tcPr>
          <w:p w14:paraId="7A14407B" w14:textId="77777777" w:rsidR="00E47F07" w:rsidRDefault="00000000">
            <w:pPr>
              <w:spacing w:line="252" w:lineRule="auto"/>
            </w:pPr>
            <w:r>
              <w:rPr>
                <w:rFonts w:ascii="Calibri" w:eastAsia="Calibri" w:hAnsi="Calibri" w:cs="Calibri"/>
                <w:b/>
                <w:bCs/>
                <w:color w:val="000000"/>
              </w:rPr>
              <w:t>Email</w:t>
            </w:r>
          </w:p>
        </w:tc>
      </w:tr>
      <w:tr w:rsidR="00E47F07" w14:paraId="300A3DDD" w14:textId="77777777">
        <w:tblPrEx>
          <w:tblCellMar>
            <w:top w:w="0" w:type="dxa"/>
            <w:bottom w:w="0" w:type="dxa"/>
          </w:tblCellMar>
        </w:tblPrEx>
        <w:tc>
          <w:tcPr>
            <w:tcW w:w="1700" w:type="dxa"/>
            <w:tcMar>
              <w:top w:w="80" w:type="dxa"/>
              <w:left w:w="120" w:type="dxa"/>
              <w:bottom w:w="80" w:type="dxa"/>
              <w:right w:w="120" w:type="dxa"/>
            </w:tcMar>
          </w:tcPr>
          <w:p w14:paraId="2B11834A" w14:textId="77777777" w:rsidR="00E47F07" w:rsidRDefault="00000000">
            <w:pPr>
              <w:spacing w:line="252" w:lineRule="auto"/>
            </w:pPr>
            <w:r>
              <w:rPr>
                <w:rFonts w:ascii="Calibri" w:eastAsia="Calibri" w:hAnsi="Calibri" w:cs="Calibri"/>
                <w:color w:val="000000"/>
              </w:rPr>
              <w:t>PGP-25-007</w:t>
            </w:r>
          </w:p>
        </w:tc>
        <w:tc>
          <w:tcPr>
            <w:tcW w:w="3900" w:type="dxa"/>
            <w:tcMar>
              <w:top w:w="80" w:type="dxa"/>
              <w:left w:w="120" w:type="dxa"/>
              <w:bottom w:w="80" w:type="dxa"/>
              <w:right w:w="120" w:type="dxa"/>
            </w:tcMar>
          </w:tcPr>
          <w:p w14:paraId="59E669C0" w14:textId="77777777" w:rsidR="00E47F07" w:rsidRDefault="00000000">
            <w:pPr>
              <w:spacing w:line="252" w:lineRule="auto"/>
            </w:pPr>
            <w:r>
              <w:rPr>
                <w:rFonts w:ascii="Calibri" w:eastAsia="Calibri" w:hAnsi="Calibri" w:cs="Calibri"/>
                <w:color w:val="000000"/>
              </w:rPr>
              <w:t>AATHIRA NAIR</w:t>
            </w:r>
          </w:p>
        </w:tc>
        <w:tc>
          <w:tcPr>
            <w:tcW w:w="3400" w:type="dxa"/>
            <w:tcMar>
              <w:top w:w="80" w:type="dxa"/>
              <w:left w:w="120" w:type="dxa"/>
              <w:bottom w:w="80" w:type="dxa"/>
              <w:right w:w="120" w:type="dxa"/>
            </w:tcMar>
          </w:tcPr>
          <w:p w14:paraId="7773C99B" w14:textId="77777777" w:rsidR="00E47F07" w:rsidRDefault="00000000">
            <w:pPr>
              <w:spacing w:line="252" w:lineRule="auto"/>
            </w:pPr>
            <w:r>
              <w:rPr>
                <w:rFonts w:ascii="Calibri" w:eastAsia="Calibri" w:hAnsi="Calibri" w:cs="Calibri"/>
                <w:color w:val="000000"/>
              </w:rPr>
              <w:t>pgp25.aathira@spjimr.org</w:t>
            </w:r>
          </w:p>
        </w:tc>
      </w:tr>
      <w:tr w:rsidR="00E47F07" w14:paraId="6399ABBB" w14:textId="77777777">
        <w:tblPrEx>
          <w:tblCellMar>
            <w:top w:w="0" w:type="dxa"/>
            <w:bottom w:w="0" w:type="dxa"/>
          </w:tblCellMar>
        </w:tblPrEx>
        <w:tc>
          <w:tcPr>
            <w:tcW w:w="1700" w:type="dxa"/>
            <w:tcMar>
              <w:top w:w="80" w:type="dxa"/>
              <w:left w:w="120" w:type="dxa"/>
              <w:bottom w:w="80" w:type="dxa"/>
              <w:right w:w="120" w:type="dxa"/>
            </w:tcMar>
          </w:tcPr>
          <w:p w14:paraId="13F4192F" w14:textId="77777777" w:rsidR="00E47F07" w:rsidRDefault="00000000">
            <w:pPr>
              <w:spacing w:line="252" w:lineRule="auto"/>
            </w:pPr>
            <w:r>
              <w:rPr>
                <w:rFonts w:ascii="Calibri" w:eastAsia="Calibri" w:hAnsi="Calibri" w:cs="Calibri"/>
                <w:color w:val="000000"/>
              </w:rPr>
              <w:t>PGP-25-077</w:t>
            </w:r>
          </w:p>
        </w:tc>
        <w:tc>
          <w:tcPr>
            <w:tcW w:w="3900" w:type="dxa"/>
            <w:tcMar>
              <w:top w:w="80" w:type="dxa"/>
              <w:left w:w="120" w:type="dxa"/>
              <w:bottom w:w="80" w:type="dxa"/>
              <w:right w:w="120" w:type="dxa"/>
            </w:tcMar>
          </w:tcPr>
          <w:p w14:paraId="1676E802" w14:textId="77777777" w:rsidR="00E47F07" w:rsidRDefault="00000000">
            <w:pPr>
              <w:spacing w:line="252" w:lineRule="auto"/>
            </w:pPr>
            <w:r>
              <w:rPr>
                <w:rFonts w:ascii="Calibri" w:eastAsia="Calibri" w:hAnsi="Calibri" w:cs="Calibri"/>
                <w:color w:val="000000"/>
              </w:rPr>
              <w:t>HARSHKUMAR MUKUNDRAY SHETH</w:t>
            </w:r>
          </w:p>
        </w:tc>
        <w:tc>
          <w:tcPr>
            <w:tcW w:w="3400" w:type="dxa"/>
            <w:tcMar>
              <w:top w:w="80" w:type="dxa"/>
              <w:left w:w="120" w:type="dxa"/>
              <w:bottom w:w="80" w:type="dxa"/>
              <w:right w:w="120" w:type="dxa"/>
            </w:tcMar>
          </w:tcPr>
          <w:p w14:paraId="6AAF5696" w14:textId="77777777" w:rsidR="00E47F07" w:rsidRDefault="00000000">
            <w:pPr>
              <w:spacing w:line="252" w:lineRule="auto"/>
            </w:pPr>
            <w:r>
              <w:rPr>
                <w:rFonts w:ascii="Calibri" w:eastAsia="Calibri" w:hAnsi="Calibri" w:cs="Calibri"/>
                <w:color w:val="000000"/>
              </w:rPr>
              <w:t>pgp25.harshkumar@spjimr.org</w:t>
            </w:r>
          </w:p>
        </w:tc>
      </w:tr>
      <w:tr w:rsidR="00E47F07" w14:paraId="6EB22B2E" w14:textId="77777777">
        <w:tblPrEx>
          <w:tblCellMar>
            <w:top w:w="0" w:type="dxa"/>
            <w:bottom w:w="0" w:type="dxa"/>
          </w:tblCellMar>
        </w:tblPrEx>
        <w:tc>
          <w:tcPr>
            <w:tcW w:w="1700" w:type="dxa"/>
            <w:tcMar>
              <w:top w:w="80" w:type="dxa"/>
              <w:left w:w="120" w:type="dxa"/>
              <w:bottom w:w="80" w:type="dxa"/>
              <w:right w:w="120" w:type="dxa"/>
            </w:tcMar>
          </w:tcPr>
          <w:p w14:paraId="195E0CB6" w14:textId="77777777" w:rsidR="00E47F07" w:rsidRDefault="00000000">
            <w:pPr>
              <w:spacing w:line="252" w:lineRule="auto"/>
            </w:pPr>
            <w:r>
              <w:rPr>
                <w:rFonts w:ascii="Calibri" w:eastAsia="Calibri" w:hAnsi="Calibri" w:cs="Calibri"/>
                <w:color w:val="000000"/>
              </w:rPr>
              <w:t>PGP-25-141</w:t>
            </w:r>
          </w:p>
        </w:tc>
        <w:tc>
          <w:tcPr>
            <w:tcW w:w="3900" w:type="dxa"/>
            <w:tcMar>
              <w:top w:w="80" w:type="dxa"/>
              <w:left w:w="120" w:type="dxa"/>
              <w:bottom w:w="80" w:type="dxa"/>
              <w:right w:w="120" w:type="dxa"/>
            </w:tcMar>
          </w:tcPr>
          <w:p w14:paraId="481A6B8C" w14:textId="77777777" w:rsidR="00E47F07" w:rsidRDefault="00000000">
            <w:pPr>
              <w:spacing w:line="252" w:lineRule="auto"/>
            </w:pPr>
            <w:r>
              <w:rPr>
                <w:rFonts w:ascii="Calibri" w:eastAsia="Calibri" w:hAnsi="Calibri" w:cs="Calibri"/>
                <w:color w:val="000000"/>
              </w:rPr>
              <w:t>PRAKHYA KORADA</w:t>
            </w:r>
          </w:p>
        </w:tc>
        <w:tc>
          <w:tcPr>
            <w:tcW w:w="3400" w:type="dxa"/>
            <w:tcMar>
              <w:top w:w="80" w:type="dxa"/>
              <w:left w:w="120" w:type="dxa"/>
              <w:bottom w:w="80" w:type="dxa"/>
              <w:right w:w="120" w:type="dxa"/>
            </w:tcMar>
          </w:tcPr>
          <w:p w14:paraId="389CB400" w14:textId="77777777" w:rsidR="00E47F07" w:rsidRDefault="00000000">
            <w:pPr>
              <w:spacing w:line="252" w:lineRule="auto"/>
            </w:pPr>
            <w:r>
              <w:rPr>
                <w:rFonts w:ascii="Calibri" w:eastAsia="Calibri" w:hAnsi="Calibri" w:cs="Calibri"/>
                <w:color w:val="000000"/>
              </w:rPr>
              <w:t>pgp25.prakhya@spjimr.org</w:t>
            </w:r>
          </w:p>
        </w:tc>
      </w:tr>
      <w:tr w:rsidR="00E47F07" w14:paraId="00EF3B3D" w14:textId="77777777">
        <w:tblPrEx>
          <w:tblCellMar>
            <w:top w:w="0" w:type="dxa"/>
            <w:bottom w:w="0" w:type="dxa"/>
          </w:tblCellMar>
        </w:tblPrEx>
        <w:tc>
          <w:tcPr>
            <w:tcW w:w="1700" w:type="dxa"/>
            <w:tcMar>
              <w:top w:w="80" w:type="dxa"/>
              <w:left w:w="120" w:type="dxa"/>
              <w:bottom w:w="80" w:type="dxa"/>
              <w:right w:w="120" w:type="dxa"/>
            </w:tcMar>
          </w:tcPr>
          <w:p w14:paraId="442F72FB" w14:textId="77777777" w:rsidR="00E47F07" w:rsidRDefault="00000000">
            <w:pPr>
              <w:spacing w:line="252" w:lineRule="auto"/>
            </w:pPr>
            <w:r>
              <w:rPr>
                <w:rFonts w:ascii="Calibri" w:eastAsia="Calibri" w:hAnsi="Calibri" w:cs="Calibri"/>
                <w:color w:val="000000"/>
              </w:rPr>
              <w:t>PGP-25-236</w:t>
            </w:r>
          </w:p>
        </w:tc>
        <w:tc>
          <w:tcPr>
            <w:tcW w:w="3900" w:type="dxa"/>
            <w:tcMar>
              <w:top w:w="80" w:type="dxa"/>
              <w:left w:w="120" w:type="dxa"/>
              <w:bottom w:w="80" w:type="dxa"/>
              <w:right w:w="120" w:type="dxa"/>
            </w:tcMar>
          </w:tcPr>
          <w:p w14:paraId="6B5AD6FB" w14:textId="77777777" w:rsidR="00E47F07" w:rsidRDefault="00000000">
            <w:pPr>
              <w:spacing w:line="252" w:lineRule="auto"/>
            </w:pPr>
            <w:r>
              <w:rPr>
                <w:rFonts w:ascii="Calibri" w:eastAsia="Calibri" w:hAnsi="Calibri" w:cs="Calibri"/>
                <w:color w:val="000000"/>
              </w:rPr>
              <w:t>YEDHU MOHAN</w:t>
            </w:r>
          </w:p>
        </w:tc>
        <w:tc>
          <w:tcPr>
            <w:tcW w:w="3400" w:type="dxa"/>
            <w:tcMar>
              <w:top w:w="80" w:type="dxa"/>
              <w:left w:w="120" w:type="dxa"/>
              <w:bottom w:w="80" w:type="dxa"/>
              <w:right w:w="120" w:type="dxa"/>
            </w:tcMar>
          </w:tcPr>
          <w:p w14:paraId="16F6462F" w14:textId="77777777" w:rsidR="00E47F07" w:rsidRDefault="00000000">
            <w:pPr>
              <w:spacing w:line="252" w:lineRule="auto"/>
            </w:pPr>
            <w:r>
              <w:rPr>
                <w:rFonts w:ascii="Calibri" w:eastAsia="Calibri" w:hAnsi="Calibri" w:cs="Calibri"/>
                <w:color w:val="000000"/>
              </w:rPr>
              <w:t>pgp25.yedhu@spjimr.org</w:t>
            </w:r>
          </w:p>
        </w:tc>
      </w:tr>
    </w:tbl>
    <w:p w14:paraId="74C0558B" w14:textId="77777777" w:rsidR="00E47F07" w:rsidRDefault="00000000">
      <w:pPr>
        <w:pageBreakBefore/>
        <w:spacing w:before="60" w:after="60" w:line="300" w:lineRule="auto"/>
        <w:jc w:val="center"/>
      </w:pPr>
      <w:r>
        <w:rPr>
          <w:rFonts w:ascii="Calibri" w:eastAsia="Calibri" w:hAnsi="Calibri" w:cs="Calibri"/>
          <w:b/>
          <w:bCs/>
          <w:color w:val="000000"/>
          <w:sz w:val="28"/>
          <w:szCs w:val="28"/>
        </w:rPr>
        <w:lastRenderedPageBreak/>
        <w:t>Project Proposal</w:t>
      </w:r>
    </w:p>
    <w:p w14:paraId="119EB328" w14:textId="77777777" w:rsidR="00E47F07" w:rsidRDefault="00000000">
      <w:pPr>
        <w:spacing w:before="120" w:after="90" w:line="276" w:lineRule="auto"/>
      </w:pPr>
      <w:r>
        <w:rPr>
          <w:rFonts w:ascii="Calibri" w:eastAsia="Calibri" w:hAnsi="Calibri" w:cs="Calibri"/>
          <w:b/>
          <w:bCs/>
          <w:color w:val="000000"/>
          <w:sz w:val="23"/>
          <w:szCs w:val="23"/>
        </w:rPr>
        <w:t>1. Problem Statement</w:t>
      </w:r>
    </w:p>
    <w:p w14:paraId="104BB5B7" w14:textId="4D77B613" w:rsidR="00E47F07" w:rsidRDefault="00000000">
      <w:pPr>
        <w:spacing w:after="120" w:line="276" w:lineRule="auto"/>
      </w:pPr>
      <w:r>
        <w:rPr>
          <w:rFonts w:ascii="Calibri" w:eastAsia="Calibri" w:hAnsi="Calibri" w:cs="Calibri"/>
          <w:color w:val="000000"/>
          <w:sz w:val="21"/>
          <w:szCs w:val="21"/>
        </w:rPr>
        <w:t xml:space="preserve">India's bus electrification story has so far been a public-transport story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STU tenders, city fleets, and government subsidy. But the larger fleet is private: India operates roughly 1.2 million private buses against 0.8 million public ones (IFC, 2025), and a large share of these are institutional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school buses and employee/staff transport, where the buyer is a school, corporate, factory, or SEZ, not the rider. This segment has unique dynamics: the decision-maker pays but never rides; the riders (children, employees) have no purchasing power yet generate the sentiment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safety fears, comfort complaints, parent anxiety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that shapes the institution's decision; and the segment is under acute regulatory scrutiny (in Telangana alone, ~5,500 of 25,987 educational-institution buses lacked mandatory fitness certificates in 2026). Yet electric penetration here lags far behind the city-bus segment, and no one has systematically studied why. This project uses multimodal AI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text sentiment and topic modelling, image analytics, and video engagement analysis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feeding a Multimodal RAG system, to decode adoption drivers, barriers, and sentiment across all four ecosystem players (OEM, operator, institutional buyer, rider/parent) and answer: where do electric buses run in this segment, why do they run, and why don't they?</w:t>
      </w:r>
    </w:p>
    <w:p w14:paraId="4386D917" w14:textId="77777777" w:rsidR="00E47F07" w:rsidRDefault="00000000">
      <w:pPr>
        <w:spacing w:before="180" w:after="90" w:line="276" w:lineRule="auto"/>
      </w:pPr>
      <w:r>
        <w:rPr>
          <w:rFonts w:ascii="Calibri" w:eastAsia="Calibri" w:hAnsi="Calibri" w:cs="Calibri"/>
          <w:b/>
          <w:bCs/>
          <w:color w:val="000000"/>
          <w:sz w:val="23"/>
          <w:szCs w:val="23"/>
        </w:rPr>
        <w:t>2. Relevance</w:t>
      </w:r>
    </w:p>
    <w:p w14:paraId="27431642" w14:textId="591F065A" w:rsidR="00E47F07" w:rsidRDefault="00000000">
      <w:pPr>
        <w:spacing w:after="120" w:line="276" w:lineRule="auto"/>
      </w:pPr>
      <w:r>
        <w:rPr>
          <w:rFonts w:ascii="Calibri" w:eastAsia="Calibri" w:hAnsi="Calibri" w:cs="Calibri"/>
          <w:color w:val="000000"/>
          <w:sz w:val="21"/>
          <w:szCs w:val="21"/>
        </w:rPr>
        <w:t xml:space="preserve">The institutional segment is arguably the most commercially attractive frontier for EV bus OEMs: routes are fixed and predictable (ideal for range planning), duty cycles are short with long idle windows (ideal for depot/campus charging), and buyers are consolidated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one school chain or one IT park can represent hundreds of buses in a single decision. Employee-transport electrification is already underway but skewed toward cars: </w:t>
      </w:r>
      <w:proofErr w:type="spellStart"/>
      <w:r>
        <w:rPr>
          <w:rFonts w:ascii="Calibri" w:eastAsia="Calibri" w:hAnsi="Calibri" w:cs="Calibri"/>
          <w:color w:val="000000"/>
          <w:sz w:val="21"/>
          <w:szCs w:val="21"/>
        </w:rPr>
        <w:t>MoveInSync</w:t>
      </w:r>
      <w:proofErr w:type="spellEnd"/>
      <w:r>
        <w:rPr>
          <w:rFonts w:ascii="Calibri" w:eastAsia="Calibri" w:hAnsi="Calibri" w:cs="Calibri"/>
          <w:color w:val="000000"/>
          <w:sz w:val="21"/>
          <w:szCs w:val="21"/>
        </w:rPr>
        <w:t xml:space="preserve"> runs 6,500+ vehicles with only ~925 EVs, and Lithium Urban serves 100+ corporates with an all-EV car fleet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leaving the bus portion of employee transport largely unelectrified. On the school side, compliance audits and safety incidents create a policy moment where 'new, safe, monitored, electric' becomes a sellable replacement narrative. An OEM that understands the sentiment and decision logic of institutional buyers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not just city STUs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can capture a market where the government tender wars have not yet begun.</w:t>
      </w:r>
    </w:p>
    <w:p w14:paraId="53B99FB7" w14:textId="77777777" w:rsidR="00E47F07" w:rsidRDefault="00000000">
      <w:pPr>
        <w:spacing w:before="180" w:after="90" w:line="276" w:lineRule="auto"/>
      </w:pPr>
      <w:r>
        <w:rPr>
          <w:rFonts w:ascii="Calibri" w:eastAsia="Calibri" w:hAnsi="Calibri" w:cs="Calibri"/>
          <w:b/>
          <w:bCs/>
          <w:color w:val="000000"/>
          <w:sz w:val="23"/>
          <w:szCs w:val="23"/>
        </w:rPr>
        <w:t>3. Stakeholders Impacted by the Insights</w:t>
      </w:r>
    </w:p>
    <w:p w14:paraId="13312319" w14:textId="15F61615" w:rsidR="00E47F07" w:rsidRDefault="00000000">
      <w:pPr>
        <w:spacing w:after="120" w:line="276" w:lineRule="auto"/>
      </w:pPr>
      <w:r>
        <w:rPr>
          <w:rFonts w:ascii="Calibri" w:eastAsia="Calibri" w:hAnsi="Calibri" w:cs="Calibri"/>
          <w:b/>
          <w:bCs/>
          <w:color w:val="000000"/>
          <w:sz w:val="21"/>
          <w:szCs w:val="21"/>
        </w:rPr>
        <w:t>OEMs</w:t>
      </w:r>
      <w:r>
        <w:rPr>
          <w:rFonts w:ascii="Calibri" w:eastAsia="Calibri" w:hAnsi="Calibri" w:cs="Calibri"/>
          <w:color w:val="000000"/>
          <w:sz w:val="21"/>
          <w:szCs w:val="21"/>
        </w:rPr>
        <w:t xml:space="preserve"> (Tata Motors, JBM, </w:t>
      </w:r>
      <w:proofErr w:type="spellStart"/>
      <w:r>
        <w:rPr>
          <w:rFonts w:ascii="Calibri" w:eastAsia="Calibri" w:hAnsi="Calibri" w:cs="Calibri"/>
          <w:color w:val="000000"/>
          <w:sz w:val="21"/>
          <w:szCs w:val="21"/>
        </w:rPr>
        <w:t>Olectra</w:t>
      </w:r>
      <w:proofErr w:type="spellEnd"/>
      <w:r>
        <w:rPr>
          <w:rFonts w:ascii="Calibri" w:eastAsia="Calibri" w:hAnsi="Calibri" w:cs="Calibri"/>
          <w:color w:val="000000"/>
          <w:sz w:val="21"/>
          <w:szCs w:val="21"/>
        </w:rPr>
        <w:t xml:space="preserve">, SML Isuzu, Eicher)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product configuration for school-spec EVs and go-to-market for institutional sales. </w:t>
      </w:r>
      <w:r>
        <w:rPr>
          <w:rFonts w:ascii="Calibri" w:eastAsia="Calibri" w:hAnsi="Calibri" w:cs="Calibri"/>
          <w:b/>
          <w:bCs/>
          <w:color w:val="000000"/>
          <w:sz w:val="21"/>
          <w:szCs w:val="21"/>
        </w:rPr>
        <w:t xml:space="preserve">Fleet operators &amp; </w:t>
      </w:r>
      <w:proofErr w:type="spellStart"/>
      <w:r>
        <w:rPr>
          <w:rFonts w:ascii="Calibri" w:eastAsia="Calibri" w:hAnsi="Calibri" w:cs="Calibri"/>
          <w:b/>
          <w:bCs/>
          <w:color w:val="000000"/>
          <w:sz w:val="21"/>
          <w:szCs w:val="21"/>
        </w:rPr>
        <w:t>eMaaS</w:t>
      </w:r>
      <w:proofErr w:type="spellEnd"/>
      <w:r>
        <w:rPr>
          <w:rFonts w:ascii="Calibri" w:eastAsia="Calibri" w:hAnsi="Calibri" w:cs="Calibri"/>
          <w:b/>
          <w:bCs/>
          <w:color w:val="000000"/>
          <w:sz w:val="21"/>
          <w:szCs w:val="21"/>
        </w:rPr>
        <w:t xml:space="preserve"> players</w:t>
      </w:r>
      <w:r>
        <w:rPr>
          <w:rFonts w:ascii="Calibri" w:eastAsia="Calibri" w:hAnsi="Calibri" w:cs="Calibri"/>
          <w:color w:val="000000"/>
          <w:sz w:val="21"/>
          <w:szCs w:val="21"/>
        </w:rPr>
        <w:t xml:space="preserve"> (Lithium Urban, </w:t>
      </w:r>
      <w:proofErr w:type="spellStart"/>
      <w:r>
        <w:rPr>
          <w:rFonts w:ascii="Calibri" w:eastAsia="Calibri" w:hAnsi="Calibri" w:cs="Calibri"/>
          <w:color w:val="000000"/>
          <w:sz w:val="21"/>
          <w:szCs w:val="21"/>
        </w:rPr>
        <w:t>MoveInSync</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Routematic</w:t>
      </w:r>
      <w:proofErr w:type="spellEnd"/>
      <w:r>
        <w:rPr>
          <w:rFonts w:ascii="Calibri" w:eastAsia="Calibri" w:hAnsi="Calibri" w:cs="Calibri"/>
          <w:color w:val="000000"/>
          <w:sz w:val="21"/>
          <w:szCs w:val="21"/>
        </w:rPr>
        <w:t xml:space="preserve">, </w:t>
      </w:r>
      <w:proofErr w:type="spellStart"/>
      <w:r>
        <w:rPr>
          <w:rFonts w:ascii="Calibri" w:eastAsia="Calibri" w:hAnsi="Calibri" w:cs="Calibri"/>
          <w:color w:val="000000"/>
          <w:sz w:val="21"/>
          <w:szCs w:val="21"/>
        </w:rPr>
        <w:t>GreenCell</w:t>
      </w:r>
      <w:proofErr w:type="spellEnd"/>
      <w:r>
        <w:rPr>
          <w:rFonts w:ascii="Calibri" w:eastAsia="Calibri" w:hAnsi="Calibri" w:cs="Calibri"/>
          <w:color w:val="000000"/>
          <w:sz w:val="21"/>
          <w:szCs w:val="21"/>
        </w:rPr>
        <w:t xml:space="preserve">, Chartered Speed)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fleet-transition economics and service design. </w:t>
      </w:r>
      <w:r>
        <w:rPr>
          <w:rFonts w:ascii="Calibri" w:eastAsia="Calibri" w:hAnsi="Calibri" w:cs="Calibri"/>
          <w:b/>
          <w:bCs/>
          <w:color w:val="000000"/>
          <w:sz w:val="21"/>
          <w:szCs w:val="21"/>
        </w:rPr>
        <w:t>Institutional buyers</w:t>
      </w:r>
      <w:r>
        <w:rPr>
          <w:rFonts w:ascii="Calibri" w:eastAsia="Calibri" w:hAnsi="Calibri" w:cs="Calibri"/>
          <w:color w:val="000000"/>
          <w:sz w:val="21"/>
          <w:szCs w:val="21"/>
        </w:rPr>
        <w:t xml:space="preserve">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schools, IT parks, factories, SEZs, and corporates who sign the contracts and set requirements. </w:t>
      </w:r>
      <w:r>
        <w:rPr>
          <w:rFonts w:ascii="Calibri" w:eastAsia="Calibri" w:hAnsi="Calibri" w:cs="Calibri"/>
          <w:b/>
          <w:bCs/>
          <w:color w:val="000000"/>
          <w:sz w:val="21"/>
          <w:szCs w:val="21"/>
        </w:rPr>
        <w:t>Riders and their proxies</w:t>
      </w:r>
      <w:r>
        <w:rPr>
          <w:rFonts w:ascii="Calibri" w:eastAsia="Calibri" w:hAnsi="Calibri" w:cs="Calibri"/>
          <w:color w:val="000000"/>
          <w:sz w:val="21"/>
          <w:szCs w:val="21"/>
        </w:rPr>
        <w:t xml:space="preserve">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employees, students, and crucially parents, whose safety sentiment drives school decisions. </w:t>
      </w:r>
      <w:r>
        <w:rPr>
          <w:rFonts w:ascii="Calibri" w:eastAsia="Calibri" w:hAnsi="Calibri" w:cs="Calibri"/>
          <w:b/>
          <w:bCs/>
          <w:color w:val="000000"/>
          <w:sz w:val="21"/>
          <w:szCs w:val="21"/>
        </w:rPr>
        <w:t>Regulators &amp; policymakers</w:t>
      </w:r>
      <w:r>
        <w:rPr>
          <w:rFonts w:ascii="Calibri" w:eastAsia="Calibri" w:hAnsi="Calibri" w:cs="Calibri"/>
          <w:color w:val="000000"/>
          <w:sz w:val="21"/>
          <w:szCs w:val="21"/>
        </w:rPr>
        <w:t xml:space="preserve">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state transport departments enforcing school-bus safety norms, and policymakers designing EV incentives beyond STU fleets.</w:t>
      </w:r>
    </w:p>
    <w:p w14:paraId="5F1C33F9" w14:textId="77777777" w:rsidR="00E47F07" w:rsidRDefault="00000000">
      <w:pPr>
        <w:spacing w:before="180" w:after="90" w:line="276" w:lineRule="auto"/>
      </w:pPr>
      <w:r>
        <w:rPr>
          <w:rFonts w:ascii="Calibri" w:eastAsia="Calibri" w:hAnsi="Calibri" w:cs="Calibri"/>
          <w:b/>
          <w:bCs/>
          <w:color w:val="000000"/>
          <w:sz w:val="23"/>
          <w:szCs w:val="23"/>
        </w:rPr>
        <w:t>4. Hypotheses</w:t>
      </w:r>
    </w:p>
    <w:p w14:paraId="5802B2A5" w14:textId="67B30317" w:rsidR="00E47F07" w:rsidRDefault="00000000">
      <w:pPr>
        <w:spacing w:after="90" w:line="276" w:lineRule="auto"/>
      </w:pPr>
      <w:r>
        <w:rPr>
          <w:rFonts w:ascii="Calibri" w:eastAsia="Calibri" w:hAnsi="Calibri" w:cs="Calibri"/>
          <w:b/>
          <w:bCs/>
          <w:color w:val="000000"/>
          <w:sz w:val="21"/>
          <w:szCs w:val="21"/>
        </w:rPr>
        <w:t xml:space="preserve">H1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The decision-maker / rider sentiment split. </w:t>
      </w:r>
      <w:r>
        <w:rPr>
          <w:rFonts w:ascii="Calibri" w:eastAsia="Calibri" w:hAnsi="Calibri" w:cs="Calibri"/>
          <w:color w:val="000000"/>
          <w:sz w:val="21"/>
          <w:szCs w:val="21"/>
        </w:rPr>
        <w:t xml:space="preserve">Institutional buyers discuss electric buses primarily in terms of cost, compliance, and ESG image, while riders and parents discuss safety, comfort, and reliability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and adoption stalls where these two conversations diverge (the buyer sees TCO savings; parents see unproven technology carrying their children).</w:t>
      </w:r>
    </w:p>
    <w:p w14:paraId="7A8C3FF3" w14:textId="3BAD0216" w:rsidR="00E47F07" w:rsidRDefault="00000000">
      <w:pPr>
        <w:spacing w:after="90" w:line="276" w:lineRule="auto"/>
      </w:pPr>
      <w:r>
        <w:rPr>
          <w:rFonts w:ascii="Calibri" w:eastAsia="Calibri" w:hAnsi="Calibri" w:cs="Calibri"/>
          <w:b/>
          <w:bCs/>
          <w:color w:val="000000"/>
          <w:sz w:val="21"/>
          <w:szCs w:val="21"/>
        </w:rPr>
        <w:t xml:space="preserve">H2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Safety framing beats economics in the school segment. </w:t>
      </w:r>
      <w:r>
        <w:rPr>
          <w:rFonts w:ascii="Calibri" w:eastAsia="Calibri" w:hAnsi="Calibri" w:cs="Calibri"/>
          <w:color w:val="000000"/>
          <w:sz w:val="21"/>
          <w:szCs w:val="21"/>
        </w:rPr>
        <w:t xml:space="preserve">In school-transport content, visual and textual emphasis on safety features (CCTV, GPS tracking, speed governors, panic buttons, fire safety) correlates with more positive sentiment and engagement than emphasis on environmental or cost benefits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implying OEMs marketing 'green' to schools are mis-targeting.</w:t>
      </w:r>
    </w:p>
    <w:p w14:paraId="717E4F93" w14:textId="0DB598D9" w:rsidR="00E47F07" w:rsidRDefault="00000000">
      <w:pPr>
        <w:spacing w:after="120" w:line="276" w:lineRule="auto"/>
      </w:pPr>
      <w:r>
        <w:rPr>
          <w:rFonts w:ascii="Calibri" w:eastAsia="Calibri" w:hAnsi="Calibri" w:cs="Calibri"/>
          <w:b/>
          <w:bCs/>
          <w:color w:val="000000"/>
          <w:sz w:val="21"/>
          <w:szCs w:val="21"/>
        </w:rPr>
        <w:lastRenderedPageBreak/>
        <w:t xml:space="preserve">H3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Employee transport electrifies car-first, bus-last. </w:t>
      </w:r>
      <w:r>
        <w:rPr>
          <w:rFonts w:ascii="Calibri" w:eastAsia="Calibri" w:hAnsi="Calibri" w:cs="Calibri"/>
          <w:color w:val="000000"/>
          <w:sz w:val="21"/>
          <w:szCs w:val="21"/>
        </w:rPr>
        <w:t xml:space="preserve">Corporate EV commute content and adoption skew heavily toward cabs/4-wheelers, and the barriers named for buses (campus charging infrastructure, route length, capex) differ measurably from those named for cars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revealing a specific, addressable gap for OEMs.</w:t>
      </w:r>
    </w:p>
    <w:p w14:paraId="15BFB5D0" w14:textId="77777777" w:rsidR="00E47F07" w:rsidRDefault="00000000">
      <w:pPr>
        <w:pageBreakBefore/>
        <w:spacing w:before="60" w:after="60" w:line="300" w:lineRule="auto"/>
        <w:jc w:val="center"/>
      </w:pPr>
      <w:r>
        <w:rPr>
          <w:rFonts w:ascii="Calibri" w:eastAsia="Calibri" w:hAnsi="Calibri" w:cs="Calibri"/>
          <w:b/>
          <w:bCs/>
          <w:color w:val="000000"/>
          <w:sz w:val="28"/>
          <w:szCs w:val="28"/>
        </w:rPr>
        <w:lastRenderedPageBreak/>
        <w:t>Tentative Data Sources</w:t>
      </w:r>
    </w:p>
    <w:p w14:paraId="76AEA654" w14:textId="77777777" w:rsidR="00E47F07" w:rsidRDefault="00000000">
      <w:pPr>
        <w:spacing w:after="90" w:line="258" w:lineRule="auto"/>
      </w:pPr>
      <w:r>
        <w:rPr>
          <w:rFonts w:ascii="Calibri" w:eastAsia="Calibri" w:hAnsi="Calibri" w:cs="Calibri"/>
          <w:i/>
          <w:iCs/>
          <w:color w:val="000000"/>
          <w:sz w:val="21"/>
          <w:szCs w:val="21"/>
        </w:rPr>
        <w:t>The dataset combines segment-specific user-generated content (text, image, video) with a structured backbone of authoritative fleet, market, and regulatory sources used to ground the Multimodal RAG system.</w:t>
      </w:r>
    </w:p>
    <w:p w14:paraId="252FE671" w14:textId="6BD66D10" w:rsidR="00E47F07" w:rsidRDefault="00000000">
      <w:pPr>
        <w:spacing w:before="120" w:after="60" w:line="264" w:lineRule="auto"/>
      </w:pPr>
      <w:r>
        <w:rPr>
          <w:rFonts w:ascii="Calibri" w:eastAsia="Calibri" w:hAnsi="Calibri" w:cs="Calibri"/>
          <w:b/>
          <w:bCs/>
          <w:color w:val="000000"/>
          <w:sz w:val="22"/>
          <w:szCs w:val="22"/>
        </w:rPr>
        <w:t xml:space="preserve">A. Text </w:t>
      </w:r>
      <w:r w:rsidR="00F70954">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buyer, parent &amp; employee discussion</w:t>
      </w:r>
    </w:p>
    <w:p w14:paraId="39A855B1" w14:textId="00E104C8" w:rsidR="00E47F07" w:rsidRDefault="00000000">
      <w:pPr>
        <w:spacing w:after="90" w:line="258" w:lineRule="auto"/>
      </w:pPr>
      <w:r>
        <w:rPr>
          <w:rFonts w:ascii="Calibri" w:eastAsia="Calibri" w:hAnsi="Calibri" w:cs="Calibri"/>
          <w:b/>
          <w:bCs/>
          <w:color w:val="000000"/>
          <w:sz w:val="21"/>
          <w:szCs w:val="21"/>
        </w:rPr>
        <w:t xml:space="preserve">Parent &amp; school communities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city subreddits and parenting forums discussing school-bus safety, incidents, fees, and transport quality; comments on school-bus audit and incident news.</w:t>
      </w:r>
    </w:p>
    <w:p w14:paraId="09EC3C93" w14:textId="18DD8B01" w:rsidR="00E47F07" w:rsidRDefault="00000000">
      <w:pPr>
        <w:spacing w:after="90" w:line="258" w:lineRule="auto"/>
      </w:pPr>
      <w:r>
        <w:rPr>
          <w:rFonts w:ascii="Calibri" w:eastAsia="Calibri" w:hAnsi="Calibri" w:cs="Calibri"/>
          <w:b/>
          <w:bCs/>
          <w:color w:val="000000"/>
          <w:sz w:val="21"/>
          <w:szCs w:val="21"/>
        </w:rPr>
        <w:t xml:space="preserve">Corporate &amp; facility-manager discourse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 xml:space="preserve">LinkedIn posts on employee transport, fleet electrification, and ESG commitments by corporates, IT parks, and </w:t>
      </w:r>
      <w:proofErr w:type="spellStart"/>
      <w:r>
        <w:rPr>
          <w:rFonts w:ascii="Calibri" w:eastAsia="Calibri" w:hAnsi="Calibri" w:cs="Calibri"/>
          <w:color w:val="000000"/>
          <w:sz w:val="21"/>
          <w:szCs w:val="21"/>
        </w:rPr>
        <w:t>eMaaS</w:t>
      </w:r>
      <w:proofErr w:type="spellEnd"/>
      <w:r>
        <w:rPr>
          <w:rFonts w:ascii="Calibri" w:eastAsia="Calibri" w:hAnsi="Calibri" w:cs="Calibri"/>
          <w:color w:val="000000"/>
          <w:sz w:val="21"/>
          <w:szCs w:val="21"/>
        </w:rPr>
        <w:t xml:space="preserve"> providers.</w:t>
      </w:r>
    </w:p>
    <w:p w14:paraId="46DC7BA4" w14:textId="258754C6" w:rsidR="00E47F07" w:rsidRDefault="00000000">
      <w:pPr>
        <w:spacing w:after="90" w:line="258" w:lineRule="auto"/>
      </w:pPr>
      <w:r>
        <w:rPr>
          <w:rFonts w:ascii="Calibri" w:eastAsia="Calibri" w:hAnsi="Calibri" w:cs="Calibri"/>
          <w:b/>
          <w:bCs/>
          <w:color w:val="000000"/>
          <w:sz w:val="21"/>
          <w:szCs w:val="21"/>
        </w:rPr>
        <w:t xml:space="preserve">Google News coverage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Telangana/Hyderabad school-bus fitness audits (June 2026), school-bus electrification announcements, and corporate EV fleet news.</w:t>
      </w:r>
    </w:p>
    <w:p w14:paraId="13800AD0" w14:textId="535AF65C" w:rsidR="00E47F07" w:rsidRDefault="00000000">
      <w:pPr>
        <w:spacing w:after="90" w:line="258" w:lineRule="auto"/>
      </w:pPr>
      <w:r>
        <w:rPr>
          <w:rFonts w:ascii="Calibri" w:eastAsia="Calibri" w:hAnsi="Calibri" w:cs="Calibri"/>
          <w:b/>
          <w:bCs/>
          <w:color w:val="000000"/>
          <w:sz w:val="21"/>
          <w:szCs w:val="21"/>
        </w:rPr>
        <w:t xml:space="preserve">YouTube comments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reactions beneath school-bus and staff-bus EV product and fleet-launch videos.</w:t>
      </w:r>
    </w:p>
    <w:p w14:paraId="322B84F0" w14:textId="0FF30B7E" w:rsidR="00E47F07" w:rsidRDefault="00000000">
      <w:pPr>
        <w:spacing w:before="120" w:after="60" w:line="264" w:lineRule="auto"/>
      </w:pPr>
      <w:r>
        <w:rPr>
          <w:rFonts w:ascii="Calibri" w:eastAsia="Calibri" w:hAnsi="Calibri" w:cs="Calibri"/>
          <w:b/>
          <w:bCs/>
          <w:color w:val="000000"/>
          <w:sz w:val="22"/>
          <w:szCs w:val="22"/>
        </w:rPr>
        <w:t xml:space="preserve">B. Image </w:t>
      </w:r>
      <w:r w:rsidR="00F70954">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buses, safety features, campus infrastructure</w:t>
      </w:r>
    </w:p>
    <w:p w14:paraId="4A97A794" w14:textId="65D25319" w:rsidR="00E47F07" w:rsidRDefault="00000000">
      <w:pPr>
        <w:spacing w:after="90" w:line="258" w:lineRule="auto"/>
      </w:pPr>
      <w:r>
        <w:rPr>
          <w:rFonts w:ascii="Calibri" w:eastAsia="Calibri" w:hAnsi="Calibri" w:cs="Calibri"/>
          <w:b/>
          <w:bCs/>
          <w:color w:val="000000"/>
          <w:sz w:val="21"/>
          <w:szCs w:val="21"/>
        </w:rPr>
        <w:t xml:space="preserve">OEM product pages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 xml:space="preserve">Tata </w:t>
      </w:r>
      <w:proofErr w:type="spellStart"/>
      <w:r>
        <w:rPr>
          <w:rFonts w:ascii="Calibri" w:eastAsia="Calibri" w:hAnsi="Calibri" w:cs="Calibri"/>
          <w:color w:val="000000"/>
          <w:sz w:val="21"/>
          <w:szCs w:val="21"/>
        </w:rPr>
        <w:t>Starbus</w:t>
      </w:r>
      <w:proofErr w:type="spellEnd"/>
      <w:r>
        <w:rPr>
          <w:rFonts w:ascii="Calibri" w:eastAsia="Calibri" w:hAnsi="Calibri" w:cs="Calibri"/>
          <w:color w:val="000000"/>
          <w:sz w:val="21"/>
          <w:szCs w:val="21"/>
        </w:rPr>
        <w:t xml:space="preserve"> School / </w:t>
      </w:r>
      <w:proofErr w:type="spellStart"/>
      <w:r>
        <w:rPr>
          <w:rFonts w:ascii="Calibri" w:eastAsia="Calibri" w:hAnsi="Calibri" w:cs="Calibri"/>
          <w:color w:val="000000"/>
          <w:sz w:val="21"/>
          <w:szCs w:val="21"/>
        </w:rPr>
        <w:t>Starbus</w:t>
      </w:r>
      <w:proofErr w:type="spellEnd"/>
      <w:r>
        <w:rPr>
          <w:rFonts w:ascii="Calibri" w:eastAsia="Calibri" w:hAnsi="Calibri" w:cs="Calibri"/>
          <w:color w:val="000000"/>
          <w:sz w:val="21"/>
          <w:szCs w:val="21"/>
        </w:rPr>
        <w:t xml:space="preserve"> EV range, SML Isuzu </w:t>
      </w:r>
      <w:proofErr w:type="spellStart"/>
      <w:r>
        <w:rPr>
          <w:rFonts w:ascii="Calibri" w:eastAsia="Calibri" w:hAnsi="Calibri" w:cs="Calibri"/>
          <w:color w:val="000000"/>
          <w:sz w:val="21"/>
          <w:szCs w:val="21"/>
        </w:rPr>
        <w:t>Hiroi.EV</w:t>
      </w:r>
      <w:proofErr w:type="spellEnd"/>
      <w:r>
        <w:rPr>
          <w:rFonts w:ascii="Calibri" w:eastAsia="Calibri" w:hAnsi="Calibri" w:cs="Calibri"/>
          <w:color w:val="000000"/>
          <w:sz w:val="21"/>
          <w:szCs w:val="21"/>
        </w:rPr>
        <w:t xml:space="preserve">, JBM school buses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marketing visuals of interiors, safety features (CCTV, GPS, signage), and branding.</w:t>
      </w:r>
    </w:p>
    <w:p w14:paraId="3704C20A" w14:textId="0F53B9D6" w:rsidR="00E47F07" w:rsidRDefault="00000000">
      <w:pPr>
        <w:spacing w:after="90" w:line="258" w:lineRule="auto"/>
      </w:pPr>
      <w:r>
        <w:rPr>
          <w:rFonts w:ascii="Calibri" w:eastAsia="Calibri" w:hAnsi="Calibri" w:cs="Calibri"/>
          <w:b/>
          <w:bCs/>
          <w:color w:val="000000"/>
          <w:sz w:val="21"/>
          <w:szCs w:val="21"/>
        </w:rPr>
        <w:t xml:space="preserve">Fleet &amp; campus photos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school and staff bus fleets, campus/depot charging setups, and safety-equipment imagery from press coverage and institutional pages.</w:t>
      </w:r>
    </w:p>
    <w:p w14:paraId="4C94DB57" w14:textId="023AE1BD" w:rsidR="00E47F07" w:rsidRDefault="00000000">
      <w:pPr>
        <w:spacing w:before="120" w:after="60" w:line="264" w:lineRule="auto"/>
      </w:pPr>
      <w:r>
        <w:rPr>
          <w:rFonts w:ascii="Calibri" w:eastAsia="Calibri" w:hAnsi="Calibri" w:cs="Calibri"/>
          <w:b/>
          <w:bCs/>
          <w:color w:val="000000"/>
          <w:sz w:val="22"/>
          <w:szCs w:val="22"/>
        </w:rPr>
        <w:t xml:space="preserve">C. Video </w:t>
      </w:r>
      <w:r w:rsidR="00F70954">
        <w:rPr>
          <w:rFonts w:ascii="Calibri" w:eastAsia="Calibri" w:hAnsi="Calibri" w:cs="Calibri"/>
          <w:b/>
          <w:bCs/>
          <w:color w:val="000000"/>
          <w:sz w:val="22"/>
          <w:szCs w:val="22"/>
        </w:rPr>
        <w:t>,</w:t>
      </w:r>
      <w:r>
        <w:rPr>
          <w:rFonts w:ascii="Calibri" w:eastAsia="Calibri" w:hAnsi="Calibri" w:cs="Calibri"/>
          <w:b/>
          <w:bCs/>
          <w:color w:val="000000"/>
          <w:sz w:val="22"/>
          <w:szCs w:val="22"/>
        </w:rPr>
        <w:t xml:space="preserve"> product launches, fleet inductions, perspectives</w:t>
      </w:r>
    </w:p>
    <w:p w14:paraId="05AF6D0E" w14:textId="06E08F75" w:rsidR="00E47F07" w:rsidRDefault="00000000">
      <w:pPr>
        <w:spacing w:after="90" w:line="258" w:lineRule="auto"/>
      </w:pPr>
      <w:r>
        <w:rPr>
          <w:rFonts w:ascii="Calibri" w:eastAsia="Calibri" w:hAnsi="Calibri" w:cs="Calibri"/>
          <w:b/>
          <w:bCs/>
          <w:color w:val="000000"/>
          <w:sz w:val="21"/>
          <w:szCs w:val="21"/>
        </w:rPr>
        <w:t xml:space="preserve">YouTube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w:t>
      </w:r>
      <w:r>
        <w:rPr>
          <w:rFonts w:ascii="Calibri" w:eastAsia="Calibri" w:hAnsi="Calibri" w:cs="Calibri"/>
          <w:color w:val="000000"/>
          <w:sz w:val="21"/>
          <w:szCs w:val="21"/>
        </w:rPr>
        <w:t xml:space="preserve">OEM launch and walkthrough videos for school/staff EV buses, school and corporate fleet-induction coverage, parent and employee perspective content </w:t>
      </w:r>
      <w:r w:rsidR="00F70954">
        <w:rPr>
          <w:rFonts w:ascii="Calibri" w:eastAsia="Calibri" w:hAnsi="Calibri" w:cs="Calibri"/>
          <w:color w:val="000000"/>
          <w:sz w:val="21"/>
          <w:szCs w:val="21"/>
        </w:rPr>
        <w:t>,</w:t>
      </w:r>
      <w:r>
        <w:rPr>
          <w:rFonts w:ascii="Calibri" w:eastAsia="Calibri" w:hAnsi="Calibri" w:cs="Calibri"/>
          <w:color w:val="000000"/>
          <w:sz w:val="21"/>
          <w:szCs w:val="21"/>
        </w:rPr>
        <w:t xml:space="preserve"> with engagement metrics (views, likes, comments).</w:t>
      </w:r>
    </w:p>
    <w:p w14:paraId="35F75A66" w14:textId="77777777" w:rsidR="00E47F07" w:rsidRDefault="00000000">
      <w:pPr>
        <w:spacing w:before="120" w:after="60" w:line="264" w:lineRule="auto"/>
      </w:pPr>
      <w:r>
        <w:rPr>
          <w:rFonts w:ascii="Calibri" w:eastAsia="Calibri" w:hAnsi="Calibri" w:cs="Calibri"/>
          <w:b/>
          <w:bCs/>
          <w:color w:val="000000"/>
          <w:sz w:val="22"/>
          <w:szCs w:val="22"/>
        </w:rPr>
        <w:t>D. Structured reference backbone (for RAG grounding)</w:t>
      </w:r>
    </w:p>
    <w:p w14:paraId="6D53CA40" w14:textId="50DC1B7D" w:rsidR="00E47F07" w:rsidRDefault="00000000">
      <w:pPr>
        <w:spacing w:after="20" w:line="258" w:lineRule="auto"/>
      </w:pPr>
      <w:r>
        <w:rPr>
          <w:rFonts w:ascii="Calibri" w:eastAsia="Calibri" w:hAnsi="Calibri" w:cs="Calibri"/>
          <w:b/>
          <w:bCs/>
          <w:color w:val="000000"/>
          <w:sz w:val="21"/>
          <w:szCs w:val="21"/>
        </w:rPr>
        <w:t xml:space="preserve">IFC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JBM &amp; </w:t>
      </w:r>
      <w:proofErr w:type="spellStart"/>
      <w:r>
        <w:rPr>
          <w:rFonts w:ascii="Calibri" w:eastAsia="Calibri" w:hAnsi="Calibri" w:cs="Calibri"/>
          <w:b/>
          <w:bCs/>
          <w:color w:val="000000"/>
          <w:sz w:val="21"/>
          <w:szCs w:val="21"/>
        </w:rPr>
        <w:t>GreenCell</w:t>
      </w:r>
      <w:proofErr w:type="spellEnd"/>
      <w:r>
        <w:rPr>
          <w:rFonts w:ascii="Calibri" w:eastAsia="Calibri" w:hAnsi="Calibri" w:cs="Calibri"/>
          <w:b/>
          <w:bCs/>
          <w:color w:val="000000"/>
          <w:sz w:val="21"/>
          <w:szCs w:val="21"/>
        </w:rPr>
        <w:t xml:space="preserve"> e-bus financing (fleet scale: 0.8 </w:t>
      </w:r>
      <w:proofErr w:type="spellStart"/>
      <w:r>
        <w:rPr>
          <w:rFonts w:ascii="Calibri" w:eastAsia="Calibri" w:hAnsi="Calibri" w:cs="Calibri"/>
          <w:b/>
          <w:bCs/>
          <w:color w:val="000000"/>
          <w:sz w:val="21"/>
          <w:szCs w:val="21"/>
        </w:rPr>
        <w:t>mn</w:t>
      </w:r>
      <w:proofErr w:type="spellEnd"/>
      <w:r>
        <w:rPr>
          <w:rFonts w:ascii="Calibri" w:eastAsia="Calibri" w:hAnsi="Calibri" w:cs="Calibri"/>
          <w:b/>
          <w:bCs/>
          <w:color w:val="000000"/>
          <w:sz w:val="21"/>
          <w:szCs w:val="21"/>
        </w:rPr>
        <w:t xml:space="preserve"> public / 1.2 </w:t>
      </w:r>
      <w:proofErr w:type="spellStart"/>
      <w:r>
        <w:rPr>
          <w:rFonts w:ascii="Calibri" w:eastAsia="Calibri" w:hAnsi="Calibri" w:cs="Calibri"/>
          <w:b/>
          <w:bCs/>
          <w:color w:val="000000"/>
          <w:sz w:val="21"/>
          <w:szCs w:val="21"/>
        </w:rPr>
        <w:t>mn</w:t>
      </w:r>
      <w:proofErr w:type="spellEnd"/>
      <w:r>
        <w:rPr>
          <w:rFonts w:ascii="Calibri" w:eastAsia="Calibri" w:hAnsi="Calibri" w:cs="Calibri"/>
          <w:b/>
          <w:bCs/>
          <w:color w:val="000000"/>
          <w:sz w:val="21"/>
          <w:szCs w:val="21"/>
        </w:rPr>
        <w:t xml:space="preserve"> private buses).</w:t>
      </w:r>
    </w:p>
    <w:p w14:paraId="4282F93A" w14:textId="7EF3D1F3" w:rsidR="00E47F07" w:rsidRDefault="00F70954">
      <w:pPr>
        <w:spacing w:after="90" w:line="258" w:lineRule="auto"/>
        <w:ind w:left="240"/>
      </w:pPr>
      <w:hyperlink r:id="rId5" w:history="1">
        <w:r w:rsidR="00000000" w:rsidRPr="00F70954">
          <w:rPr>
            <w:rStyle w:val="Hyperlink"/>
            <w:rFonts w:ascii="Calibri" w:eastAsia="Calibri" w:hAnsi="Calibri" w:cs="Calibri"/>
            <w:sz w:val="19"/>
            <w:szCs w:val="19"/>
          </w:rPr>
          <w:t>https://www.ifc.org/en/pressroom/2025/ifc-partners-with-jbm-group-and-greencell-mobility-to-accelerate-electric-bus-depl</w:t>
        </w:r>
      </w:hyperlink>
    </w:p>
    <w:p w14:paraId="35A00934" w14:textId="46374AE4" w:rsidR="00E47F07" w:rsidRDefault="00000000">
      <w:pPr>
        <w:spacing w:after="20" w:line="258" w:lineRule="auto"/>
      </w:pPr>
      <w:r>
        <w:rPr>
          <w:rFonts w:ascii="Calibri" w:eastAsia="Calibri" w:hAnsi="Calibri" w:cs="Calibri"/>
          <w:b/>
          <w:bCs/>
          <w:color w:val="000000"/>
          <w:sz w:val="21"/>
          <w:szCs w:val="21"/>
        </w:rPr>
        <w:t xml:space="preserve">Telangana Transport Dept school-bus audit coverage (2026)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Hans India / Telangana Today / </w:t>
      </w:r>
      <w:proofErr w:type="spellStart"/>
      <w:r>
        <w:rPr>
          <w:rFonts w:ascii="Calibri" w:eastAsia="Calibri" w:hAnsi="Calibri" w:cs="Calibri"/>
          <w:b/>
          <w:bCs/>
          <w:color w:val="000000"/>
          <w:sz w:val="21"/>
          <w:szCs w:val="21"/>
        </w:rPr>
        <w:t>NewsMeter</w:t>
      </w:r>
      <w:proofErr w:type="spellEnd"/>
      <w:r>
        <w:rPr>
          <w:rFonts w:ascii="Calibri" w:eastAsia="Calibri" w:hAnsi="Calibri" w:cs="Calibri"/>
          <w:b/>
          <w:bCs/>
          <w:color w:val="000000"/>
          <w:sz w:val="21"/>
          <w:szCs w:val="21"/>
        </w:rPr>
        <w:t>.</w:t>
      </w:r>
    </w:p>
    <w:p w14:paraId="578DCF47" w14:textId="0320A2A4" w:rsidR="00E47F07" w:rsidRDefault="00F70954">
      <w:pPr>
        <w:spacing w:after="90" w:line="258" w:lineRule="auto"/>
        <w:ind w:left="240"/>
      </w:pPr>
      <w:hyperlink r:id="rId6" w:history="1">
        <w:r w:rsidR="00000000" w:rsidRPr="00F70954">
          <w:rPr>
            <w:rStyle w:val="Hyperlink"/>
            <w:rFonts w:ascii="Calibri" w:eastAsia="Calibri" w:hAnsi="Calibri" w:cs="Calibri"/>
            <w:sz w:val="19"/>
            <w:szCs w:val="19"/>
          </w:rPr>
          <w:t>https://telanganatoday.com/school-bus-fitness-inspections-intensify-in-hyderabad-ahead-of-june-12-reopening</w:t>
        </w:r>
      </w:hyperlink>
    </w:p>
    <w:p w14:paraId="7655CA41" w14:textId="1C825AF4" w:rsidR="00E47F07" w:rsidRDefault="00000000">
      <w:pPr>
        <w:spacing w:after="20" w:line="258" w:lineRule="auto"/>
      </w:pPr>
      <w:proofErr w:type="spellStart"/>
      <w:r>
        <w:rPr>
          <w:rFonts w:ascii="Calibri" w:eastAsia="Calibri" w:hAnsi="Calibri" w:cs="Calibri"/>
          <w:b/>
          <w:bCs/>
          <w:color w:val="000000"/>
          <w:sz w:val="21"/>
          <w:szCs w:val="21"/>
        </w:rPr>
        <w:t>MoveInSync</w:t>
      </w:r>
      <w:proofErr w:type="spellEnd"/>
      <w:r>
        <w:rPr>
          <w:rFonts w:ascii="Calibri" w:eastAsia="Calibri" w:hAnsi="Calibri" w:cs="Calibri"/>
          <w:b/>
          <w:bCs/>
          <w:color w:val="000000"/>
          <w:sz w:val="21"/>
          <w:szCs w:val="21"/>
        </w:rPr>
        <w:t xml:space="preserve">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employee transport fleet data (6,500+ vehicles, ~925 EVs).</w:t>
      </w:r>
    </w:p>
    <w:p w14:paraId="543D1C4B" w14:textId="2EDE900D" w:rsidR="00E47F07" w:rsidRDefault="00F70954">
      <w:pPr>
        <w:spacing w:after="90" w:line="258" w:lineRule="auto"/>
        <w:ind w:left="240"/>
      </w:pPr>
      <w:hyperlink r:id="rId7" w:history="1">
        <w:r w:rsidR="00000000" w:rsidRPr="00F70954">
          <w:rPr>
            <w:rStyle w:val="Hyperlink"/>
            <w:rFonts w:ascii="Calibri" w:eastAsia="Calibri" w:hAnsi="Calibri" w:cs="Calibri"/>
            <w:sz w:val="19"/>
            <w:szCs w:val="19"/>
          </w:rPr>
          <w:t>https://moveinsync.com/in</w:t>
        </w:r>
      </w:hyperlink>
    </w:p>
    <w:p w14:paraId="267A6927" w14:textId="7C2E32F5" w:rsidR="00E47F07" w:rsidRDefault="00000000">
      <w:pPr>
        <w:spacing w:after="20" w:line="258" w:lineRule="auto"/>
      </w:pPr>
      <w:proofErr w:type="spellStart"/>
      <w:r>
        <w:rPr>
          <w:rFonts w:ascii="Calibri" w:eastAsia="Calibri" w:hAnsi="Calibri" w:cs="Calibri"/>
          <w:b/>
          <w:bCs/>
          <w:color w:val="000000"/>
          <w:sz w:val="21"/>
          <w:szCs w:val="21"/>
        </w:rPr>
        <w:t>YourStory</w:t>
      </w:r>
      <w:proofErr w:type="spellEnd"/>
      <w:r>
        <w:rPr>
          <w:rFonts w:ascii="Calibri" w:eastAsia="Calibri" w:hAnsi="Calibri" w:cs="Calibri"/>
          <w:b/>
          <w:bCs/>
          <w:color w:val="000000"/>
          <w:sz w:val="21"/>
          <w:szCs w:val="21"/>
        </w:rPr>
        <w:t xml:space="preserve">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corporate shift to EVs for employee commute (barriers &amp; adoption).</w:t>
      </w:r>
    </w:p>
    <w:p w14:paraId="4120D4FC" w14:textId="65C8E5B6" w:rsidR="00E47F07" w:rsidRDefault="00F70954">
      <w:pPr>
        <w:spacing w:after="90" w:line="258" w:lineRule="auto"/>
        <w:ind w:left="240"/>
      </w:pPr>
      <w:hyperlink r:id="rId8" w:history="1">
        <w:r w:rsidR="00000000" w:rsidRPr="00F70954">
          <w:rPr>
            <w:rStyle w:val="Hyperlink"/>
            <w:rFonts w:ascii="Calibri" w:eastAsia="Calibri" w:hAnsi="Calibri" w:cs="Calibri"/>
            <w:sz w:val="19"/>
            <w:szCs w:val="19"/>
          </w:rPr>
          <w:t>https://yourstory.com/2023/09/corporates-shift-to-greener-evs-for-employee-commute</w:t>
        </w:r>
      </w:hyperlink>
    </w:p>
    <w:p w14:paraId="3964892A" w14:textId="61562C3A" w:rsidR="00E47F07" w:rsidRDefault="00000000">
      <w:pPr>
        <w:spacing w:after="20" w:line="258" w:lineRule="auto"/>
      </w:pPr>
      <w:r>
        <w:rPr>
          <w:rFonts w:ascii="Calibri" w:eastAsia="Calibri" w:hAnsi="Calibri" w:cs="Calibri"/>
          <w:b/>
          <w:bCs/>
          <w:color w:val="000000"/>
          <w:sz w:val="21"/>
          <w:szCs w:val="21"/>
        </w:rPr>
        <w:t xml:space="preserve">ITDP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Guidance for Electric Bus Rollout in Indian Cities (baseline e-bus economics).</w:t>
      </w:r>
    </w:p>
    <w:p w14:paraId="60EEEE5E" w14:textId="20FC16EE" w:rsidR="00E47F07" w:rsidRDefault="00F70954">
      <w:pPr>
        <w:spacing w:after="90" w:line="258" w:lineRule="auto"/>
        <w:ind w:left="240"/>
      </w:pPr>
      <w:hyperlink r:id="rId9" w:history="1">
        <w:r w:rsidR="00000000" w:rsidRPr="00F70954">
          <w:rPr>
            <w:rStyle w:val="Hyperlink"/>
            <w:rFonts w:ascii="Calibri" w:eastAsia="Calibri" w:hAnsi="Calibri" w:cs="Calibri"/>
            <w:sz w:val="19"/>
            <w:szCs w:val="19"/>
          </w:rPr>
          <w:t>https://www.itdp.in/wp-content/uploads/2022/10/Guidance-for-e-Bus-Rollout-in-Indian-Cities.pdf</w:t>
        </w:r>
      </w:hyperlink>
    </w:p>
    <w:p w14:paraId="493B6B62" w14:textId="0355CDD0" w:rsidR="00E47F07" w:rsidRDefault="00000000">
      <w:pPr>
        <w:spacing w:after="20" w:line="258" w:lineRule="auto"/>
      </w:pPr>
      <w:r>
        <w:rPr>
          <w:rFonts w:ascii="Calibri" w:eastAsia="Calibri" w:hAnsi="Calibri" w:cs="Calibri"/>
          <w:b/>
          <w:bCs/>
          <w:color w:val="000000"/>
          <w:sz w:val="21"/>
          <w:szCs w:val="21"/>
        </w:rPr>
        <w:t xml:space="preserve">UITP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Performance Evaluation of Electric Bus from Six Indian Cities (operational KPIs).</w:t>
      </w:r>
    </w:p>
    <w:p w14:paraId="07936346" w14:textId="1D05F14F" w:rsidR="00E47F07" w:rsidRDefault="00F70954">
      <w:pPr>
        <w:spacing w:after="90" w:line="258" w:lineRule="auto"/>
        <w:ind w:left="240"/>
      </w:pPr>
      <w:hyperlink r:id="rId10" w:history="1">
        <w:r w:rsidR="00000000" w:rsidRPr="00F70954">
          <w:rPr>
            <w:rStyle w:val="Hyperlink"/>
            <w:rFonts w:ascii="Calibri" w:eastAsia="Calibri" w:hAnsi="Calibri" w:cs="Calibri"/>
            <w:sz w:val="19"/>
            <w:szCs w:val="19"/>
          </w:rPr>
          <w:t>https://www.uitp.org/publications/performance-evaluation-of-electric-bus-from-six-indian-cities/</w:t>
        </w:r>
      </w:hyperlink>
    </w:p>
    <w:p w14:paraId="3C5431A6" w14:textId="662B70AD" w:rsidR="00E47F07" w:rsidRDefault="00000000">
      <w:pPr>
        <w:spacing w:after="20" w:line="258" w:lineRule="auto"/>
      </w:pPr>
      <w:r>
        <w:rPr>
          <w:rFonts w:ascii="Calibri" w:eastAsia="Calibri" w:hAnsi="Calibri" w:cs="Calibri"/>
          <w:b/>
          <w:bCs/>
          <w:color w:val="000000"/>
          <w:sz w:val="21"/>
          <w:szCs w:val="21"/>
        </w:rPr>
        <w:t xml:space="preserve">CESL </w:t>
      </w:r>
      <w:r w:rsidR="00F70954">
        <w:rPr>
          <w:rFonts w:ascii="Calibri" w:eastAsia="Calibri" w:hAnsi="Calibri" w:cs="Calibri"/>
          <w:b/>
          <w:bCs/>
          <w:color w:val="000000"/>
          <w:sz w:val="21"/>
          <w:szCs w:val="21"/>
        </w:rPr>
        <w:t>,</w:t>
      </w:r>
      <w:r>
        <w:rPr>
          <w:rFonts w:ascii="Calibri" w:eastAsia="Calibri" w:hAnsi="Calibri" w:cs="Calibri"/>
          <w:b/>
          <w:bCs/>
          <w:color w:val="000000"/>
          <w:sz w:val="21"/>
          <w:szCs w:val="21"/>
        </w:rPr>
        <w:t xml:space="preserve"> Grand Challenge Case Study (e-bus vs diesel per-km economics).</w:t>
      </w:r>
    </w:p>
    <w:p w14:paraId="05017025" w14:textId="00F892AC" w:rsidR="00E47F07" w:rsidRDefault="00F70954">
      <w:pPr>
        <w:spacing w:after="90" w:line="258" w:lineRule="auto"/>
        <w:ind w:left="240"/>
      </w:pPr>
      <w:hyperlink r:id="rId11" w:history="1">
        <w:r w:rsidR="00000000" w:rsidRPr="00F70954">
          <w:rPr>
            <w:rStyle w:val="Hyperlink"/>
            <w:rFonts w:ascii="Calibri" w:eastAsia="Calibri" w:hAnsi="Calibri" w:cs="Calibri"/>
            <w:sz w:val="19"/>
            <w:szCs w:val="19"/>
          </w:rPr>
          <w:t>https://www.convergence.co.in/public/images/electric_bus/Grand-Challenge-Case-Study-Final-Web-Version.pdf</w:t>
        </w:r>
      </w:hyperlink>
    </w:p>
    <w:sectPr w:rsidR="00E47F0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00C3C"/>
    <w:multiLevelType w:val="hybridMultilevel"/>
    <w:tmpl w:val="71A2DA3A"/>
    <w:lvl w:ilvl="0" w:tplc="98DC9702">
      <w:start w:val="1"/>
      <w:numFmt w:val="bullet"/>
      <w:lvlText w:val="●"/>
      <w:lvlJc w:val="left"/>
      <w:pPr>
        <w:ind w:left="720" w:hanging="360"/>
      </w:pPr>
    </w:lvl>
    <w:lvl w:ilvl="1" w:tplc="A82AD23A">
      <w:start w:val="1"/>
      <w:numFmt w:val="bullet"/>
      <w:lvlText w:val="○"/>
      <w:lvlJc w:val="left"/>
      <w:pPr>
        <w:ind w:left="1440" w:hanging="360"/>
      </w:pPr>
    </w:lvl>
    <w:lvl w:ilvl="2" w:tplc="B7AA75F6">
      <w:start w:val="1"/>
      <w:numFmt w:val="bullet"/>
      <w:lvlText w:val="■"/>
      <w:lvlJc w:val="left"/>
      <w:pPr>
        <w:ind w:left="2160" w:hanging="360"/>
      </w:pPr>
    </w:lvl>
    <w:lvl w:ilvl="3" w:tplc="F758B27C">
      <w:start w:val="1"/>
      <w:numFmt w:val="bullet"/>
      <w:lvlText w:val="●"/>
      <w:lvlJc w:val="left"/>
      <w:pPr>
        <w:ind w:left="2880" w:hanging="360"/>
      </w:pPr>
    </w:lvl>
    <w:lvl w:ilvl="4" w:tplc="D6900C6E">
      <w:start w:val="1"/>
      <w:numFmt w:val="bullet"/>
      <w:lvlText w:val="○"/>
      <w:lvlJc w:val="left"/>
      <w:pPr>
        <w:ind w:left="3600" w:hanging="360"/>
      </w:pPr>
    </w:lvl>
    <w:lvl w:ilvl="5" w:tplc="5784BCD8">
      <w:start w:val="1"/>
      <w:numFmt w:val="bullet"/>
      <w:lvlText w:val="■"/>
      <w:lvlJc w:val="left"/>
      <w:pPr>
        <w:ind w:left="4320" w:hanging="360"/>
      </w:pPr>
    </w:lvl>
    <w:lvl w:ilvl="6" w:tplc="53A0733C">
      <w:start w:val="1"/>
      <w:numFmt w:val="bullet"/>
      <w:lvlText w:val="●"/>
      <w:lvlJc w:val="left"/>
      <w:pPr>
        <w:ind w:left="5040" w:hanging="360"/>
      </w:pPr>
    </w:lvl>
    <w:lvl w:ilvl="7" w:tplc="213C786A">
      <w:start w:val="1"/>
      <w:numFmt w:val="bullet"/>
      <w:lvlText w:val="●"/>
      <w:lvlJc w:val="left"/>
      <w:pPr>
        <w:ind w:left="5760" w:hanging="360"/>
      </w:pPr>
    </w:lvl>
    <w:lvl w:ilvl="8" w:tplc="DA6AC076">
      <w:start w:val="1"/>
      <w:numFmt w:val="bullet"/>
      <w:lvlText w:val="●"/>
      <w:lvlJc w:val="left"/>
      <w:pPr>
        <w:ind w:left="6480" w:hanging="360"/>
      </w:pPr>
    </w:lvl>
  </w:abstractNum>
  <w:num w:numId="1" w16cid:durableId="795560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F07"/>
    <w:rsid w:val="002F382D"/>
    <w:rsid w:val="00E47F07"/>
    <w:rsid w:val="00F70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409F"/>
  <w15:docId w15:val="{8FED1D41-D8B3-4F46-A01F-87C573C1B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0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yourstory.com/2023/09/corporates-shift-to-greener-evs-for-employee-commu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oveinsync.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langanatoday.com/school-bus-fitness-inspections-intensify-in-hyderabad-ahead-of-june-12-reopening" TargetMode="External"/><Relationship Id="rId11" Type="http://schemas.openxmlformats.org/officeDocument/2006/relationships/hyperlink" Target="https://www.convergence.co.in/public/images/electric_bus/Grand-Challenge-Case-Study-Final-Web-Version.pdf" TargetMode="External"/><Relationship Id="rId5" Type="http://schemas.openxmlformats.org/officeDocument/2006/relationships/hyperlink" Target="https://www.ifc.org/en/pressroom/2025/ifc-partners-with-jbm-group-and-greencell-mobility-to-accelerate-electric-bus-depl" TargetMode="External"/><Relationship Id="rId10" Type="http://schemas.openxmlformats.org/officeDocument/2006/relationships/hyperlink" Target="https://www.uitp.org/publications/performance-evaluation-of-electric-bus-from-six-indian-cities/" TargetMode="External"/><Relationship Id="rId4" Type="http://schemas.openxmlformats.org/officeDocument/2006/relationships/webSettings" Target="webSettings.xml"/><Relationship Id="rId9" Type="http://schemas.openxmlformats.org/officeDocument/2006/relationships/hyperlink" Target="https://www.itdp.in/wp-content/uploads/2022/10/Guidance-for-e-Bus-Rollout-in-Indian-Citi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1211</Words>
  <Characters>6908</Characters>
  <Application>Microsoft Office Word</Application>
  <DocSecurity>0</DocSecurity>
  <Lines>57</Lines>
  <Paragraphs>16</Paragraphs>
  <ScaleCrop>false</ScaleCrop>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Proposal — Text, Image and Video Analytics using AI</dc:title>
  <dc:creator>Academic Group 1</dc:creator>
  <cp:lastModifiedBy>Harsh Sheth</cp:lastModifiedBy>
  <cp:revision>2</cp:revision>
  <dcterms:created xsi:type="dcterms:W3CDTF">2026-07-07T15:36:00Z</dcterms:created>
  <dcterms:modified xsi:type="dcterms:W3CDTF">2026-07-07T15:50:00Z</dcterms:modified>
</cp:coreProperties>
</file>