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16A17" w14:textId="77777777" w:rsidR="00330BBD" w:rsidRDefault="00000000">
      <w:pPr>
        <w:spacing w:after="120"/>
        <w:jc w:val="center"/>
      </w:pPr>
      <w:r>
        <w:rPr>
          <w:b/>
          <w:bCs/>
          <w:sz w:val="30"/>
          <w:szCs w:val="30"/>
        </w:rPr>
        <w:t>Lab 3: Architectural Pattern Selection — Written Justification</w:t>
      </w:r>
    </w:p>
    <w:p w14:paraId="24F9FBD3" w14:textId="253E9702" w:rsidR="003B2E40" w:rsidRDefault="00000000" w:rsidP="003B2E40">
      <w:pPr>
        <w:spacing w:after="240"/>
        <w:jc w:val="center"/>
        <w:rPr>
          <w:i/>
          <w:iCs/>
          <w:color w:val="444444"/>
          <w:sz w:val="24"/>
          <w:szCs w:val="24"/>
        </w:rPr>
      </w:pPr>
      <w:r>
        <w:rPr>
          <w:i/>
          <w:iCs/>
          <w:color w:val="444444"/>
          <w:sz w:val="24"/>
          <w:szCs w:val="24"/>
        </w:rPr>
        <w:t>Problem Statement #49 — Webhook Ingestion &amp; Retry Mechanism Hub</w:t>
      </w:r>
    </w:p>
    <w:p w14:paraId="636089D5" w14:textId="2ADA8BB8" w:rsidR="003B2E40" w:rsidRPr="003B2E40" w:rsidRDefault="003B2E40" w:rsidP="003B2E40">
      <w:pPr>
        <w:spacing w:after="240"/>
        <w:jc w:val="center"/>
        <w:rPr>
          <w:i/>
          <w:iCs/>
          <w:color w:val="444444"/>
          <w:sz w:val="24"/>
          <w:szCs w:val="24"/>
        </w:rPr>
      </w:pPr>
      <w:r>
        <w:rPr>
          <w:i/>
          <w:iCs/>
          <w:color w:val="444444"/>
          <w:sz w:val="24"/>
          <w:szCs w:val="24"/>
        </w:rPr>
        <w:t>Name: S. Hemanth Kumar Reddy   SRN: PES1UG24CS418   Class: 5G</w:t>
      </w:r>
    </w:p>
    <w:p w14:paraId="1752E04B" w14:textId="77777777" w:rsidR="00330BBD" w:rsidRDefault="00000000">
      <w:pPr>
        <w:spacing w:after="160"/>
      </w:pPr>
      <w:r>
        <w:rPr>
          <w:b/>
          <w:bCs/>
          <w:sz w:val="24"/>
          <w:szCs w:val="24"/>
        </w:rPr>
        <w:t>We chose Microservices Architecture for the Webhook Ingestion &amp; Retry Mechanism Hub.</w:t>
      </w:r>
    </w:p>
    <w:p w14:paraId="617365B3" w14:textId="77777777" w:rsidR="00330BBD" w:rsidRDefault="00000000">
      <w:pPr>
        <w:spacing w:after="80"/>
      </w:pPr>
      <w:r>
        <w:rPr>
          <w:b/>
          <w:bCs/>
          <w:color w:val="1F4E79"/>
          <w:sz w:val="24"/>
          <w:szCs w:val="24"/>
        </w:rPr>
        <w:t>Architectural Choice</w:t>
      </w:r>
    </w:p>
    <w:p w14:paraId="231176AB" w14:textId="77777777" w:rsidR="00330BBD" w:rsidRDefault="00000000">
      <w:pPr>
        <w:spacing w:after="200"/>
      </w:pPr>
      <w:r>
        <w:rPr>
          <w:sz w:val="22"/>
          <w:szCs w:val="22"/>
        </w:rPr>
        <w:t>The system is decomposed into five independently deployable services: the Webhook Ingestion Gateway, the Endpoint &amp; Subscription Manager, the Delivery &amp; Retry Engine, the Dead-Letter Queue Manager, and the Manual Recovery Console. Each owns a distinct responsibility from the requirements table (FR-001 through FR-005) and communicates with the others only through well-defined interfaces, which is the defining trait of a Microservices Architecture.</w:t>
      </w:r>
    </w:p>
    <w:p w14:paraId="70025483" w14:textId="77777777" w:rsidR="00330BBD" w:rsidRDefault="00000000">
      <w:pPr>
        <w:spacing w:after="80"/>
      </w:pPr>
      <w:r>
        <w:rPr>
          <w:b/>
          <w:bCs/>
          <w:color w:val="1F4E79"/>
          <w:sz w:val="24"/>
          <w:szCs w:val="24"/>
        </w:rPr>
        <w:t>Two Scenario-Related Reasons</w:t>
      </w:r>
    </w:p>
    <w:p w14:paraId="24710FFD" w14:textId="77777777" w:rsidR="00330BBD" w:rsidRDefault="00000000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>Independent scaling under bursty load: NFR-001 requires the ingestion endpoint to sustain up to 2,500 requests/second, while the Delivery &amp; Retry Engine is inherently slower — it deliberately waits through exponential backoff intervals (1s, 2s, 4s, 8s...) before re-attempting delivery (FR-002). Microservices let the stateless Ingestion Gateway be scaled horizontally during traffic spikes without over-provisioning the retry workers, and vice versa scale retry capacity during a downstream outage without touching ingestion throughput.</w:t>
      </w:r>
    </w:p>
    <w:p w14:paraId="207F340E" w14:textId="77777777" w:rsidR="00330BBD" w:rsidRDefault="00000000">
      <w:pPr>
        <w:pStyle w:val="ListParagraph"/>
        <w:numPr>
          <w:ilvl w:val="0"/>
          <w:numId w:val="1"/>
        </w:numPr>
        <w:spacing w:after="200"/>
      </w:pPr>
      <w:r>
        <w:rPr>
          <w:sz w:val="22"/>
          <w:szCs w:val="22"/>
        </w:rPr>
        <w:t>Fault isolation for guaranteed durability: NFR-002 requires zero event loss even during a service restart. Because the Dead-Letter Queue Manager and Delivery &amp; Retry Engine are separate services from the Ingestion Gateway, a backlog of failed deliveries or a crash in the retry/escalation path never blocks new inbound webhooks from being accepted and queued — ingestion keeps meeting its 99.999% reliability target (NFR-001) independently of the health of the delivery pipeline.</w:t>
      </w:r>
    </w:p>
    <w:p w14:paraId="4AFCBA14" w14:textId="77777777" w:rsidR="00330BBD" w:rsidRDefault="00000000">
      <w:pPr>
        <w:spacing w:after="80"/>
      </w:pPr>
      <w:r>
        <w:rPr>
          <w:b/>
          <w:bCs/>
          <w:color w:val="1F4E79"/>
          <w:sz w:val="24"/>
          <w:szCs w:val="24"/>
        </w:rPr>
        <w:t>Security Advantage</w:t>
      </w:r>
    </w:p>
    <w:p w14:paraId="5C7B658F" w14:textId="77777777" w:rsidR="00330BBD" w:rsidRDefault="00000000">
      <w:pPr>
        <w:spacing w:after="200"/>
      </w:pPr>
      <w:r>
        <w:rPr>
          <w:sz w:val="22"/>
          <w:szCs w:val="22"/>
        </w:rPr>
        <w:t xml:space="preserve">Payload signature verification (FR-001) happens entirely inside the Webhook Ingestion Gateway before an event is ever enqueued. The Delivery &amp; Retry Engine, Dead-Letter Queue Manager and Manual Recovery Console never receive raw, unauthenticated third-party traffic directly from the internet — only pre-validated events reach them through the </w:t>
      </w:r>
      <w:proofErr w:type="spellStart"/>
      <w:r>
        <w:rPr>
          <w:sz w:val="22"/>
          <w:szCs w:val="22"/>
        </w:rPr>
        <w:t>IEventQueueInterface</w:t>
      </w:r>
      <w:proofErr w:type="spellEnd"/>
      <w:r>
        <w:rPr>
          <w:sz w:val="22"/>
          <w:szCs w:val="22"/>
        </w:rPr>
        <w:t>. This confines TLS termination, per-source rate limiting and signature checks to a single hardened boundary service, narrowing the attack surface for the rest of the pipeline.</w:t>
      </w:r>
    </w:p>
    <w:p w14:paraId="04F4060E" w14:textId="77777777" w:rsidR="00330BBD" w:rsidRDefault="00000000">
      <w:pPr>
        <w:spacing w:after="80"/>
      </w:pPr>
      <w:r>
        <w:rPr>
          <w:b/>
          <w:bCs/>
          <w:color w:val="1F4E79"/>
          <w:sz w:val="24"/>
          <w:szCs w:val="24"/>
        </w:rPr>
        <w:t>Performance Benefit</w:t>
      </w:r>
    </w:p>
    <w:p w14:paraId="2098F82B" w14:textId="77777777" w:rsidR="00330BBD" w:rsidRDefault="00000000">
      <w:pPr>
        <w:spacing w:after="200"/>
      </w:pPr>
      <w:r>
        <w:rPr>
          <w:sz w:val="22"/>
          <w:szCs w:val="22"/>
        </w:rPr>
        <w:t xml:space="preserve">Because the Ingestion Gateway and Delivery &amp; Retry Engine are decoupled services communicating asynchronously through the </w:t>
      </w:r>
      <w:proofErr w:type="spellStart"/>
      <w:r>
        <w:rPr>
          <w:sz w:val="22"/>
          <w:szCs w:val="22"/>
        </w:rPr>
        <w:t>IEventQueueInterface</w:t>
      </w:r>
      <w:proofErr w:type="spellEnd"/>
      <w:r>
        <w:rPr>
          <w:sz w:val="22"/>
          <w:szCs w:val="22"/>
        </w:rPr>
        <w:t>, the gateway can acknowledge and enqueue a webhook (HTTP 200 within 200ms, per FR-001's acceptance criteria) without waiting on downstream delivery latency or backoff timers. This decoupling of acceptance speed from delivery speed is what allows the gateway to sustain the 2,500 requests/second throughput target in NFR-001 even while individual deliveries are being retried in the background.</w:t>
      </w:r>
    </w:p>
    <w:sectPr w:rsidR="00330BB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34BF4"/>
    <w:multiLevelType w:val="hybridMultilevel"/>
    <w:tmpl w:val="4D042B64"/>
    <w:lvl w:ilvl="0" w:tplc="FD22B8F0">
      <w:start w:val="1"/>
      <w:numFmt w:val="bullet"/>
      <w:lvlText w:val="●"/>
      <w:lvlJc w:val="left"/>
      <w:pPr>
        <w:ind w:left="720" w:hanging="360"/>
      </w:pPr>
    </w:lvl>
    <w:lvl w:ilvl="1" w:tplc="63D0B5E0">
      <w:start w:val="1"/>
      <w:numFmt w:val="bullet"/>
      <w:lvlText w:val="○"/>
      <w:lvlJc w:val="left"/>
      <w:pPr>
        <w:ind w:left="1440" w:hanging="360"/>
      </w:pPr>
    </w:lvl>
    <w:lvl w:ilvl="2" w:tplc="E46CC4E6">
      <w:start w:val="1"/>
      <w:numFmt w:val="bullet"/>
      <w:lvlText w:val="■"/>
      <w:lvlJc w:val="left"/>
      <w:pPr>
        <w:ind w:left="2160" w:hanging="360"/>
      </w:pPr>
    </w:lvl>
    <w:lvl w:ilvl="3" w:tplc="5388F7B8">
      <w:start w:val="1"/>
      <w:numFmt w:val="bullet"/>
      <w:lvlText w:val="●"/>
      <w:lvlJc w:val="left"/>
      <w:pPr>
        <w:ind w:left="2880" w:hanging="360"/>
      </w:pPr>
    </w:lvl>
    <w:lvl w:ilvl="4" w:tplc="E16222FC">
      <w:start w:val="1"/>
      <w:numFmt w:val="bullet"/>
      <w:lvlText w:val="○"/>
      <w:lvlJc w:val="left"/>
      <w:pPr>
        <w:ind w:left="3600" w:hanging="360"/>
      </w:pPr>
    </w:lvl>
    <w:lvl w:ilvl="5" w:tplc="7FA2EF02">
      <w:start w:val="1"/>
      <w:numFmt w:val="bullet"/>
      <w:lvlText w:val="■"/>
      <w:lvlJc w:val="left"/>
      <w:pPr>
        <w:ind w:left="4320" w:hanging="360"/>
      </w:pPr>
    </w:lvl>
    <w:lvl w:ilvl="6" w:tplc="B43E5906">
      <w:start w:val="1"/>
      <w:numFmt w:val="bullet"/>
      <w:lvlText w:val="●"/>
      <w:lvlJc w:val="left"/>
      <w:pPr>
        <w:ind w:left="5040" w:hanging="360"/>
      </w:pPr>
    </w:lvl>
    <w:lvl w:ilvl="7" w:tplc="B1D0261A">
      <w:start w:val="1"/>
      <w:numFmt w:val="bullet"/>
      <w:lvlText w:val="●"/>
      <w:lvlJc w:val="left"/>
      <w:pPr>
        <w:ind w:left="5760" w:hanging="360"/>
      </w:pPr>
    </w:lvl>
    <w:lvl w:ilvl="8" w:tplc="2932DF6C">
      <w:start w:val="1"/>
      <w:numFmt w:val="bullet"/>
      <w:lvlText w:val="●"/>
      <w:lvlJc w:val="left"/>
      <w:pPr>
        <w:ind w:left="6480" w:hanging="360"/>
      </w:pPr>
    </w:lvl>
  </w:abstractNum>
  <w:num w:numId="1" w16cid:durableId="10642539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BBD"/>
    <w:rsid w:val="00330BBD"/>
    <w:rsid w:val="003B2E40"/>
    <w:rsid w:val="00CD2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07B5E"/>
  <w15:docId w15:val="{60D0A56B-4C0E-462C-A815-A894F4628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434</Words>
  <Characters>2476</Characters>
  <Application>Microsoft Office Word</Application>
  <DocSecurity>0</DocSecurity>
  <Lines>20</Lines>
  <Paragraphs>5</Paragraphs>
  <ScaleCrop>false</ScaleCrop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Hemanth Kumar</cp:lastModifiedBy>
  <cp:revision>2</cp:revision>
  <dcterms:created xsi:type="dcterms:W3CDTF">2026-09-26T07:01:00Z</dcterms:created>
  <dcterms:modified xsi:type="dcterms:W3CDTF">2026-09-26T07:18:00Z</dcterms:modified>
</cp:coreProperties>
</file>