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22"/>
          <w:szCs w:val="22"/>
        </w:rPr>
        <w:t xml:space="preserve">PES University – Dept. of CSE</w:t>
      </w:r>
    </w:p>
    <w:p>
      <w:pPr>
        <w:spacing w:after="40"/>
        <w:jc w:val="center"/>
      </w:pPr>
      <w:r>
        <w:rPr>
          <w:sz w:val="20"/>
          <w:szCs w:val="20"/>
        </w:rPr>
        <w:t xml:space="preserve">Lab 1: Requirements Engineering &amp; UML Use-Case Modelling</w:t>
      </w:r>
    </w:p>
    <w:p>
      <w:pPr>
        <w:spacing w:after="40"/>
        <w:jc w:val="center"/>
      </w:pPr>
      <w:r>
        <w:rPr>
          <w:b/>
          <w:bCs/>
          <w:sz w:val="26"/>
          <w:szCs w:val="26"/>
        </w:rPr>
        <w:t xml:space="preserve">Problem Statement #49 — Webhook Ingestion &amp; Retry Mechanism Hub</w:t>
      </w:r>
    </w:p>
    <w:p>
      <w:pPr>
        <w:spacing w:after="30"/>
        <w:jc w:val="center"/>
      </w:pPr>
      <w:r>
        <w:rPr>
          <w:b/>
          <w:bCs/>
          <w:sz w:val="22"/>
          <w:szCs w:val="22"/>
        </w:rPr>
        <w:t xml:space="preserve">Deliverable 1 — Requirements Table</w:t>
      </w:r>
    </w:p>
    <w:p>
      <w:pPr>
        <w:spacing w:after="300"/>
        <w:jc w:val="center"/>
      </w:pPr>
      <w:r>
        <w:rPr>
          <w:i/>
          <w:iCs/>
          <w:sz w:val="19"/>
          <w:szCs w:val="19"/>
        </w:rPr>
        <w:t xml:space="preserve">Name: ______________________   SRN: ______________________   Section: ______</w:t>
      </w:r>
    </w:p>
    <w:p>
      <w:pPr>
        <w:spacing w:after="120"/>
      </w:pPr>
      <w:r>
        <w:rPr>
          <w:b/>
          <w:bCs/>
          <w:i w:val="false"/>
          <w:iCs w:val="false"/>
          <w:sz w:val="21"/>
          <w:szCs w:val="21"/>
        </w:rPr>
        <w:t xml:space="preserve">Actors: Integration Developer, System Operator, Third-Party Service (webhook sender)</w:t>
      </w:r>
    </w:p>
    <w:p>
      <w:pPr>
        <w:pStyle w:val="Heading1"/>
        <w:spacing w:after="150" w:before="300"/>
      </w:pPr>
      <w:r>
        <w:rPr>
          <w:b/>
          <w:bCs/>
          <w:color w:val="000000"/>
          <w:sz w:val="30"/>
          <w:szCs w:val="30"/>
        </w:rPr>
        <w:t xml:space="preserve">Functional Requirements (FR-001 – FR-005)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50"/>
        <w:gridCol w:w="3000"/>
        <w:gridCol w:w="900"/>
        <w:gridCol w:w="2650"/>
        <w:gridCol w:w="180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Priority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Acceptance Criteria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Rationale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FR-001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Functional – Ingestion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system shall expose a public HTTPS endpoint that ingests inbound webhook events, verifies the payload signature against the registered secret, and enqueues valid events for delivery.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Pass: A correctly signed payload is accepted, acknowledged with HTTP 200, and queued within 200ms. Fail: An unsigned or invalid payload is rejected with HTTP 401 and not queued.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Third-party senders need a reliable, secure entry point; signature verification prevents spoofed or malicious events from entering the pipeline.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FR-002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Functional – Delivery &amp; Retry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system shall forward queued webhook payloads to the configured internal target endpoint and automatically retry failed deliveries using exponential backoff (1s, 2s, 4s, 8s, ...) up to a configurable maximum attempt count.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Pass: A failed delivery is retried according to the backoff schedule and each attempt is logged. Fail: A failed delivery is dropped without a logged retry attempt.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Downstream services may be temporarily unavailable; backoff retries improve delivery reliability while avoiding overwhelming a recovering service.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FR-003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Functional – Dead-Letter Queue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system shall move any webhook event that exhausts its maximum retry attempts into a dead-letter queue (DLQ) and notify the System Operator.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Pass: An exhausted event appears in the DLQ with a recorded failure reason and an alert is dispatched to the operator. Fail: The event is lost or dropped silently without appearing in the DLQ.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Guarantees no event is permanently lost and gives operators visibility into systemic delivery failures needing manual intervention.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FR-004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Functional – Endpoint Management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system shall allow the Integration Developer to register, update, and deactivate webhook endpoint subscriptions, including target URL, signing secret, and subscribed event types.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Pass: CRUD operations on an endpoint persist correctly and take effect starting with the next ingested event. Fail: A deactivated or deleted endpoint continues to receive forwarded traffic.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Developers need self-service control over integration configuration without requiring operator involvement for routine changes.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FR-005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Functional – Manual Recovery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system shall allow the System Operator to manually trigger a retry for any event held in the dead-letter queue, or to permanently discard it.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Pass: A manual retry re-attempts delivery, updates the event status, and logs the operator action. Fail: A manual retry has no observable effect on delivery attempt count or event state.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Operators need a recovery path once the underlying failure (e.g., an outage) is resolved, without waiting for a new inbound event.</w:t>
            </w:r>
          </w:p>
        </w:tc>
      </w:tr>
    </w:tbl>
    <w:p>
      <w:pPr>
        <w:spacing w:after="200"/>
      </w:pPr>
    </w:p>
    <w:p>
      <w:pPr>
        <w:pStyle w:val="Heading1"/>
        <w:spacing w:after="150" w:before="300"/>
      </w:pPr>
      <w:r>
        <w:rPr>
          <w:b/>
          <w:bCs/>
          <w:color w:val="000000"/>
          <w:sz w:val="30"/>
          <w:szCs w:val="30"/>
        </w:rPr>
        <w:t xml:space="preserve">Non-Functional Requirements (NFR-001 – NFR-002)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50"/>
        <w:gridCol w:w="3000"/>
        <w:gridCol w:w="900"/>
        <w:gridCol w:w="2650"/>
        <w:gridCol w:w="180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Priority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Acceptance Criteria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Rationale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NFR-001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Performance &amp; Security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ingestion endpoint shall buffer inbound webhooks with 99.999% reliability and support throughput up to 2,500 requests/second, while enforcing TLS 1.2+ and per-source rate limiting.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Pass: Benchmark tests confirm target latency, throughput, and security standards under simulated peak load. Fail: Reliability, throughput, or security thresholds are not met under load testing.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Webhook senders often fire retries or bursts of events during incidents; the gateway must not become the reliability bottleneck for the integration.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NFR-002</w:t>
            </w:r>
          </w:p>
        </w:tc>
        <w:tc>
          <w:tcPr>
            <w:tcW w:type="dxa" w:w="15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Reliability &amp; Durability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system shall persist queued events, dead-letter records, and delivery audit logs durably such that no acknowledged webhook event is lost even in the event of an unplanned service restart, achieving 99.99% durability.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Pass: A chaos test that forces a service restart mid-processing shows zero event loss across 10,000 test events. Fail: Any acknowledged event is missing after the restart.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Since senders treat a 200 response as final acknowledgment, the system must honor that guarantee even across failures, or data integrity for downstream consumers is compromised.</w:t>
            </w:r>
          </w:p>
        </w:tc>
      </w:tr>
    </w:tbl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2026-08-25T05:30:50.474Z</dcterms:created>
  <dcterms:modified xsi:type="dcterms:W3CDTF">2026-08-25T05:30:50.474Z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