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5E7" w:rsidRDefault="00AF55E7" w:rsidP="00AF55E7">
      <w:pPr>
        <w:pStyle w:val="Heading1"/>
        <w:rPr>
          <w:rFonts w:eastAsia="Times New Roman"/>
        </w:rPr>
      </w:pPr>
      <w:r>
        <w:rPr>
          <w:rFonts w:eastAsia="Times New Roman"/>
        </w:rPr>
        <w:t xml:space="preserve">MARPOL compliance and distances ‘from the nearest land’ </w:t>
      </w:r>
    </w:p>
    <w:p w:rsidR="00AF55E7" w:rsidRDefault="00AF55E7" w:rsidP="00AF55E7">
      <w:pPr>
        <w:pStyle w:val="NormalWeb"/>
      </w:pPr>
      <w:r>
        <w:t>MARPOL permits unprocessed food waste to be discharged into the sea from vessels proceeding at a distance not less than 12 nautical miles from the nearest land. Sounds straightforward? Unfortunately, it is not - all coastal states do not define their ‘nearest land boundary’ in the same way.</w:t>
      </w:r>
    </w:p>
    <w:p w:rsidR="00AF55E7" w:rsidRDefault="00AF55E7" w:rsidP="00AF55E7">
      <w:r>
        <w:t xml:space="preserve">INSIGHT </w:t>
      </w:r>
    </w:p>
    <w:p w:rsidR="00AF55E7" w:rsidRDefault="00AF55E7" w:rsidP="00AF55E7">
      <w:pPr>
        <w:pStyle w:val="lang"/>
      </w:pPr>
      <w:r>
        <w:t>23 OCT 2018</w:t>
      </w:r>
    </w:p>
    <w:p w:rsidR="00AF55E7" w:rsidRDefault="00AF55E7" w:rsidP="00AF55E7">
      <w:pPr>
        <w:pStyle w:val="NormalWeb"/>
      </w:pPr>
      <w:r>
        <w:t xml:space="preserve">A Gard Member’s vessel was recently detained in an Australian port for illegally discharging food waste into Australian waters. The alleged incident took place when the vessel was proceeding at 13 nautical miles (nm) from shore, or more precisely, from an island off the north-east coast of mainland Australia. A few months earlier, another Gard Member’s vessel was </w:t>
      </w:r>
      <w:proofErr w:type="spellStart"/>
      <w:r>
        <w:t>penalised</w:t>
      </w:r>
      <w:proofErr w:type="spellEnd"/>
      <w:r>
        <w:t xml:space="preserve"> in China for the same reasons, that is, for illegally discharging food waste into Chinese waters. According to this vessel’s log book, it had been approaching Ningbo Port at the time of the alleged incident and the crew had taken all necessary precautions to ensure that the vessel was at least 12 nm from the Chinese shore before discharging any food waste. </w:t>
      </w:r>
      <w:r>
        <w:rPr>
          <w:rStyle w:val="Emphasis"/>
        </w:rPr>
        <w:t xml:space="preserve">So why were the two vessels </w:t>
      </w:r>
      <w:proofErr w:type="spellStart"/>
      <w:r>
        <w:rPr>
          <w:rStyle w:val="Emphasis"/>
        </w:rPr>
        <w:t>penalised</w:t>
      </w:r>
      <w:proofErr w:type="spellEnd"/>
      <w:r>
        <w:rPr>
          <w:rStyle w:val="Emphasis"/>
        </w:rPr>
        <w:t>?</w:t>
      </w:r>
    </w:p>
    <w:p w:rsidR="00AF55E7" w:rsidRDefault="00AF55E7" w:rsidP="00AF55E7">
      <w:pPr>
        <w:pStyle w:val="NormalWeb"/>
      </w:pPr>
      <w:r>
        <w:rPr>
          <w:rStyle w:val="Strong"/>
        </w:rPr>
        <w:t>MARPOL Annex V at a glance</w:t>
      </w:r>
    </w:p>
    <w:p w:rsidR="00AF55E7" w:rsidRDefault="00AF55E7" w:rsidP="00AF55E7">
      <w:pPr>
        <w:pStyle w:val="NormalWeb"/>
      </w:pPr>
      <w:r>
        <w:t xml:space="preserve">The MARPOL Convention prohibits discharge into the sea of nearly all forms of garbage, including plastic. It does, however, contain a specific exemption for food waste. Under MARPOL Annex V, discharge into the sea of food waste is permitted while the vessel is en route and as far as practicable from the nearest land, but in any case, not less than 3 nm from the nearest land if the discharged food waste has been comminuted or ground, and not less than 12 nm for unprocessed food waste. A simplified overview of all MARPOL Annex V discharge provisions can downloaded from </w:t>
      </w:r>
      <w:hyperlink r:id="rId5" w:history="1">
        <w:r>
          <w:rPr>
            <w:rStyle w:val="Hyperlink"/>
          </w:rPr>
          <w:t>IMO’s Website</w:t>
        </w:r>
      </w:hyperlink>
      <w:r>
        <w:t>.</w:t>
      </w:r>
    </w:p>
    <w:p w:rsidR="00AF55E7" w:rsidRDefault="00AF55E7" w:rsidP="00AF55E7">
      <w:pPr>
        <w:pStyle w:val="NormalWeb"/>
      </w:pPr>
      <w:r>
        <w:t>Stricter discharge standards do apply in the so-called ‘Special Areas’, however, neither Australia nor China have designated any Special Areas for the purposes of MARPOL Annex V.</w:t>
      </w:r>
    </w:p>
    <w:p w:rsidR="00AF55E7" w:rsidRDefault="00AF55E7" w:rsidP="00AF55E7">
      <w:pPr>
        <w:pStyle w:val="NormalWeb"/>
      </w:pPr>
      <w:r>
        <w:rPr>
          <w:rStyle w:val="Strong"/>
        </w:rPr>
        <w:t>Nearest land under MARPOL</w:t>
      </w:r>
    </w:p>
    <w:p w:rsidR="00AF55E7" w:rsidRDefault="00AF55E7" w:rsidP="00AF55E7">
      <w:pPr>
        <w:pStyle w:val="NormalWeb"/>
      </w:pPr>
      <w:r>
        <w:t xml:space="preserve">When discharge standards under MARPOL require you to be a specified distance from the nearest land, the term ‘from nearest land’ generally means from a country’s territorial sea baseline. There is, however, one exception to this general definition. On the north eastern coast of Australia, Australia’s nearest land boundary extends around the outer edge of the Great Barrier Reef (GBR) region and discharges permitted under MARPOL must be measured seaward of this boundary. The IMO has designated the GBR region as a particularly sensitive sea area (PSSA) and additional protection measures, such as ship </w:t>
      </w:r>
      <w:proofErr w:type="spellStart"/>
      <w:r>
        <w:t>routeing</w:t>
      </w:r>
      <w:proofErr w:type="spellEnd"/>
      <w:r>
        <w:t xml:space="preserve"> systems and restricted </w:t>
      </w:r>
      <w:r>
        <w:lastRenderedPageBreak/>
        <w:t>discharges, therefore apply to vessels that transit the region. The Australian Maritime Safety Authority’s (AMSA) website “</w:t>
      </w:r>
      <w:hyperlink r:id="rId6" w:history="1">
        <w:r>
          <w:rPr>
            <w:rStyle w:val="Hyperlink"/>
          </w:rPr>
          <w:t>Navigation through the Great Barrier Reef and Torres Strait</w:t>
        </w:r>
      </w:hyperlink>
      <w:r>
        <w:t>” contains an overview of all key requirements.</w:t>
      </w:r>
    </w:p>
    <w:p w:rsidR="00AF55E7" w:rsidRDefault="00AF55E7" w:rsidP="00AF55E7">
      <w:pPr>
        <w:pStyle w:val="NormalWeb"/>
      </w:pPr>
      <w:r>
        <w:t>Also note that not all countries define their baselines in the same way. For many countries, the baseline for establishing the territorial sea is drawn at the low-water line, as stated in official charts. Perhaps the easiest way to think of a normal baseline is as an “outline” of a country’s coast. However, a number of countries have established baselines as straight lines between prominent coastal features and others claim “archipelagic status” with baselines joining outlying islands. Such countries’ baselines can therefore lie many nautical miles off their coasts.</w:t>
      </w:r>
    </w:p>
    <w:p w:rsidR="00AF55E7" w:rsidRDefault="00AF55E7" w:rsidP="00AF55E7">
      <w:pPr>
        <w:pStyle w:val="NormalWeb"/>
      </w:pPr>
      <w:r>
        <w:t xml:space="preserve">So - getting back to why the two vessels were </w:t>
      </w:r>
      <w:proofErr w:type="spellStart"/>
      <w:r>
        <w:t>penalised</w:t>
      </w:r>
      <w:proofErr w:type="spellEnd"/>
      <w:r>
        <w:t xml:space="preserve"> for illegally discharging food waste into the sea:</w:t>
      </w:r>
    </w:p>
    <w:p w:rsidR="00AF55E7" w:rsidRDefault="00AF55E7" w:rsidP="00AF55E7">
      <w:pPr>
        <w:numPr>
          <w:ilvl w:val="0"/>
          <w:numId w:val="1"/>
        </w:numPr>
        <w:spacing w:before="100" w:beforeAutospacing="1" w:after="100" w:afterAutospacing="1"/>
        <w:rPr>
          <w:rFonts w:eastAsia="Times New Roman"/>
        </w:rPr>
      </w:pPr>
      <w:r>
        <w:rPr>
          <w:rFonts w:eastAsia="Times New Roman"/>
        </w:rPr>
        <w:t xml:space="preserve">In the Australian case, the crew had discharged food waste at a position well beyond the 12 nm limit measured from Australia’s territorial baseline but failed to </w:t>
      </w:r>
      <w:proofErr w:type="spellStart"/>
      <w:r>
        <w:rPr>
          <w:rFonts w:eastAsia="Times New Roman"/>
        </w:rPr>
        <w:t>recognise</w:t>
      </w:r>
      <w:proofErr w:type="spellEnd"/>
      <w:r>
        <w:rPr>
          <w:rFonts w:eastAsia="Times New Roman"/>
        </w:rPr>
        <w:t xml:space="preserve"> that the vessel was operating within the GBR region. The exact coordinates for the GBR region is included in MARPOL’s definition of ‘nearest land’ and a </w:t>
      </w:r>
      <w:hyperlink r:id="rId7" w:history="1">
        <w:r>
          <w:rPr>
            <w:rStyle w:val="Hyperlink"/>
            <w:rFonts w:eastAsia="Times New Roman"/>
          </w:rPr>
          <w:t>visual map</w:t>
        </w:r>
      </w:hyperlink>
      <w:r>
        <w:rPr>
          <w:rFonts w:eastAsia="Times New Roman"/>
        </w:rPr>
        <w:t xml:space="preserve"> can be downloaded from AMSA’s website.</w:t>
      </w:r>
    </w:p>
    <w:p w:rsidR="00AF55E7" w:rsidRDefault="00AF55E7" w:rsidP="00AF55E7">
      <w:pPr>
        <w:numPr>
          <w:ilvl w:val="0"/>
          <w:numId w:val="1"/>
        </w:numPr>
        <w:spacing w:before="100" w:beforeAutospacing="1" w:after="100" w:afterAutospacing="1"/>
        <w:rPr>
          <w:rFonts w:eastAsia="Times New Roman"/>
        </w:rPr>
      </w:pPr>
      <w:r>
        <w:rPr>
          <w:rFonts w:eastAsia="Times New Roman"/>
        </w:rPr>
        <w:t xml:space="preserve">In the Chinese case, the crew was not aware that </w:t>
      </w:r>
      <w:hyperlink r:id="rId8" w:history="1">
        <w:r>
          <w:rPr>
            <w:rStyle w:val="Hyperlink"/>
            <w:rFonts w:eastAsia="Times New Roman"/>
          </w:rPr>
          <w:t>China has declared straight baselines</w:t>
        </w:r>
      </w:hyperlink>
      <w:r>
        <w:rPr>
          <w:rFonts w:eastAsia="Times New Roman"/>
        </w:rPr>
        <w:t xml:space="preserve"> along parts of its coast. In accordance with China’s Declaration of 15 May 1996, the baseline off Ningbo Port is drawn between points situated on two fairly remote islands and basically pushes the territorial sea limit further seaward. Hence, the crew had discharged food waste at a position well beyond the 12 nm limit as measured from China’s shoreline but failed to </w:t>
      </w:r>
      <w:proofErr w:type="spellStart"/>
      <w:r>
        <w:rPr>
          <w:rFonts w:eastAsia="Times New Roman"/>
        </w:rPr>
        <w:t>recognise</w:t>
      </w:r>
      <w:proofErr w:type="spellEnd"/>
      <w:r>
        <w:rPr>
          <w:rFonts w:eastAsia="Times New Roman"/>
        </w:rPr>
        <w:t xml:space="preserve"> that the vessel was still operating within Chinese waters. A visual map of China’s declared baselines is available </w:t>
      </w:r>
      <w:hyperlink r:id="rId9" w:history="1">
        <w:r>
          <w:rPr>
            <w:rStyle w:val="Hyperlink"/>
            <w:rFonts w:eastAsia="Times New Roman"/>
          </w:rPr>
          <w:t>here</w:t>
        </w:r>
      </w:hyperlink>
      <w:r>
        <w:rPr>
          <w:rFonts w:eastAsia="Times New Roman"/>
        </w:rPr>
        <w:t>.  </w:t>
      </w:r>
    </w:p>
    <w:p w:rsidR="00AF55E7" w:rsidRDefault="00AF55E7" w:rsidP="00AF55E7">
      <w:pPr>
        <w:pStyle w:val="NormalWeb"/>
      </w:pPr>
      <w:r>
        <w:t>In both cases the crews had acted in good faith at all times and there was no attempt to deliberately circumvent the requirements of MARPOL.</w:t>
      </w:r>
    </w:p>
    <w:p w:rsidR="00AF55E7" w:rsidRDefault="00AF55E7" w:rsidP="00AF55E7">
      <w:pPr>
        <w:pStyle w:val="NormalWeb"/>
      </w:pPr>
      <w:r>
        <w:rPr>
          <w:rStyle w:val="Strong"/>
        </w:rPr>
        <w:t>Considerations and recommendations</w:t>
      </w:r>
    </w:p>
    <w:p w:rsidR="00AF55E7" w:rsidRDefault="00AF55E7" w:rsidP="00AF55E7">
      <w:pPr>
        <w:pStyle w:val="NormalWeb"/>
      </w:pPr>
      <w:r>
        <w:t>In the two cases described above, discharges were related to MARPOL Annex V and garbage. However, other discharges from vessels controlled by the MARPOL Convention also have a minimum distance from the nearest land requirement that must be met.</w:t>
      </w:r>
    </w:p>
    <w:p w:rsidR="00AF55E7" w:rsidRDefault="00AF55E7" w:rsidP="00AF55E7">
      <w:pPr>
        <w:pStyle w:val="NormalWeb"/>
      </w:pPr>
      <w:r>
        <w:t xml:space="preserve">Masters must make sure that environmental issues are considered in voyage and passage planning. Areas where specific marine environmental measures apply should be noted in the detailed passage plan. IMO’s circular </w:t>
      </w:r>
      <w:hyperlink r:id="rId10" w:history="1">
        <w:r>
          <w:rPr>
            <w:rStyle w:val="Hyperlink"/>
          </w:rPr>
          <w:t>MEPC.1/Circ.778/Rev.3</w:t>
        </w:r>
      </w:hyperlink>
      <w:r>
        <w:t xml:space="preserve"> provides an overview of all Special Areas defined under MARPOL Annexes I, II and V and Emission Control Areas (ECAs) defined under MARPOL Annex VI. The circular also lists all IMO designated PSSAs and their associated protective measures.</w:t>
      </w:r>
    </w:p>
    <w:p w:rsidR="00AF55E7" w:rsidRDefault="00AF55E7" w:rsidP="00AF55E7">
      <w:pPr>
        <w:pStyle w:val="NormalWeb"/>
      </w:pPr>
      <w:r>
        <w:t xml:space="preserve">Operators must ensure that vessel procedures, such as the Garbage Management Plan, and nautical charts contain all relevant information and are up to date. According to AMSA, vessels that do not carry adequate and up-to-date nautical charts may be detained and refers to this </w:t>
      </w:r>
      <w:hyperlink r:id="rId11" w:history="1">
        <w:r>
          <w:rPr>
            <w:rStyle w:val="Hyperlink"/>
          </w:rPr>
          <w:t>media release</w:t>
        </w:r>
      </w:hyperlink>
      <w:r>
        <w:t xml:space="preserve"> as an example of such a detention. Relying on unofficial charts demonstrates inadequate </w:t>
      </w:r>
      <w:r>
        <w:lastRenderedPageBreak/>
        <w:t>voyage planning under a vessel's safety management system. It may also indicate that a vessel may be in an unfit state for the voyage or poses a threat to the environment.</w:t>
      </w:r>
    </w:p>
    <w:p w:rsidR="00AF55E7" w:rsidRDefault="00AF55E7" w:rsidP="00AF55E7">
      <w:pPr>
        <w:pStyle w:val="NormalWeb"/>
      </w:pPr>
      <w:r>
        <w:t>Vessel crews must be reminded that ’nearest land’ in MARPOL does not necessarily mean the ‘nearest shoreline’. In Australia, the nearest land boundary extends around the outer edge of the GBR region. Other countries have established baselines which lie off their coasts and it is from these baselines that the minimum distance requirements apply.</w:t>
      </w:r>
    </w:p>
    <w:p w:rsidR="00AF55E7" w:rsidRDefault="00AF55E7" w:rsidP="00AF55E7">
      <w:pPr>
        <w:pStyle w:val="NormalWeb"/>
      </w:pPr>
      <w:r>
        <w:t xml:space="preserve">Consult your local agents if there is any doubt surrounding the baselines and any designated areas adopted locally. And remember, while discharge of food waste may be permitted, the food must not be contained in a plastic garbage bag since </w:t>
      </w:r>
      <w:hyperlink r:id="rId12" w:history="1">
        <w:r>
          <w:rPr>
            <w:rStyle w:val="Hyperlink"/>
          </w:rPr>
          <w:t>plastic cannot be discharged into the sea</w:t>
        </w:r>
      </w:hyperlink>
      <w:r>
        <w:t xml:space="preserve"> under any circumstances.</w:t>
      </w:r>
    </w:p>
    <w:p w:rsidR="00AF55E7" w:rsidRDefault="00AF55E7" w:rsidP="00AF55E7">
      <w:pPr>
        <w:rPr>
          <w:rFonts w:ascii="Arial" w:hAnsi="Arial" w:cs="Arial"/>
          <w:color w:val="1403EB"/>
          <w:sz w:val="24"/>
          <w:szCs w:val="24"/>
        </w:rPr>
      </w:pPr>
    </w:p>
    <w:p w:rsidR="00AF55E7" w:rsidRDefault="00AF55E7" w:rsidP="00AF55E7">
      <w:pPr>
        <w:rPr>
          <w:rFonts w:ascii="Arial" w:hAnsi="Arial" w:cs="Arial"/>
          <w:color w:val="1403EB"/>
          <w:sz w:val="24"/>
          <w:szCs w:val="24"/>
        </w:rPr>
      </w:pPr>
    </w:p>
    <w:p w:rsidR="00AF55E7" w:rsidRDefault="00AF55E7" w:rsidP="00AF55E7">
      <w:pPr>
        <w:textAlignment w:val="baseline"/>
        <w:rPr>
          <w:color w:val="1F497D"/>
          <w:sz w:val="36"/>
          <w:szCs w:val="36"/>
        </w:rPr>
      </w:pPr>
      <w:r>
        <w:rPr>
          <w:b/>
          <w:bCs/>
          <w:sz w:val="36"/>
          <w:szCs w:val="36"/>
        </w:rPr>
        <w:t xml:space="preserve">China – Domestic Emission Control Areas (DECA) </w:t>
      </w:r>
    </w:p>
    <w:p w:rsidR="00AF55E7" w:rsidRDefault="00AF55E7" w:rsidP="00AF55E7">
      <w:pPr>
        <w:textAlignment w:val="baseline"/>
        <w:rPr>
          <w:color w:val="404040"/>
        </w:rPr>
      </w:pPr>
      <w:r>
        <w:t xml:space="preserve">The Ministry of Transportation of China (MOT) has announced a new decree for the re-adjustment of Domestic Emission Control Areas (DECA) in China </w:t>
      </w:r>
      <w:r>
        <w:rPr>
          <w:b/>
          <w:bCs/>
          <w:color w:val="FF0000"/>
          <w:u w:val="single"/>
          <w:bdr w:val="none" w:sz="0" w:space="0" w:color="auto" w:frame="1"/>
        </w:rPr>
        <w:t>which will be effective from 1 January 2019</w:t>
      </w:r>
      <w:r>
        <w:rPr>
          <w:color w:val="404040"/>
        </w:rPr>
        <w:t>.</w:t>
      </w:r>
    </w:p>
    <w:p w:rsidR="00AF55E7" w:rsidRDefault="00AF55E7" w:rsidP="00AF55E7">
      <w:pPr>
        <w:spacing w:after="293"/>
        <w:textAlignment w:val="baseline"/>
      </w:pPr>
      <w:r>
        <w:t>The main points of the re-adjustment are:</w:t>
      </w:r>
    </w:p>
    <w:p w:rsidR="00AF55E7" w:rsidRDefault="00AF55E7" w:rsidP="00AF55E7">
      <w:pPr>
        <w:numPr>
          <w:ilvl w:val="0"/>
          <w:numId w:val="2"/>
        </w:numPr>
        <w:ind w:left="585"/>
        <w:textAlignment w:val="baseline"/>
        <w:rPr>
          <w:color w:val="000000"/>
        </w:rPr>
      </w:pPr>
      <w:r>
        <w:rPr>
          <w:color w:val="000000"/>
        </w:rPr>
        <w:t xml:space="preserve">The scope of DECAs will be extended to </w:t>
      </w:r>
      <w:r>
        <w:rPr>
          <w:b/>
          <w:bCs/>
          <w:color w:val="000000"/>
          <w:bdr w:val="none" w:sz="0" w:space="0" w:color="auto" w:frame="1"/>
        </w:rPr>
        <w:t>12 nautical miles from the coastline</w:t>
      </w:r>
      <w:r>
        <w:rPr>
          <w:color w:val="000000"/>
        </w:rPr>
        <w:t>, covering the Chinese mainland territorial coastal areas, as well as the Hainan Island territorial coastal waters from 1 January 2019.</w:t>
      </w:r>
    </w:p>
    <w:p w:rsidR="00AF55E7" w:rsidRDefault="00AF55E7" w:rsidP="00AF55E7">
      <w:pPr>
        <w:numPr>
          <w:ilvl w:val="0"/>
          <w:numId w:val="2"/>
        </w:numPr>
        <w:ind w:left="585"/>
        <w:textAlignment w:val="baseline"/>
        <w:rPr>
          <w:color w:val="000000"/>
        </w:rPr>
      </w:pPr>
      <w:r>
        <w:rPr>
          <w:color w:val="000000"/>
        </w:rPr>
        <w:t xml:space="preserve">With effect from 1 January 2019, all ships navigating within the Chinese mainland territorial coastal DECAs and at berths will be required to use marine fuel with a maximum 0.5% m/m </w:t>
      </w:r>
      <w:proofErr w:type="spellStart"/>
      <w:r>
        <w:rPr>
          <w:color w:val="000000"/>
        </w:rPr>
        <w:t>sulphur</w:t>
      </w:r>
      <w:proofErr w:type="spellEnd"/>
      <w:r>
        <w:rPr>
          <w:color w:val="000000"/>
        </w:rPr>
        <w:t xml:space="preserve"> content of ships’ fuel oil.</w:t>
      </w:r>
    </w:p>
    <w:p w:rsidR="00AF55E7" w:rsidRDefault="00AF55E7" w:rsidP="00AF55E7">
      <w:pPr>
        <w:numPr>
          <w:ilvl w:val="0"/>
          <w:numId w:val="2"/>
        </w:numPr>
        <w:ind w:left="585"/>
        <w:textAlignment w:val="baseline"/>
        <w:rPr>
          <w:color w:val="000000"/>
        </w:rPr>
      </w:pPr>
      <w:r>
        <w:rPr>
          <w:color w:val="000000"/>
        </w:rPr>
        <w:t xml:space="preserve">With effect from 1 January 2020, all ships navigating within the Chinese mainland territorial coastal DECAs should use marine fuel with a maximum 0.5% m/m </w:t>
      </w:r>
      <w:proofErr w:type="spellStart"/>
      <w:r>
        <w:rPr>
          <w:color w:val="000000"/>
        </w:rPr>
        <w:t>sulphur</w:t>
      </w:r>
      <w:proofErr w:type="spellEnd"/>
      <w:r>
        <w:rPr>
          <w:color w:val="000000"/>
        </w:rPr>
        <w:t xml:space="preserve"> content and when at berth a maximum 0.1% m/m </w:t>
      </w:r>
      <w:proofErr w:type="spellStart"/>
      <w:r>
        <w:rPr>
          <w:color w:val="000000"/>
        </w:rPr>
        <w:t>sulphur</w:t>
      </w:r>
      <w:proofErr w:type="spellEnd"/>
      <w:r>
        <w:rPr>
          <w:color w:val="000000"/>
        </w:rPr>
        <w:t xml:space="preserve"> content. The only exception is when ships are navigating within the Hainan territorial coastal DECA area and at berths in Hainan where they are required to use marine fuel with a maximum 0.1% m/m </w:t>
      </w:r>
      <w:proofErr w:type="spellStart"/>
      <w:r>
        <w:rPr>
          <w:color w:val="000000"/>
        </w:rPr>
        <w:t>sulphur</w:t>
      </w:r>
      <w:proofErr w:type="spellEnd"/>
      <w:r>
        <w:rPr>
          <w:color w:val="000000"/>
        </w:rPr>
        <w:t xml:space="preserve"> content.</w:t>
      </w:r>
    </w:p>
    <w:p w:rsidR="00AF55E7" w:rsidRDefault="00AF55E7" w:rsidP="00AF55E7">
      <w:pPr>
        <w:numPr>
          <w:ilvl w:val="0"/>
          <w:numId w:val="2"/>
        </w:numPr>
        <w:ind w:left="585"/>
        <w:textAlignment w:val="baseline"/>
        <w:rPr>
          <w:color w:val="000000"/>
        </w:rPr>
      </w:pPr>
      <w:r>
        <w:rPr>
          <w:color w:val="000000"/>
        </w:rPr>
        <w:t xml:space="preserve">As per the new regulation, ships can also use alternative methods such as an Exhaust Gas Scrubber, LNG or other clean fuel that reduces the </w:t>
      </w:r>
      <w:proofErr w:type="spellStart"/>
      <w:r>
        <w:rPr>
          <w:color w:val="000000"/>
        </w:rPr>
        <w:t>SOx</w:t>
      </w:r>
      <w:proofErr w:type="spellEnd"/>
      <w:r>
        <w:rPr>
          <w:color w:val="000000"/>
        </w:rPr>
        <w:t xml:space="preserve"> to the same level or lower than the maximum required limits of </w:t>
      </w:r>
      <w:proofErr w:type="spellStart"/>
      <w:r>
        <w:rPr>
          <w:color w:val="000000"/>
        </w:rPr>
        <w:t>sulphur</w:t>
      </w:r>
      <w:proofErr w:type="spellEnd"/>
      <w:r>
        <w:rPr>
          <w:color w:val="000000"/>
        </w:rPr>
        <w:t xml:space="preserve"> when using fossil fuel in the DECA areas or when at berth.</w:t>
      </w:r>
    </w:p>
    <w:p w:rsidR="00AF55E7" w:rsidRDefault="00AF55E7" w:rsidP="00AF55E7">
      <w:pPr>
        <w:numPr>
          <w:ilvl w:val="0"/>
          <w:numId w:val="2"/>
        </w:numPr>
        <w:ind w:left="585"/>
        <w:textAlignment w:val="baseline"/>
        <w:rPr>
          <w:color w:val="000000"/>
        </w:rPr>
      </w:pPr>
      <w:r>
        <w:rPr>
          <w:color w:val="000000"/>
        </w:rPr>
        <w:t>From 1 July 2019 ships engaged on international voyages, (except tankers), that are equipped to connect to shore power should use shore power if they berth for more than 3 hours in berths with shore power supply capacity in the coastal control areas (for inland river control area, berth for more than 2 hours);</w:t>
      </w:r>
    </w:p>
    <w:p w:rsidR="00AF55E7" w:rsidRDefault="00AF55E7" w:rsidP="00AF55E7">
      <w:pPr>
        <w:numPr>
          <w:ilvl w:val="0"/>
          <w:numId w:val="2"/>
        </w:numPr>
        <w:ind w:left="585"/>
        <w:textAlignment w:val="baseline"/>
        <w:rPr>
          <w:color w:val="000000"/>
        </w:rPr>
      </w:pPr>
      <w:r>
        <w:rPr>
          <w:color w:val="000000"/>
        </w:rPr>
        <w:t>From 1 January 2021, cruise ships should use shore power when berthing for more than 3 hours in a berth with onshore power supply capacity in the emission control area when at berth where suitable shore power is available.</w:t>
      </w:r>
    </w:p>
    <w:p w:rsidR="00AF55E7" w:rsidRDefault="00AF55E7" w:rsidP="00AF55E7">
      <w:pPr>
        <w:numPr>
          <w:ilvl w:val="0"/>
          <w:numId w:val="2"/>
        </w:numPr>
        <w:ind w:left="585"/>
        <w:textAlignment w:val="baseline"/>
        <w:rPr>
          <w:color w:val="000000"/>
        </w:rPr>
      </w:pPr>
      <w:r>
        <w:rPr>
          <w:color w:val="000000"/>
        </w:rPr>
        <w:t xml:space="preserve">From 1 July 2020 there are also new requirements for Chinese national flagged </w:t>
      </w:r>
      <w:proofErr w:type="spellStart"/>
      <w:r>
        <w:rPr>
          <w:color w:val="000000"/>
        </w:rPr>
        <w:t>newbuildings</w:t>
      </w:r>
      <w:proofErr w:type="spellEnd"/>
      <w:r>
        <w:rPr>
          <w:color w:val="000000"/>
        </w:rPr>
        <w:t>. Ships with a main engine capacity over 37KW and in-service ships with capacity over 500kw are required to meet Tier II NOx. Also, when at berth they are required to use shore power when it is available.</w:t>
      </w:r>
    </w:p>
    <w:p w:rsidR="0087667A" w:rsidRDefault="00AF55E7" w:rsidP="00AF55E7">
      <w:pPr>
        <w:numPr>
          <w:ilvl w:val="0"/>
          <w:numId w:val="2"/>
        </w:numPr>
        <w:ind w:left="585"/>
        <w:textAlignment w:val="baseline"/>
        <w:rPr>
          <w:color w:val="000000"/>
        </w:rPr>
      </w:pPr>
      <w:r>
        <w:rPr>
          <w:color w:val="000000"/>
        </w:rPr>
        <w:t>Any fuel change-over operation must be completed prior to the entry into or commenced after exit from any of the designated domestic ECAs.</w:t>
      </w:r>
    </w:p>
    <w:p w:rsidR="0087667A" w:rsidRPr="0087667A" w:rsidRDefault="0087667A" w:rsidP="0087667A">
      <w:pPr>
        <w:spacing w:after="160" w:line="259" w:lineRule="auto"/>
        <w:jc w:val="center"/>
        <w:rPr>
          <w:color w:val="000000"/>
          <w:sz w:val="44"/>
          <w:szCs w:val="44"/>
          <w:u w:val="single"/>
        </w:rPr>
      </w:pPr>
      <w:r w:rsidRPr="0087667A">
        <w:rPr>
          <w:color w:val="000000"/>
          <w:sz w:val="44"/>
          <w:szCs w:val="44"/>
          <w:u w:val="single"/>
        </w:rPr>
        <w:lastRenderedPageBreak/>
        <w:t xml:space="preserve">FLAG SIZE </w:t>
      </w:r>
      <w:r>
        <w:rPr>
          <w:color w:val="000000"/>
          <w:sz w:val="44"/>
          <w:szCs w:val="44"/>
          <w:u w:val="single"/>
        </w:rPr>
        <w:t xml:space="preserve">REQUIREMENT IN </w:t>
      </w:r>
      <w:r w:rsidRPr="0087667A">
        <w:rPr>
          <w:color w:val="000000"/>
          <w:sz w:val="44"/>
          <w:szCs w:val="44"/>
          <w:u w:val="single"/>
        </w:rPr>
        <w:t>CHINA</w:t>
      </w:r>
    </w:p>
    <w:p w:rsidR="0087667A" w:rsidRDefault="0087667A">
      <w:pPr>
        <w:spacing w:after="160" w:line="259" w:lineRule="auto"/>
        <w:rPr>
          <w:color w:val="000000"/>
        </w:rPr>
      </w:pPr>
    </w:p>
    <w:p w:rsidR="0087667A" w:rsidRDefault="0087667A" w:rsidP="0087667A">
      <w:r>
        <w:t xml:space="preserve">Pls kindly refer to regulations as </w:t>
      </w:r>
      <w:proofErr w:type="spellStart"/>
      <w:r>
        <w:t>flw</w:t>
      </w:r>
      <w:proofErr w:type="spellEnd"/>
      <w:r>
        <w:t>:</w:t>
      </w:r>
    </w:p>
    <w:p w:rsidR="0087667A" w:rsidRDefault="0087667A" w:rsidP="0087667A">
      <w:r>
        <w:t>+++++</w:t>
      </w:r>
    </w:p>
    <w:p w:rsidR="0087667A" w:rsidRDefault="0087667A" w:rsidP="0087667A">
      <w:r>
        <w:t>The national flag of the People's Republic of China is the symbol and symbol of the People's Republic of China. </w:t>
      </w:r>
    </w:p>
    <w:p w:rsidR="0087667A" w:rsidRDefault="0087667A" w:rsidP="0087667A">
      <w:r>
        <w:t>According to the national flag law of the People's Republic of China, the national flag is divided into five sizes (unit: cm</w:t>
      </w:r>
      <w:proofErr w:type="gramStart"/>
      <w:r>
        <w:t>) :</w:t>
      </w:r>
      <w:proofErr w:type="gramEnd"/>
      <w:r>
        <w:t xml:space="preserve"> a (288×192), b (240×160), c (192×128), d (144×96) and e (96×64). </w:t>
      </w:r>
    </w:p>
    <w:p w:rsidR="0087667A" w:rsidRDefault="0087667A" w:rsidP="0087667A">
      <w:r>
        <w:t>According to the administrative measures on the display of the national flag by ships:</w:t>
      </w:r>
    </w:p>
    <w:p w:rsidR="0087667A" w:rsidRDefault="0087667A" w:rsidP="0087667A">
      <w:r>
        <w:t>Article 6: vessels of foreign nationality entering inland waters, ports and anchorage of the People's Republic of China shall fly the Chinese national flag every day.</w:t>
      </w:r>
    </w:p>
    <w:p w:rsidR="0087667A" w:rsidRDefault="0087667A" w:rsidP="0087667A">
      <w:r>
        <w:t>Article 7 the vessel shall fly the Chinese national flag in the following dimensions according to its length:</w:t>
      </w:r>
    </w:p>
    <w:p w:rsidR="0087667A" w:rsidRDefault="0087667A" w:rsidP="0087667A">
      <w:r>
        <w:t>(1) vessels of 150 meters or more shall be hoisted with the national flag of China of class a, class b or class c;</w:t>
      </w:r>
    </w:p>
    <w:p w:rsidR="0087667A" w:rsidRDefault="0087667A" w:rsidP="0087667A">
      <w:r>
        <w:t>(2) vessels of 50 meters or above and less than 150 meters shall be hoisted with the flag of c or d species of China;</w:t>
      </w:r>
    </w:p>
    <w:p w:rsidR="0087667A" w:rsidRDefault="0087667A" w:rsidP="0087667A">
      <w:r>
        <w:t>(3) vessels of 20 meters or more and less than 50 meters shall be hoisted with the fourth or fifth species of Chinese national flag;</w:t>
      </w:r>
    </w:p>
    <w:p w:rsidR="0087667A" w:rsidRDefault="0087667A" w:rsidP="0087667A">
      <w:r>
        <w:t>(4) vessels less than 20 meters shall be flown with the Chinese national flag.</w:t>
      </w:r>
    </w:p>
    <w:p w:rsidR="0087667A" w:rsidRDefault="0087667A" w:rsidP="0087667A">
      <w:r>
        <w:t>The standard of the Chinese flag of a ship of foreign nationality shall generally not be less than the standard of the flag of the state in which the ship is flying.</w:t>
      </w:r>
    </w:p>
    <w:p w:rsidR="0087667A" w:rsidRDefault="0087667A" w:rsidP="0087667A">
      <w:r>
        <w:t>Article 8 the Chinese national flag shall be hoisted in the morning and lowered in the evening. But in case of bad weather, the Chinese flag may not be displayed.</w:t>
      </w:r>
    </w:p>
    <w:p w:rsidR="0087667A" w:rsidRDefault="0087667A" w:rsidP="0087667A">
      <w:r>
        <w:t>Article 9 the national flag of the People's Republic of China displayed on vessels shall be clean and tidy, shall not be damaged, soiled, faded or substandard, and shall not be hung upside down.</w:t>
      </w:r>
    </w:p>
    <w:p w:rsidR="0087667A" w:rsidRDefault="0087667A" w:rsidP="0087667A">
      <w:r>
        <w:t>Article 10 vessels of Chinese nationality shall hang the Chinese national flag on the poop staff. If there is no flag pole in the stern, it should be hung on the top of bridge signal pole or right cross girder.</w:t>
      </w:r>
    </w:p>
    <w:p w:rsidR="0087667A" w:rsidRDefault="0087667A" w:rsidP="0087667A">
      <w:r>
        <w:t>The Chinese national flag shall be hoisted on the top of the foremast or bridge signal pole or on the right crossbar of the vessel of foreign nationality.</w:t>
      </w:r>
    </w:p>
    <w:p w:rsidR="0087667A" w:rsidRDefault="0087667A" w:rsidP="0087667A">
      <w:r>
        <w:t>When the Chinese national flag and other flags are hung at the same time on the right crossbar of the bridge signal bar, the Chinese national flag shall be hung on the outermost side.</w:t>
      </w:r>
    </w:p>
    <w:p w:rsidR="0087667A" w:rsidRDefault="0087667A" w:rsidP="0087667A">
      <w:r>
        <w:t>+++++++</w:t>
      </w:r>
    </w:p>
    <w:p w:rsidR="0087667A" w:rsidRDefault="0087667A" w:rsidP="0087667A">
      <w:r>
        <w:t xml:space="preserve">As per confirmation, the ship will </w:t>
      </w:r>
      <w:proofErr w:type="gramStart"/>
      <w:r>
        <w:t>uses</w:t>
      </w:r>
      <w:proofErr w:type="gramEnd"/>
      <w:r>
        <w:t xml:space="preserve"> class a/b/c type flag is </w:t>
      </w:r>
      <w:proofErr w:type="spellStart"/>
      <w:r>
        <w:t>ok</w:t>
      </w:r>
      <w:r>
        <w:rPr>
          <w:rFonts w:ascii="MS Gothic" w:eastAsia="MS Gothic" w:hAnsi="MS Gothic" w:cs="MS Gothic" w:hint="eastAsia"/>
        </w:rPr>
        <w:t>，</w:t>
      </w:r>
      <w:r>
        <w:t>but</w:t>
      </w:r>
      <w:proofErr w:type="spellEnd"/>
      <w:r>
        <w:t xml:space="preserve"> bigger than ship nationality flag size. </w:t>
      </w:r>
    </w:p>
    <w:p w:rsidR="0087667A" w:rsidRDefault="0087667A" w:rsidP="0087667A"/>
    <w:p w:rsidR="0087667A" w:rsidRDefault="0087667A" w:rsidP="0087667A">
      <w:r>
        <w:t>Pls kindly be noted. </w:t>
      </w:r>
    </w:p>
    <w:p w:rsidR="0087667A" w:rsidRDefault="00EA55C2" w:rsidP="0087667A">
      <w:pPr>
        <w:jc w:val="center"/>
      </w:pPr>
      <w:r>
        <w:pict>
          <v:rect id="_x0000_i1025" style="width:37.5pt;height:.75pt" o:hrpct="0" o:hralign="center" o:hrstd="t" o:hr="t" fillcolor="#a0a0a0" stroked="f"/>
        </w:pict>
      </w:r>
    </w:p>
    <w:p w:rsidR="0087667A" w:rsidRPr="00EA55C2" w:rsidRDefault="0087667A" w:rsidP="0087667A">
      <w:pPr>
        <w:spacing w:after="160" w:line="259" w:lineRule="auto"/>
      </w:pPr>
      <w:r>
        <w:t>Mr. Hosea He</w:t>
      </w:r>
      <w:r>
        <w:br/>
        <w:t>M/P: 86-18502091065</w:t>
      </w:r>
      <w:r>
        <w:br/>
        <w:t>Head of G-agent Department</w:t>
      </w:r>
      <w:r>
        <w:rPr>
          <w:color w:val="000000"/>
        </w:rPr>
        <w:br w:type="page"/>
      </w:r>
    </w:p>
    <w:tbl>
      <w:tblPr>
        <w:tblW w:w="5000" w:type="pct"/>
        <w:tblLook w:val="04A0" w:firstRow="1" w:lastRow="0" w:firstColumn="1" w:lastColumn="0" w:noHBand="0" w:noVBand="1"/>
      </w:tblPr>
      <w:tblGrid>
        <w:gridCol w:w="1318"/>
        <w:gridCol w:w="2306"/>
        <w:gridCol w:w="1736"/>
        <w:gridCol w:w="1664"/>
        <w:gridCol w:w="2552"/>
      </w:tblGrid>
      <w:tr w:rsidR="00EA55C2" w:rsidRPr="00EA55C2" w:rsidTr="00EA55C2">
        <w:trPr>
          <w:trHeight w:val="679"/>
        </w:trPr>
        <w:tc>
          <w:tcPr>
            <w:tcW w:w="5000" w:type="pct"/>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rsidR="00EA55C2" w:rsidRPr="00EA55C2" w:rsidRDefault="00EA55C2" w:rsidP="00EA55C2">
            <w:pPr>
              <w:rPr>
                <w:rFonts w:ascii="Gautami" w:eastAsia="Times New Roman" w:hAnsi="Gautami"/>
                <w:b/>
                <w:bCs/>
                <w:color w:val="000000"/>
                <w:sz w:val="20"/>
                <w:szCs w:val="20"/>
              </w:rPr>
            </w:pPr>
            <w:proofErr w:type="spellStart"/>
            <w:r w:rsidRPr="00EA55C2">
              <w:rPr>
                <w:rFonts w:ascii="Gautami" w:eastAsia="Times New Roman" w:hAnsi="Gautami"/>
                <w:b/>
                <w:bCs/>
                <w:color w:val="000000"/>
                <w:sz w:val="20"/>
                <w:szCs w:val="20"/>
              </w:rPr>
              <w:lastRenderedPageBreak/>
              <w:t>Seawage</w:t>
            </w:r>
            <w:proofErr w:type="spellEnd"/>
            <w:r w:rsidRPr="00EA55C2">
              <w:rPr>
                <w:rFonts w:ascii="Gautami" w:eastAsia="Times New Roman" w:hAnsi="Gautami"/>
                <w:b/>
                <w:bCs/>
                <w:color w:val="000000"/>
                <w:sz w:val="20"/>
                <w:szCs w:val="20"/>
              </w:rPr>
              <w:t xml:space="preserve"> Water in Chinese Ports</w:t>
            </w:r>
            <w:r>
              <w:rPr>
                <w:rFonts w:ascii="Gautami" w:eastAsia="Times New Roman" w:hAnsi="Gautami"/>
                <w:b/>
                <w:bCs/>
                <w:color w:val="000000"/>
                <w:sz w:val="20"/>
                <w:szCs w:val="20"/>
              </w:rPr>
              <w:t xml:space="preserve">  (</w:t>
            </w:r>
            <w:r w:rsidRPr="00EA55C2">
              <w:rPr>
                <w:rFonts w:ascii="Gautami" w:eastAsia="Times New Roman" w:hAnsi="Gautami"/>
                <w:b/>
                <w:bCs/>
                <w:color w:val="FF0000"/>
                <w:sz w:val="20"/>
                <w:szCs w:val="20"/>
              </w:rPr>
              <w:t>Updated 19</w:t>
            </w:r>
            <w:r w:rsidRPr="00EA55C2">
              <w:rPr>
                <w:rFonts w:ascii="Gautami" w:eastAsia="Times New Roman" w:hAnsi="Gautami"/>
                <w:b/>
                <w:bCs/>
                <w:color w:val="FF0000"/>
                <w:sz w:val="20"/>
                <w:szCs w:val="20"/>
                <w:vertAlign w:val="superscript"/>
              </w:rPr>
              <w:t>th</w:t>
            </w:r>
            <w:r w:rsidRPr="00EA55C2">
              <w:rPr>
                <w:rFonts w:ascii="Gautami" w:eastAsia="Times New Roman" w:hAnsi="Gautami"/>
                <w:b/>
                <w:bCs/>
                <w:color w:val="FF0000"/>
                <w:sz w:val="20"/>
                <w:szCs w:val="20"/>
              </w:rPr>
              <w:t xml:space="preserve"> Nov’19</w:t>
            </w:r>
            <w:r>
              <w:rPr>
                <w:rFonts w:ascii="Gautami" w:eastAsia="Times New Roman" w:hAnsi="Gautami"/>
                <w:b/>
                <w:bCs/>
                <w:color w:val="000000"/>
                <w:sz w:val="20"/>
                <w:szCs w:val="20"/>
              </w:rPr>
              <w:t>)</w:t>
            </w:r>
          </w:p>
        </w:tc>
      </w:tr>
      <w:tr w:rsidR="00EA55C2" w:rsidRPr="00EA55C2" w:rsidTr="00EA55C2">
        <w:trPr>
          <w:trHeight w:val="822"/>
        </w:trPr>
        <w:tc>
          <w:tcPr>
            <w:tcW w:w="558" w:type="pct"/>
            <w:tcBorders>
              <w:top w:val="nil"/>
              <w:left w:val="single" w:sz="4" w:space="0" w:color="auto"/>
              <w:bottom w:val="single" w:sz="4" w:space="0" w:color="auto"/>
              <w:right w:val="single" w:sz="4" w:space="0" w:color="auto"/>
            </w:tcBorders>
            <w:shd w:val="clear" w:color="auto" w:fill="auto"/>
            <w:vAlign w:val="center"/>
            <w:hideMark/>
          </w:tcPr>
          <w:p w:rsidR="00EA55C2" w:rsidRPr="00EA55C2" w:rsidRDefault="00EA55C2" w:rsidP="00EA55C2">
            <w:pPr>
              <w:jc w:val="center"/>
              <w:rPr>
                <w:rFonts w:ascii="Gautami" w:eastAsia="Times New Roman" w:hAnsi="Gautami"/>
                <w:color w:val="000000"/>
                <w:sz w:val="20"/>
                <w:szCs w:val="20"/>
              </w:rPr>
            </w:pPr>
            <w:r w:rsidRPr="00EA55C2">
              <w:rPr>
                <w:rFonts w:ascii="Gautami" w:eastAsia="Times New Roman" w:hAnsi="Gautami"/>
                <w:color w:val="000000"/>
                <w:sz w:val="20"/>
                <w:szCs w:val="20"/>
              </w:rPr>
              <w:t>Port</w:t>
            </w:r>
          </w:p>
        </w:tc>
        <w:tc>
          <w:tcPr>
            <w:tcW w:w="1237" w:type="pct"/>
            <w:tcBorders>
              <w:top w:val="nil"/>
              <w:left w:val="nil"/>
              <w:bottom w:val="single" w:sz="4" w:space="0" w:color="auto"/>
              <w:right w:val="single" w:sz="4" w:space="0" w:color="auto"/>
            </w:tcBorders>
            <w:shd w:val="clear" w:color="auto" w:fill="auto"/>
            <w:vAlign w:val="center"/>
            <w:hideMark/>
          </w:tcPr>
          <w:p w:rsidR="00EA55C2" w:rsidRPr="00EA55C2" w:rsidRDefault="00EA55C2" w:rsidP="00EA55C2">
            <w:pPr>
              <w:jc w:val="center"/>
              <w:rPr>
                <w:rFonts w:ascii="Gautami" w:eastAsia="Times New Roman" w:hAnsi="Gautami"/>
                <w:color w:val="000000"/>
                <w:sz w:val="20"/>
                <w:szCs w:val="20"/>
              </w:rPr>
            </w:pPr>
            <w:r w:rsidRPr="00EA55C2">
              <w:rPr>
                <w:rFonts w:ascii="Gautami" w:eastAsia="Times New Roman" w:hAnsi="Gautami"/>
                <w:color w:val="000000"/>
                <w:sz w:val="20"/>
                <w:szCs w:val="20"/>
              </w:rPr>
              <w:t>Water areas within 3nm away from the nearest ashore</w:t>
            </w:r>
          </w:p>
        </w:tc>
        <w:tc>
          <w:tcPr>
            <w:tcW w:w="939" w:type="pct"/>
            <w:tcBorders>
              <w:top w:val="nil"/>
              <w:left w:val="nil"/>
              <w:bottom w:val="single" w:sz="4" w:space="0" w:color="auto"/>
              <w:right w:val="single" w:sz="4" w:space="0" w:color="auto"/>
            </w:tcBorders>
            <w:shd w:val="clear" w:color="auto" w:fill="auto"/>
            <w:vAlign w:val="center"/>
            <w:hideMark/>
          </w:tcPr>
          <w:p w:rsidR="00EA55C2" w:rsidRPr="00EA55C2" w:rsidRDefault="00EA55C2" w:rsidP="00EA55C2">
            <w:pPr>
              <w:jc w:val="center"/>
              <w:rPr>
                <w:rFonts w:ascii="Gautami" w:eastAsia="Times New Roman" w:hAnsi="Gautami"/>
                <w:color w:val="000000"/>
                <w:sz w:val="20"/>
                <w:szCs w:val="20"/>
              </w:rPr>
            </w:pPr>
            <w:r w:rsidRPr="00EA55C2">
              <w:rPr>
                <w:rFonts w:ascii="Gautami" w:eastAsia="Times New Roman" w:hAnsi="Gautami"/>
                <w:color w:val="000000"/>
                <w:sz w:val="20"/>
                <w:szCs w:val="20"/>
              </w:rPr>
              <w:t>Water areas 3nm &lt; distance from the nearest ashore &lt;= 12nm</w:t>
            </w:r>
          </w:p>
        </w:tc>
        <w:tc>
          <w:tcPr>
            <w:tcW w:w="901" w:type="pct"/>
            <w:tcBorders>
              <w:top w:val="nil"/>
              <w:left w:val="nil"/>
              <w:bottom w:val="single" w:sz="4" w:space="0" w:color="auto"/>
              <w:right w:val="single" w:sz="4" w:space="0" w:color="auto"/>
            </w:tcBorders>
            <w:shd w:val="clear" w:color="auto" w:fill="auto"/>
            <w:vAlign w:val="center"/>
            <w:hideMark/>
          </w:tcPr>
          <w:p w:rsidR="00EA55C2" w:rsidRPr="00EA55C2" w:rsidRDefault="00EA55C2" w:rsidP="00EA55C2">
            <w:pPr>
              <w:jc w:val="center"/>
              <w:rPr>
                <w:rFonts w:ascii="Gautami" w:eastAsia="Times New Roman" w:hAnsi="Gautami"/>
                <w:color w:val="000000"/>
                <w:sz w:val="20"/>
                <w:szCs w:val="20"/>
              </w:rPr>
            </w:pPr>
            <w:r w:rsidRPr="00EA55C2">
              <w:rPr>
                <w:rFonts w:ascii="Gautami" w:eastAsia="Times New Roman" w:hAnsi="Gautami"/>
                <w:color w:val="000000"/>
                <w:sz w:val="20"/>
                <w:szCs w:val="20"/>
              </w:rPr>
              <w:t xml:space="preserve">Water areas distance from the nearest shore &gt;12nm  </w:t>
            </w:r>
          </w:p>
        </w:tc>
        <w:tc>
          <w:tcPr>
            <w:tcW w:w="1364" w:type="pct"/>
            <w:tcBorders>
              <w:top w:val="nil"/>
              <w:left w:val="nil"/>
              <w:bottom w:val="single" w:sz="4" w:space="0" w:color="auto"/>
              <w:right w:val="single" w:sz="4" w:space="0" w:color="auto"/>
            </w:tcBorders>
            <w:shd w:val="clear" w:color="auto" w:fill="auto"/>
            <w:vAlign w:val="center"/>
            <w:hideMark/>
          </w:tcPr>
          <w:p w:rsidR="00EA55C2" w:rsidRPr="00EA55C2" w:rsidRDefault="00EA55C2" w:rsidP="00EA55C2">
            <w:pPr>
              <w:jc w:val="center"/>
              <w:rPr>
                <w:rFonts w:ascii="Gautami" w:eastAsia="Times New Roman" w:hAnsi="Gautami"/>
                <w:color w:val="000000"/>
                <w:sz w:val="20"/>
                <w:szCs w:val="20"/>
              </w:rPr>
            </w:pPr>
            <w:r w:rsidRPr="00EA55C2">
              <w:rPr>
                <w:rFonts w:ascii="Gautami" w:eastAsia="Times New Roman" w:hAnsi="Gautami"/>
                <w:color w:val="000000"/>
                <w:sz w:val="20"/>
                <w:szCs w:val="20"/>
              </w:rPr>
              <w:t>Remarks</w:t>
            </w:r>
          </w:p>
        </w:tc>
      </w:tr>
      <w:tr w:rsidR="00EA55C2" w:rsidRPr="00EA55C2" w:rsidTr="00EA55C2">
        <w:trPr>
          <w:trHeight w:val="582"/>
        </w:trPr>
        <w:tc>
          <w:tcPr>
            <w:tcW w:w="558" w:type="pct"/>
            <w:tcBorders>
              <w:top w:val="nil"/>
              <w:left w:val="single" w:sz="4" w:space="0" w:color="auto"/>
              <w:bottom w:val="single" w:sz="4" w:space="0" w:color="auto"/>
              <w:right w:val="single" w:sz="4" w:space="0" w:color="auto"/>
            </w:tcBorders>
            <w:shd w:val="clear" w:color="auto" w:fill="auto"/>
            <w:vAlign w:val="center"/>
            <w:hideMark/>
          </w:tcPr>
          <w:p w:rsidR="00EA55C2" w:rsidRPr="00EA55C2" w:rsidRDefault="00EA55C2" w:rsidP="00EA55C2">
            <w:pPr>
              <w:rPr>
                <w:rFonts w:ascii="Gautami" w:eastAsia="Times New Roman" w:hAnsi="Gautami"/>
                <w:color w:val="000000"/>
                <w:sz w:val="20"/>
                <w:szCs w:val="20"/>
              </w:rPr>
            </w:pPr>
            <w:r w:rsidRPr="00EA55C2">
              <w:rPr>
                <w:rFonts w:ascii="Gautami" w:eastAsia="Times New Roman" w:hAnsi="Gautami"/>
                <w:color w:val="000000"/>
                <w:sz w:val="20"/>
                <w:szCs w:val="20"/>
              </w:rPr>
              <w:t>Dalian</w:t>
            </w:r>
          </w:p>
        </w:tc>
        <w:tc>
          <w:tcPr>
            <w:tcW w:w="1237" w:type="pct"/>
            <w:tcBorders>
              <w:top w:val="nil"/>
              <w:left w:val="nil"/>
              <w:bottom w:val="single" w:sz="4" w:space="0" w:color="auto"/>
              <w:right w:val="single" w:sz="4" w:space="0" w:color="auto"/>
            </w:tcBorders>
            <w:shd w:val="clear" w:color="auto" w:fill="auto"/>
            <w:vAlign w:val="center"/>
            <w:hideMark/>
          </w:tcPr>
          <w:p w:rsidR="00EA55C2" w:rsidRPr="00EA55C2" w:rsidRDefault="00EA55C2" w:rsidP="00EA55C2">
            <w:pPr>
              <w:jc w:val="center"/>
              <w:rPr>
                <w:rFonts w:ascii="Gautami" w:eastAsia="Times New Roman" w:hAnsi="Gautami"/>
                <w:color w:val="000000"/>
                <w:sz w:val="20"/>
                <w:szCs w:val="20"/>
              </w:rPr>
            </w:pPr>
            <w:r w:rsidRPr="00EA55C2">
              <w:rPr>
                <w:rFonts w:ascii="Gautami" w:eastAsia="Times New Roman" w:hAnsi="Gautami"/>
                <w:color w:val="000000"/>
                <w:sz w:val="20"/>
                <w:szCs w:val="20"/>
              </w:rPr>
              <w:t>No</w:t>
            </w:r>
          </w:p>
        </w:tc>
        <w:tc>
          <w:tcPr>
            <w:tcW w:w="939" w:type="pct"/>
            <w:tcBorders>
              <w:top w:val="nil"/>
              <w:left w:val="nil"/>
              <w:bottom w:val="single" w:sz="4" w:space="0" w:color="auto"/>
              <w:right w:val="single" w:sz="4" w:space="0" w:color="auto"/>
            </w:tcBorders>
            <w:shd w:val="clear" w:color="auto" w:fill="auto"/>
            <w:vAlign w:val="center"/>
            <w:hideMark/>
          </w:tcPr>
          <w:p w:rsidR="00EA55C2" w:rsidRPr="00EA55C2" w:rsidRDefault="00EA55C2" w:rsidP="00EA55C2">
            <w:pPr>
              <w:jc w:val="center"/>
              <w:rPr>
                <w:rFonts w:ascii="Gautami" w:eastAsia="Times New Roman" w:hAnsi="Gautami"/>
                <w:color w:val="000000"/>
                <w:sz w:val="20"/>
                <w:szCs w:val="20"/>
              </w:rPr>
            </w:pPr>
            <w:r w:rsidRPr="00EA55C2">
              <w:rPr>
                <w:rFonts w:ascii="Gautami" w:eastAsia="Times New Roman" w:hAnsi="Gautami"/>
                <w:color w:val="000000"/>
                <w:sz w:val="20"/>
                <w:szCs w:val="20"/>
              </w:rPr>
              <w:t>No</w:t>
            </w:r>
          </w:p>
        </w:tc>
        <w:tc>
          <w:tcPr>
            <w:tcW w:w="901" w:type="pct"/>
            <w:tcBorders>
              <w:top w:val="nil"/>
              <w:left w:val="nil"/>
              <w:bottom w:val="single" w:sz="4" w:space="0" w:color="auto"/>
              <w:right w:val="single" w:sz="4" w:space="0" w:color="auto"/>
            </w:tcBorders>
            <w:shd w:val="clear" w:color="auto" w:fill="auto"/>
            <w:vAlign w:val="center"/>
            <w:hideMark/>
          </w:tcPr>
          <w:p w:rsidR="00EA55C2" w:rsidRPr="00EA55C2" w:rsidRDefault="00EA55C2" w:rsidP="00EA55C2">
            <w:pPr>
              <w:jc w:val="center"/>
              <w:rPr>
                <w:rFonts w:ascii="Gautami" w:eastAsia="Times New Roman" w:hAnsi="Gautami"/>
                <w:color w:val="000000"/>
                <w:sz w:val="20"/>
                <w:szCs w:val="20"/>
              </w:rPr>
            </w:pPr>
            <w:r w:rsidRPr="00EA55C2">
              <w:rPr>
                <w:rFonts w:ascii="Gautami" w:eastAsia="Times New Roman" w:hAnsi="Gautami"/>
                <w:color w:val="000000"/>
                <w:sz w:val="20"/>
                <w:szCs w:val="20"/>
              </w:rPr>
              <w:t>No</w:t>
            </w:r>
          </w:p>
        </w:tc>
        <w:tc>
          <w:tcPr>
            <w:tcW w:w="1364" w:type="pct"/>
            <w:tcBorders>
              <w:top w:val="nil"/>
              <w:left w:val="nil"/>
              <w:bottom w:val="single" w:sz="4" w:space="0" w:color="auto"/>
              <w:right w:val="single" w:sz="4" w:space="0" w:color="auto"/>
            </w:tcBorders>
            <w:shd w:val="clear" w:color="auto" w:fill="auto"/>
            <w:vAlign w:val="center"/>
            <w:hideMark/>
          </w:tcPr>
          <w:p w:rsidR="00EA55C2" w:rsidRPr="00EA55C2" w:rsidRDefault="00EA55C2" w:rsidP="00EA55C2">
            <w:pPr>
              <w:rPr>
                <w:rFonts w:ascii="Gautami" w:eastAsia="Times New Roman" w:hAnsi="Gautami"/>
                <w:color w:val="000000"/>
                <w:sz w:val="20"/>
                <w:szCs w:val="20"/>
              </w:rPr>
            </w:pPr>
            <w:r w:rsidRPr="00EA55C2">
              <w:rPr>
                <w:rFonts w:ascii="Gautami" w:eastAsia="Times New Roman" w:hAnsi="Gautami"/>
                <w:color w:val="000000"/>
                <w:sz w:val="20"/>
                <w:szCs w:val="20"/>
              </w:rPr>
              <w:t xml:space="preserve">Only allowable to discharge </w:t>
            </w:r>
            <w:proofErr w:type="spellStart"/>
            <w:r w:rsidRPr="00EA55C2">
              <w:rPr>
                <w:rFonts w:ascii="Gautami" w:eastAsia="Times New Roman" w:hAnsi="Gautami"/>
                <w:color w:val="000000"/>
                <w:sz w:val="20"/>
                <w:szCs w:val="20"/>
              </w:rPr>
              <w:t>seawage</w:t>
            </w:r>
            <w:proofErr w:type="spellEnd"/>
            <w:r w:rsidRPr="00EA55C2">
              <w:rPr>
                <w:rFonts w:ascii="Gautami" w:eastAsia="Times New Roman" w:hAnsi="Gautami"/>
                <w:color w:val="000000"/>
                <w:sz w:val="20"/>
                <w:szCs w:val="20"/>
              </w:rPr>
              <w:t xml:space="preserve"> in OPL</w:t>
            </w:r>
          </w:p>
        </w:tc>
      </w:tr>
      <w:tr w:rsidR="00EA55C2" w:rsidRPr="00EA55C2" w:rsidTr="00EA55C2">
        <w:trPr>
          <w:trHeight w:val="582"/>
        </w:trPr>
        <w:tc>
          <w:tcPr>
            <w:tcW w:w="558" w:type="pct"/>
            <w:tcBorders>
              <w:top w:val="nil"/>
              <w:left w:val="single" w:sz="4" w:space="0" w:color="auto"/>
              <w:bottom w:val="single" w:sz="4" w:space="0" w:color="auto"/>
              <w:right w:val="single" w:sz="4" w:space="0" w:color="auto"/>
            </w:tcBorders>
            <w:shd w:val="clear" w:color="auto" w:fill="auto"/>
            <w:vAlign w:val="center"/>
            <w:hideMark/>
          </w:tcPr>
          <w:p w:rsidR="00EA55C2" w:rsidRPr="00EA55C2" w:rsidRDefault="00EA55C2" w:rsidP="00EA55C2">
            <w:pPr>
              <w:rPr>
                <w:rFonts w:ascii="Gautami" w:eastAsia="Times New Roman" w:hAnsi="Gautami"/>
                <w:color w:val="000000"/>
                <w:sz w:val="20"/>
                <w:szCs w:val="20"/>
              </w:rPr>
            </w:pPr>
            <w:proofErr w:type="spellStart"/>
            <w:r w:rsidRPr="00EA55C2">
              <w:rPr>
                <w:rFonts w:ascii="Gautami" w:eastAsia="Times New Roman" w:hAnsi="Gautami"/>
                <w:color w:val="000000"/>
                <w:sz w:val="20"/>
                <w:szCs w:val="20"/>
              </w:rPr>
              <w:t>Jingtang</w:t>
            </w:r>
            <w:proofErr w:type="spellEnd"/>
          </w:p>
        </w:tc>
        <w:tc>
          <w:tcPr>
            <w:tcW w:w="1237" w:type="pct"/>
            <w:tcBorders>
              <w:top w:val="nil"/>
              <w:left w:val="nil"/>
              <w:bottom w:val="single" w:sz="4" w:space="0" w:color="auto"/>
              <w:right w:val="single" w:sz="4" w:space="0" w:color="auto"/>
            </w:tcBorders>
            <w:shd w:val="clear" w:color="auto" w:fill="auto"/>
            <w:vAlign w:val="center"/>
            <w:hideMark/>
          </w:tcPr>
          <w:p w:rsidR="00EA55C2" w:rsidRPr="00EA55C2" w:rsidRDefault="00EA55C2" w:rsidP="00EA55C2">
            <w:pPr>
              <w:jc w:val="center"/>
              <w:rPr>
                <w:rFonts w:ascii="Gautami" w:eastAsia="Times New Roman" w:hAnsi="Gautami"/>
                <w:color w:val="000000"/>
                <w:sz w:val="20"/>
                <w:szCs w:val="20"/>
              </w:rPr>
            </w:pPr>
            <w:r w:rsidRPr="00EA55C2">
              <w:rPr>
                <w:rFonts w:ascii="Gautami" w:eastAsia="Times New Roman" w:hAnsi="Gautami"/>
                <w:color w:val="000000"/>
                <w:sz w:val="20"/>
                <w:szCs w:val="20"/>
              </w:rPr>
              <w:t>No</w:t>
            </w:r>
          </w:p>
        </w:tc>
        <w:tc>
          <w:tcPr>
            <w:tcW w:w="939" w:type="pct"/>
            <w:tcBorders>
              <w:top w:val="nil"/>
              <w:left w:val="nil"/>
              <w:bottom w:val="single" w:sz="4" w:space="0" w:color="auto"/>
              <w:right w:val="single" w:sz="4" w:space="0" w:color="auto"/>
            </w:tcBorders>
            <w:shd w:val="clear" w:color="auto" w:fill="auto"/>
            <w:vAlign w:val="center"/>
            <w:hideMark/>
          </w:tcPr>
          <w:p w:rsidR="00EA55C2" w:rsidRPr="00EA55C2" w:rsidRDefault="00EA55C2" w:rsidP="00EA55C2">
            <w:pPr>
              <w:jc w:val="center"/>
              <w:rPr>
                <w:rFonts w:ascii="Gautami" w:eastAsia="Times New Roman" w:hAnsi="Gautami"/>
                <w:color w:val="000000"/>
                <w:sz w:val="20"/>
                <w:szCs w:val="20"/>
              </w:rPr>
            </w:pPr>
            <w:r w:rsidRPr="00EA55C2">
              <w:rPr>
                <w:rFonts w:ascii="Gautami" w:eastAsia="Times New Roman" w:hAnsi="Gautami"/>
                <w:color w:val="000000"/>
                <w:sz w:val="20"/>
                <w:szCs w:val="20"/>
              </w:rPr>
              <w:t>No</w:t>
            </w:r>
          </w:p>
        </w:tc>
        <w:tc>
          <w:tcPr>
            <w:tcW w:w="901" w:type="pct"/>
            <w:tcBorders>
              <w:top w:val="nil"/>
              <w:left w:val="nil"/>
              <w:bottom w:val="single" w:sz="4" w:space="0" w:color="auto"/>
              <w:right w:val="single" w:sz="4" w:space="0" w:color="auto"/>
            </w:tcBorders>
            <w:shd w:val="clear" w:color="auto" w:fill="auto"/>
            <w:vAlign w:val="center"/>
            <w:hideMark/>
          </w:tcPr>
          <w:p w:rsidR="00EA55C2" w:rsidRPr="00EA55C2" w:rsidRDefault="00EA55C2" w:rsidP="00EA55C2">
            <w:pPr>
              <w:jc w:val="center"/>
              <w:rPr>
                <w:rFonts w:ascii="Gautami" w:eastAsia="Times New Roman" w:hAnsi="Gautami"/>
                <w:color w:val="000000"/>
                <w:sz w:val="20"/>
                <w:szCs w:val="20"/>
              </w:rPr>
            </w:pPr>
            <w:r w:rsidRPr="00EA55C2">
              <w:rPr>
                <w:rFonts w:ascii="Gautami" w:eastAsia="Times New Roman" w:hAnsi="Gautami"/>
                <w:color w:val="000000"/>
                <w:sz w:val="20"/>
                <w:szCs w:val="20"/>
              </w:rPr>
              <w:t>No</w:t>
            </w:r>
          </w:p>
        </w:tc>
        <w:tc>
          <w:tcPr>
            <w:tcW w:w="1364" w:type="pct"/>
            <w:tcBorders>
              <w:top w:val="nil"/>
              <w:left w:val="nil"/>
              <w:bottom w:val="single" w:sz="4" w:space="0" w:color="auto"/>
              <w:right w:val="single" w:sz="4" w:space="0" w:color="auto"/>
            </w:tcBorders>
            <w:shd w:val="clear" w:color="auto" w:fill="auto"/>
            <w:vAlign w:val="center"/>
            <w:hideMark/>
          </w:tcPr>
          <w:p w:rsidR="00EA55C2" w:rsidRPr="00EA55C2" w:rsidRDefault="00EA55C2" w:rsidP="00EA55C2">
            <w:pPr>
              <w:rPr>
                <w:rFonts w:ascii="Gautami" w:eastAsia="Times New Roman" w:hAnsi="Gautami"/>
                <w:color w:val="000000"/>
                <w:sz w:val="20"/>
                <w:szCs w:val="20"/>
              </w:rPr>
            </w:pPr>
            <w:r w:rsidRPr="00EA55C2">
              <w:rPr>
                <w:rFonts w:ascii="Gautami" w:eastAsia="Times New Roman" w:hAnsi="Gautami"/>
                <w:color w:val="000000"/>
                <w:sz w:val="20"/>
                <w:szCs w:val="20"/>
              </w:rPr>
              <w:t xml:space="preserve">Only allowable to discharge </w:t>
            </w:r>
            <w:proofErr w:type="spellStart"/>
            <w:r w:rsidRPr="00EA55C2">
              <w:rPr>
                <w:rFonts w:ascii="Gautami" w:eastAsia="Times New Roman" w:hAnsi="Gautami"/>
                <w:color w:val="000000"/>
                <w:sz w:val="20"/>
                <w:szCs w:val="20"/>
              </w:rPr>
              <w:t>seawage</w:t>
            </w:r>
            <w:proofErr w:type="spellEnd"/>
            <w:r w:rsidRPr="00EA55C2">
              <w:rPr>
                <w:rFonts w:ascii="Gautami" w:eastAsia="Times New Roman" w:hAnsi="Gautami"/>
                <w:color w:val="000000"/>
                <w:sz w:val="20"/>
                <w:szCs w:val="20"/>
              </w:rPr>
              <w:t xml:space="preserve"> in OPL</w:t>
            </w:r>
          </w:p>
        </w:tc>
      </w:tr>
      <w:tr w:rsidR="00EA55C2" w:rsidRPr="00EA55C2" w:rsidTr="00EA55C2">
        <w:trPr>
          <w:trHeight w:val="582"/>
        </w:trPr>
        <w:tc>
          <w:tcPr>
            <w:tcW w:w="558" w:type="pct"/>
            <w:tcBorders>
              <w:top w:val="nil"/>
              <w:left w:val="single" w:sz="4" w:space="0" w:color="auto"/>
              <w:bottom w:val="single" w:sz="4" w:space="0" w:color="auto"/>
              <w:right w:val="single" w:sz="4" w:space="0" w:color="auto"/>
            </w:tcBorders>
            <w:shd w:val="clear" w:color="auto" w:fill="auto"/>
            <w:vAlign w:val="center"/>
            <w:hideMark/>
          </w:tcPr>
          <w:p w:rsidR="00EA55C2" w:rsidRPr="00EA55C2" w:rsidRDefault="00EA55C2" w:rsidP="00EA55C2">
            <w:pPr>
              <w:rPr>
                <w:rFonts w:ascii="Gautami" w:eastAsia="Times New Roman" w:hAnsi="Gautami"/>
                <w:color w:val="000000"/>
                <w:sz w:val="20"/>
                <w:szCs w:val="20"/>
              </w:rPr>
            </w:pPr>
            <w:proofErr w:type="spellStart"/>
            <w:r w:rsidRPr="00EA55C2">
              <w:rPr>
                <w:rFonts w:ascii="Gautami" w:eastAsia="Times New Roman" w:hAnsi="Gautami"/>
                <w:color w:val="000000"/>
                <w:sz w:val="20"/>
                <w:szCs w:val="20"/>
              </w:rPr>
              <w:t>Caofeidian</w:t>
            </w:r>
            <w:proofErr w:type="spellEnd"/>
          </w:p>
        </w:tc>
        <w:tc>
          <w:tcPr>
            <w:tcW w:w="1237" w:type="pct"/>
            <w:tcBorders>
              <w:top w:val="nil"/>
              <w:left w:val="nil"/>
              <w:bottom w:val="single" w:sz="4" w:space="0" w:color="auto"/>
              <w:right w:val="single" w:sz="4" w:space="0" w:color="auto"/>
            </w:tcBorders>
            <w:shd w:val="clear" w:color="auto" w:fill="auto"/>
            <w:vAlign w:val="center"/>
            <w:hideMark/>
          </w:tcPr>
          <w:p w:rsidR="00EA55C2" w:rsidRPr="00EA55C2" w:rsidRDefault="00EA55C2" w:rsidP="00EA55C2">
            <w:pPr>
              <w:jc w:val="center"/>
              <w:rPr>
                <w:rFonts w:ascii="Gautami" w:eastAsia="Times New Roman" w:hAnsi="Gautami"/>
                <w:color w:val="000000"/>
                <w:sz w:val="20"/>
                <w:szCs w:val="20"/>
              </w:rPr>
            </w:pPr>
            <w:r w:rsidRPr="00EA55C2">
              <w:rPr>
                <w:rFonts w:ascii="Gautami" w:eastAsia="Times New Roman" w:hAnsi="Gautami"/>
                <w:color w:val="000000"/>
                <w:sz w:val="20"/>
                <w:szCs w:val="20"/>
              </w:rPr>
              <w:t>No</w:t>
            </w:r>
          </w:p>
        </w:tc>
        <w:tc>
          <w:tcPr>
            <w:tcW w:w="939" w:type="pct"/>
            <w:tcBorders>
              <w:top w:val="nil"/>
              <w:left w:val="nil"/>
              <w:bottom w:val="single" w:sz="4" w:space="0" w:color="auto"/>
              <w:right w:val="single" w:sz="4" w:space="0" w:color="auto"/>
            </w:tcBorders>
            <w:shd w:val="clear" w:color="auto" w:fill="auto"/>
            <w:vAlign w:val="center"/>
            <w:hideMark/>
          </w:tcPr>
          <w:p w:rsidR="00EA55C2" w:rsidRPr="00EA55C2" w:rsidRDefault="00EA55C2" w:rsidP="00EA55C2">
            <w:pPr>
              <w:jc w:val="center"/>
              <w:rPr>
                <w:rFonts w:ascii="Gautami" w:eastAsia="Times New Roman" w:hAnsi="Gautami"/>
                <w:color w:val="000000"/>
                <w:sz w:val="20"/>
                <w:szCs w:val="20"/>
              </w:rPr>
            </w:pPr>
            <w:r w:rsidRPr="00EA55C2">
              <w:rPr>
                <w:rFonts w:ascii="Gautami" w:eastAsia="Times New Roman" w:hAnsi="Gautami"/>
                <w:color w:val="000000"/>
                <w:sz w:val="20"/>
                <w:szCs w:val="20"/>
              </w:rPr>
              <w:t>No</w:t>
            </w:r>
          </w:p>
        </w:tc>
        <w:tc>
          <w:tcPr>
            <w:tcW w:w="901" w:type="pct"/>
            <w:tcBorders>
              <w:top w:val="nil"/>
              <w:left w:val="nil"/>
              <w:bottom w:val="single" w:sz="4" w:space="0" w:color="auto"/>
              <w:right w:val="single" w:sz="4" w:space="0" w:color="auto"/>
            </w:tcBorders>
            <w:shd w:val="clear" w:color="auto" w:fill="auto"/>
            <w:vAlign w:val="center"/>
            <w:hideMark/>
          </w:tcPr>
          <w:p w:rsidR="00EA55C2" w:rsidRPr="00EA55C2" w:rsidRDefault="00EA55C2" w:rsidP="00EA55C2">
            <w:pPr>
              <w:jc w:val="center"/>
              <w:rPr>
                <w:rFonts w:ascii="Gautami" w:eastAsia="Times New Roman" w:hAnsi="Gautami"/>
                <w:color w:val="000000"/>
                <w:sz w:val="20"/>
                <w:szCs w:val="20"/>
              </w:rPr>
            </w:pPr>
            <w:r w:rsidRPr="00EA55C2">
              <w:rPr>
                <w:rFonts w:ascii="Gautami" w:eastAsia="Times New Roman" w:hAnsi="Gautami"/>
                <w:color w:val="000000"/>
                <w:sz w:val="20"/>
                <w:szCs w:val="20"/>
              </w:rPr>
              <w:t>No</w:t>
            </w:r>
          </w:p>
        </w:tc>
        <w:tc>
          <w:tcPr>
            <w:tcW w:w="1364" w:type="pct"/>
            <w:tcBorders>
              <w:top w:val="nil"/>
              <w:left w:val="nil"/>
              <w:bottom w:val="single" w:sz="4" w:space="0" w:color="auto"/>
              <w:right w:val="single" w:sz="4" w:space="0" w:color="auto"/>
            </w:tcBorders>
            <w:shd w:val="clear" w:color="auto" w:fill="auto"/>
            <w:vAlign w:val="center"/>
            <w:hideMark/>
          </w:tcPr>
          <w:p w:rsidR="00EA55C2" w:rsidRPr="00EA55C2" w:rsidRDefault="00EA55C2" w:rsidP="00EA55C2">
            <w:pPr>
              <w:rPr>
                <w:rFonts w:ascii="Gautami" w:eastAsia="Times New Roman" w:hAnsi="Gautami"/>
                <w:color w:val="000000"/>
                <w:sz w:val="20"/>
                <w:szCs w:val="20"/>
              </w:rPr>
            </w:pPr>
            <w:r w:rsidRPr="00EA55C2">
              <w:rPr>
                <w:rFonts w:ascii="Gautami" w:eastAsia="Times New Roman" w:hAnsi="Gautami"/>
                <w:color w:val="000000"/>
                <w:sz w:val="20"/>
                <w:szCs w:val="20"/>
              </w:rPr>
              <w:t xml:space="preserve">Only allowable to discharge </w:t>
            </w:r>
            <w:proofErr w:type="spellStart"/>
            <w:r w:rsidRPr="00EA55C2">
              <w:rPr>
                <w:rFonts w:ascii="Gautami" w:eastAsia="Times New Roman" w:hAnsi="Gautami"/>
                <w:color w:val="000000"/>
                <w:sz w:val="20"/>
                <w:szCs w:val="20"/>
              </w:rPr>
              <w:t>seawage</w:t>
            </w:r>
            <w:proofErr w:type="spellEnd"/>
            <w:r w:rsidRPr="00EA55C2">
              <w:rPr>
                <w:rFonts w:ascii="Gautami" w:eastAsia="Times New Roman" w:hAnsi="Gautami"/>
                <w:color w:val="000000"/>
                <w:sz w:val="20"/>
                <w:szCs w:val="20"/>
              </w:rPr>
              <w:t xml:space="preserve"> in OPL</w:t>
            </w:r>
          </w:p>
        </w:tc>
      </w:tr>
      <w:tr w:rsidR="00EA55C2" w:rsidRPr="00EA55C2" w:rsidTr="00EA55C2">
        <w:trPr>
          <w:trHeight w:val="582"/>
        </w:trPr>
        <w:tc>
          <w:tcPr>
            <w:tcW w:w="558" w:type="pct"/>
            <w:tcBorders>
              <w:top w:val="nil"/>
              <w:left w:val="single" w:sz="4" w:space="0" w:color="auto"/>
              <w:bottom w:val="single" w:sz="4" w:space="0" w:color="auto"/>
              <w:right w:val="single" w:sz="4" w:space="0" w:color="auto"/>
            </w:tcBorders>
            <w:shd w:val="clear" w:color="auto" w:fill="auto"/>
            <w:vAlign w:val="center"/>
            <w:hideMark/>
          </w:tcPr>
          <w:p w:rsidR="00EA55C2" w:rsidRPr="00EA55C2" w:rsidRDefault="00EA55C2" w:rsidP="00EA55C2">
            <w:pPr>
              <w:rPr>
                <w:rFonts w:ascii="Gautami" w:eastAsia="Times New Roman" w:hAnsi="Gautami"/>
                <w:color w:val="000000"/>
                <w:sz w:val="20"/>
                <w:szCs w:val="20"/>
              </w:rPr>
            </w:pPr>
            <w:r w:rsidRPr="00EA55C2">
              <w:rPr>
                <w:rFonts w:ascii="Gautami" w:eastAsia="Times New Roman" w:hAnsi="Gautami"/>
                <w:color w:val="000000"/>
                <w:sz w:val="20"/>
                <w:szCs w:val="20"/>
              </w:rPr>
              <w:t>Tianjin</w:t>
            </w:r>
          </w:p>
        </w:tc>
        <w:tc>
          <w:tcPr>
            <w:tcW w:w="1237" w:type="pct"/>
            <w:tcBorders>
              <w:top w:val="nil"/>
              <w:left w:val="nil"/>
              <w:bottom w:val="single" w:sz="4" w:space="0" w:color="auto"/>
              <w:right w:val="single" w:sz="4" w:space="0" w:color="auto"/>
            </w:tcBorders>
            <w:shd w:val="clear" w:color="auto" w:fill="auto"/>
            <w:vAlign w:val="center"/>
            <w:hideMark/>
          </w:tcPr>
          <w:p w:rsidR="00EA55C2" w:rsidRPr="00EA55C2" w:rsidRDefault="00EA55C2" w:rsidP="00EA55C2">
            <w:pPr>
              <w:jc w:val="center"/>
              <w:rPr>
                <w:rFonts w:ascii="Gautami" w:eastAsia="Times New Roman" w:hAnsi="Gautami"/>
                <w:color w:val="000000"/>
                <w:sz w:val="20"/>
                <w:szCs w:val="20"/>
              </w:rPr>
            </w:pPr>
            <w:r w:rsidRPr="00EA55C2">
              <w:rPr>
                <w:rFonts w:ascii="Gautami" w:eastAsia="Times New Roman" w:hAnsi="Gautami"/>
                <w:color w:val="000000"/>
                <w:sz w:val="20"/>
                <w:szCs w:val="20"/>
              </w:rPr>
              <w:t>No</w:t>
            </w:r>
            <w:bookmarkStart w:id="0" w:name="_GoBack"/>
            <w:bookmarkEnd w:id="0"/>
          </w:p>
        </w:tc>
        <w:tc>
          <w:tcPr>
            <w:tcW w:w="939" w:type="pct"/>
            <w:tcBorders>
              <w:top w:val="nil"/>
              <w:left w:val="nil"/>
              <w:bottom w:val="single" w:sz="4" w:space="0" w:color="auto"/>
              <w:right w:val="single" w:sz="4" w:space="0" w:color="auto"/>
            </w:tcBorders>
            <w:shd w:val="clear" w:color="auto" w:fill="auto"/>
            <w:vAlign w:val="center"/>
            <w:hideMark/>
          </w:tcPr>
          <w:p w:rsidR="00EA55C2" w:rsidRPr="00EA55C2" w:rsidRDefault="00EA55C2" w:rsidP="00EA55C2">
            <w:pPr>
              <w:jc w:val="center"/>
              <w:rPr>
                <w:rFonts w:ascii="Gautami" w:eastAsia="Times New Roman" w:hAnsi="Gautami"/>
                <w:color w:val="000000"/>
                <w:sz w:val="20"/>
                <w:szCs w:val="20"/>
              </w:rPr>
            </w:pPr>
            <w:r w:rsidRPr="00EA55C2">
              <w:rPr>
                <w:rFonts w:ascii="Gautami" w:eastAsia="Times New Roman" w:hAnsi="Gautami"/>
                <w:color w:val="000000"/>
                <w:sz w:val="20"/>
                <w:szCs w:val="20"/>
              </w:rPr>
              <w:t>No</w:t>
            </w:r>
          </w:p>
        </w:tc>
        <w:tc>
          <w:tcPr>
            <w:tcW w:w="901" w:type="pct"/>
            <w:tcBorders>
              <w:top w:val="nil"/>
              <w:left w:val="nil"/>
              <w:bottom w:val="single" w:sz="4" w:space="0" w:color="auto"/>
              <w:right w:val="single" w:sz="4" w:space="0" w:color="auto"/>
            </w:tcBorders>
            <w:shd w:val="clear" w:color="auto" w:fill="auto"/>
            <w:vAlign w:val="center"/>
            <w:hideMark/>
          </w:tcPr>
          <w:p w:rsidR="00EA55C2" w:rsidRPr="00EA55C2" w:rsidRDefault="00EA55C2" w:rsidP="00EA55C2">
            <w:pPr>
              <w:jc w:val="center"/>
              <w:rPr>
                <w:rFonts w:ascii="Gautami" w:eastAsia="Times New Roman" w:hAnsi="Gautami"/>
                <w:color w:val="000000"/>
                <w:sz w:val="20"/>
                <w:szCs w:val="20"/>
              </w:rPr>
            </w:pPr>
            <w:r w:rsidRPr="00EA55C2">
              <w:rPr>
                <w:rFonts w:ascii="Gautami" w:eastAsia="Times New Roman" w:hAnsi="Gautami"/>
                <w:color w:val="000000"/>
                <w:sz w:val="20"/>
                <w:szCs w:val="20"/>
              </w:rPr>
              <w:t>No</w:t>
            </w:r>
          </w:p>
        </w:tc>
        <w:tc>
          <w:tcPr>
            <w:tcW w:w="1364" w:type="pct"/>
            <w:tcBorders>
              <w:top w:val="nil"/>
              <w:left w:val="nil"/>
              <w:bottom w:val="single" w:sz="4" w:space="0" w:color="auto"/>
              <w:right w:val="single" w:sz="4" w:space="0" w:color="auto"/>
            </w:tcBorders>
            <w:shd w:val="clear" w:color="auto" w:fill="auto"/>
            <w:vAlign w:val="center"/>
            <w:hideMark/>
          </w:tcPr>
          <w:p w:rsidR="00EA55C2" w:rsidRPr="00EA55C2" w:rsidRDefault="00EA55C2" w:rsidP="00EA55C2">
            <w:pPr>
              <w:rPr>
                <w:rFonts w:ascii="Gautami" w:eastAsia="Times New Roman" w:hAnsi="Gautami"/>
                <w:color w:val="000000"/>
                <w:sz w:val="20"/>
                <w:szCs w:val="20"/>
              </w:rPr>
            </w:pPr>
            <w:r w:rsidRPr="00EA55C2">
              <w:rPr>
                <w:rFonts w:ascii="Gautami" w:eastAsia="Times New Roman" w:hAnsi="Gautami"/>
                <w:color w:val="000000"/>
                <w:sz w:val="20"/>
                <w:szCs w:val="20"/>
              </w:rPr>
              <w:t xml:space="preserve">Only allowable to discharge </w:t>
            </w:r>
            <w:proofErr w:type="spellStart"/>
            <w:r w:rsidRPr="00EA55C2">
              <w:rPr>
                <w:rFonts w:ascii="Gautami" w:eastAsia="Times New Roman" w:hAnsi="Gautami"/>
                <w:color w:val="000000"/>
                <w:sz w:val="20"/>
                <w:szCs w:val="20"/>
              </w:rPr>
              <w:t>seawage</w:t>
            </w:r>
            <w:proofErr w:type="spellEnd"/>
            <w:r w:rsidRPr="00EA55C2">
              <w:rPr>
                <w:rFonts w:ascii="Gautami" w:eastAsia="Times New Roman" w:hAnsi="Gautami"/>
                <w:color w:val="000000"/>
                <w:sz w:val="20"/>
                <w:szCs w:val="20"/>
              </w:rPr>
              <w:t xml:space="preserve"> in OPL</w:t>
            </w:r>
          </w:p>
        </w:tc>
      </w:tr>
      <w:tr w:rsidR="00EA55C2" w:rsidRPr="00EA55C2" w:rsidTr="00EA55C2">
        <w:trPr>
          <w:trHeight w:val="582"/>
        </w:trPr>
        <w:tc>
          <w:tcPr>
            <w:tcW w:w="558" w:type="pct"/>
            <w:tcBorders>
              <w:top w:val="nil"/>
              <w:left w:val="single" w:sz="4" w:space="0" w:color="auto"/>
              <w:bottom w:val="single" w:sz="4" w:space="0" w:color="auto"/>
              <w:right w:val="single" w:sz="4" w:space="0" w:color="auto"/>
            </w:tcBorders>
            <w:shd w:val="clear" w:color="auto" w:fill="auto"/>
            <w:vAlign w:val="center"/>
            <w:hideMark/>
          </w:tcPr>
          <w:p w:rsidR="00EA55C2" w:rsidRPr="00EA55C2" w:rsidRDefault="00EA55C2" w:rsidP="00EA55C2">
            <w:pPr>
              <w:rPr>
                <w:rFonts w:ascii="Gautami" w:eastAsia="Times New Roman" w:hAnsi="Gautami"/>
                <w:b/>
                <w:bCs/>
                <w:sz w:val="20"/>
                <w:szCs w:val="20"/>
              </w:rPr>
            </w:pPr>
            <w:r w:rsidRPr="00EA55C2">
              <w:rPr>
                <w:rFonts w:ascii="Gautami" w:eastAsia="Times New Roman" w:hAnsi="Gautami"/>
                <w:b/>
                <w:bCs/>
                <w:sz w:val="20"/>
                <w:szCs w:val="20"/>
              </w:rPr>
              <w:t>Qingdao</w:t>
            </w:r>
          </w:p>
        </w:tc>
        <w:tc>
          <w:tcPr>
            <w:tcW w:w="1237" w:type="pct"/>
            <w:tcBorders>
              <w:top w:val="nil"/>
              <w:left w:val="nil"/>
              <w:bottom w:val="single" w:sz="4" w:space="0" w:color="auto"/>
              <w:right w:val="single" w:sz="4" w:space="0" w:color="auto"/>
            </w:tcBorders>
            <w:shd w:val="clear" w:color="auto" w:fill="auto"/>
            <w:vAlign w:val="center"/>
            <w:hideMark/>
          </w:tcPr>
          <w:p w:rsidR="00EA55C2" w:rsidRPr="00EA55C2" w:rsidRDefault="00EA55C2" w:rsidP="00EA55C2">
            <w:pPr>
              <w:jc w:val="center"/>
              <w:rPr>
                <w:rFonts w:ascii="Gautami" w:eastAsia="Times New Roman" w:hAnsi="Gautami"/>
                <w:b/>
                <w:bCs/>
                <w:sz w:val="20"/>
                <w:szCs w:val="20"/>
              </w:rPr>
            </w:pPr>
            <w:r w:rsidRPr="00EA55C2">
              <w:rPr>
                <w:rFonts w:ascii="Gautami" w:eastAsia="Times New Roman" w:hAnsi="Gautami"/>
                <w:b/>
                <w:bCs/>
                <w:sz w:val="20"/>
                <w:szCs w:val="20"/>
              </w:rPr>
              <w:t>No</w:t>
            </w:r>
          </w:p>
        </w:tc>
        <w:tc>
          <w:tcPr>
            <w:tcW w:w="939" w:type="pct"/>
            <w:tcBorders>
              <w:top w:val="nil"/>
              <w:left w:val="nil"/>
              <w:bottom w:val="single" w:sz="4" w:space="0" w:color="auto"/>
              <w:right w:val="single" w:sz="4" w:space="0" w:color="auto"/>
            </w:tcBorders>
            <w:shd w:val="clear" w:color="auto" w:fill="auto"/>
            <w:vAlign w:val="center"/>
            <w:hideMark/>
          </w:tcPr>
          <w:p w:rsidR="00EA55C2" w:rsidRPr="00EA55C2" w:rsidRDefault="00EA55C2" w:rsidP="00EA55C2">
            <w:pPr>
              <w:jc w:val="center"/>
              <w:rPr>
                <w:rFonts w:ascii="Gautami" w:eastAsia="Times New Roman" w:hAnsi="Gautami"/>
                <w:b/>
                <w:bCs/>
                <w:sz w:val="20"/>
                <w:szCs w:val="20"/>
              </w:rPr>
            </w:pPr>
            <w:r w:rsidRPr="00EA55C2">
              <w:rPr>
                <w:rFonts w:ascii="Gautami" w:eastAsia="Times New Roman" w:hAnsi="Gautami"/>
                <w:b/>
                <w:bCs/>
                <w:sz w:val="20"/>
                <w:szCs w:val="20"/>
              </w:rPr>
              <w:t>No</w:t>
            </w:r>
          </w:p>
        </w:tc>
        <w:tc>
          <w:tcPr>
            <w:tcW w:w="901" w:type="pct"/>
            <w:tcBorders>
              <w:top w:val="nil"/>
              <w:left w:val="nil"/>
              <w:bottom w:val="single" w:sz="4" w:space="0" w:color="auto"/>
              <w:right w:val="single" w:sz="4" w:space="0" w:color="auto"/>
            </w:tcBorders>
            <w:shd w:val="clear" w:color="auto" w:fill="auto"/>
            <w:vAlign w:val="center"/>
            <w:hideMark/>
          </w:tcPr>
          <w:p w:rsidR="00EA55C2" w:rsidRPr="00EA55C2" w:rsidRDefault="00EA55C2" w:rsidP="00EA55C2">
            <w:pPr>
              <w:jc w:val="center"/>
              <w:rPr>
                <w:rFonts w:ascii="Gautami" w:eastAsia="Times New Roman" w:hAnsi="Gautami"/>
                <w:b/>
                <w:bCs/>
                <w:sz w:val="20"/>
                <w:szCs w:val="20"/>
              </w:rPr>
            </w:pPr>
            <w:r w:rsidRPr="00EA55C2">
              <w:rPr>
                <w:rFonts w:ascii="Gautami" w:eastAsia="Times New Roman" w:hAnsi="Gautami"/>
                <w:b/>
                <w:bCs/>
                <w:sz w:val="20"/>
                <w:szCs w:val="20"/>
              </w:rPr>
              <w:t>No</w:t>
            </w:r>
          </w:p>
        </w:tc>
        <w:tc>
          <w:tcPr>
            <w:tcW w:w="1364" w:type="pct"/>
            <w:tcBorders>
              <w:top w:val="nil"/>
              <w:left w:val="nil"/>
              <w:bottom w:val="single" w:sz="4" w:space="0" w:color="auto"/>
              <w:right w:val="single" w:sz="4" w:space="0" w:color="auto"/>
            </w:tcBorders>
            <w:shd w:val="clear" w:color="auto" w:fill="auto"/>
            <w:vAlign w:val="center"/>
            <w:hideMark/>
          </w:tcPr>
          <w:p w:rsidR="00EA55C2" w:rsidRPr="00EA55C2" w:rsidRDefault="00EA55C2" w:rsidP="00EA55C2">
            <w:pPr>
              <w:rPr>
                <w:rFonts w:ascii="Gautami" w:eastAsia="Times New Roman" w:hAnsi="Gautami"/>
                <w:b/>
                <w:bCs/>
                <w:sz w:val="20"/>
                <w:szCs w:val="20"/>
              </w:rPr>
            </w:pPr>
            <w:r w:rsidRPr="00EA55C2">
              <w:rPr>
                <w:rFonts w:ascii="Gautami" w:eastAsia="Times New Roman" w:hAnsi="Gautami"/>
                <w:b/>
                <w:bCs/>
                <w:sz w:val="20"/>
                <w:szCs w:val="20"/>
              </w:rPr>
              <w:t xml:space="preserve">Only allowable to discharge </w:t>
            </w:r>
            <w:proofErr w:type="spellStart"/>
            <w:r w:rsidRPr="00EA55C2">
              <w:rPr>
                <w:rFonts w:ascii="Gautami" w:eastAsia="Times New Roman" w:hAnsi="Gautami"/>
                <w:b/>
                <w:bCs/>
                <w:sz w:val="20"/>
                <w:szCs w:val="20"/>
              </w:rPr>
              <w:t>seawage</w:t>
            </w:r>
            <w:proofErr w:type="spellEnd"/>
            <w:r w:rsidRPr="00EA55C2">
              <w:rPr>
                <w:rFonts w:ascii="Gautami" w:eastAsia="Times New Roman" w:hAnsi="Gautami"/>
                <w:b/>
                <w:bCs/>
                <w:sz w:val="20"/>
                <w:szCs w:val="20"/>
              </w:rPr>
              <w:t xml:space="preserve"> in OPL</w:t>
            </w:r>
          </w:p>
        </w:tc>
      </w:tr>
      <w:tr w:rsidR="00EA55C2" w:rsidRPr="00EA55C2" w:rsidTr="00EA55C2">
        <w:trPr>
          <w:trHeight w:val="840"/>
        </w:trPr>
        <w:tc>
          <w:tcPr>
            <w:tcW w:w="558" w:type="pct"/>
            <w:tcBorders>
              <w:top w:val="nil"/>
              <w:left w:val="single" w:sz="4" w:space="0" w:color="auto"/>
              <w:bottom w:val="single" w:sz="4" w:space="0" w:color="auto"/>
              <w:right w:val="single" w:sz="4" w:space="0" w:color="auto"/>
            </w:tcBorders>
            <w:shd w:val="clear" w:color="auto" w:fill="auto"/>
            <w:vAlign w:val="center"/>
            <w:hideMark/>
          </w:tcPr>
          <w:p w:rsidR="00EA55C2" w:rsidRPr="00EA55C2" w:rsidRDefault="00EA55C2" w:rsidP="00EA55C2">
            <w:pPr>
              <w:rPr>
                <w:rFonts w:ascii="Gautami" w:eastAsia="Times New Roman" w:hAnsi="Gautami"/>
                <w:color w:val="000000"/>
                <w:sz w:val="20"/>
                <w:szCs w:val="20"/>
              </w:rPr>
            </w:pPr>
            <w:proofErr w:type="spellStart"/>
            <w:r w:rsidRPr="00EA55C2">
              <w:rPr>
                <w:rFonts w:ascii="Gautami" w:eastAsia="Times New Roman" w:hAnsi="Gautami"/>
                <w:color w:val="000000"/>
                <w:sz w:val="20"/>
                <w:szCs w:val="20"/>
              </w:rPr>
              <w:t>Rizhao</w:t>
            </w:r>
            <w:proofErr w:type="spellEnd"/>
          </w:p>
        </w:tc>
        <w:tc>
          <w:tcPr>
            <w:tcW w:w="1237" w:type="pct"/>
            <w:tcBorders>
              <w:top w:val="nil"/>
              <w:left w:val="nil"/>
              <w:bottom w:val="single" w:sz="4" w:space="0" w:color="auto"/>
              <w:right w:val="single" w:sz="4" w:space="0" w:color="auto"/>
            </w:tcBorders>
            <w:shd w:val="clear" w:color="auto" w:fill="auto"/>
            <w:vAlign w:val="center"/>
            <w:hideMark/>
          </w:tcPr>
          <w:p w:rsidR="00EA55C2" w:rsidRPr="00EA55C2" w:rsidRDefault="00EA55C2" w:rsidP="00EA55C2">
            <w:pPr>
              <w:jc w:val="center"/>
              <w:rPr>
                <w:rFonts w:ascii="Gautami" w:eastAsia="Times New Roman" w:hAnsi="Gautami"/>
                <w:color w:val="000000"/>
                <w:sz w:val="20"/>
                <w:szCs w:val="20"/>
              </w:rPr>
            </w:pPr>
            <w:r w:rsidRPr="00EA55C2">
              <w:rPr>
                <w:rFonts w:ascii="Gautami" w:eastAsia="Times New Roman" w:hAnsi="Gautami"/>
                <w:color w:val="000000"/>
                <w:sz w:val="20"/>
                <w:szCs w:val="20"/>
              </w:rPr>
              <w:t>No</w:t>
            </w:r>
          </w:p>
        </w:tc>
        <w:tc>
          <w:tcPr>
            <w:tcW w:w="939" w:type="pct"/>
            <w:tcBorders>
              <w:top w:val="nil"/>
              <w:left w:val="nil"/>
              <w:bottom w:val="single" w:sz="4" w:space="0" w:color="auto"/>
              <w:right w:val="single" w:sz="4" w:space="0" w:color="auto"/>
            </w:tcBorders>
            <w:shd w:val="clear" w:color="auto" w:fill="auto"/>
            <w:vAlign w:val="center"/>
            <w:hideMark/>
          </w:tcPr>
          <w:p w:rsidR="00EA55C2" w:rsidRPr="00EA55C2" w:rsidRDefault="00EA55C2" w:rsidP="00EA55C2">
            <w:pPr>
              <w:jc w:val="center"/>
              <w:rPr>
                <w:rFonts w:ascii="Gautami" w:eastAsia="Times New Roman" w:hAnsi="Gautami"/>
                <w:color w:val="000000"/>
                <w:sz w:val="20"/>
                <w:szCs w:val="20"/>
              </w:rPr>
            </w:pPr>
            <w:r w:rsidRPr="00EA55C2">
              <w:rPr>
                <w:rFonts w:ascii="Gautami" w:eastAsia="Times New Roman" w:hAnsi="Gautami"/>
                <w:color w:val="000000"/>
                <w:sz w:val="20"/>
                <w:szCs w:val="20"/>
              </w:rPr>
              <w:t>No</w:t>
            </w:r>
          </w:p>
        </w:tc>
        <w:tc>
          <w:tcPr>
            <w:tcW w:w="901" w:type="pct"/>
            <w:tcBorders>
              <w:top w:val="nil"/>
              <w:left w:val="nil"/>
              <w:bottom w:val="single" w:sz="4" w:space="0" w:color="auto"/>
              <w:right w:val="single" w:sz="4" w:space="0" w:color="auto"/>
            </w:tcBorders>
            <w:shd w:val="clear" w:color="auto" w:fill="auto"/>
            <w:vAlign w:val="center"/>
            <w:hideMark/>
          </w:tcPr>
          <w:p w:rsidR="00EA55C2" w:rsidRPr="00EA55C2" w:rsidRDefault="00EA55C2" w:rsidP="00EA55C2">
            <w:pPr>
              <w:jc w:val="center"/>
              <w:rPr>
                <w:rFonts w:ascii="Gautami" w:eastAsia="Times New Roman" w:hAnsi="Gautami"/>
                <w:color w:val="000000"/>
                <w:sz w:val="20"/>
                <w:szCs w:val="20"/>
              </w:rPr>
            </w:pPr>
            <w:r w:rsidRPr="00EA55C2">
              <w:rPr>
                <w:rFonts w:ascii="Gautami" w:eastAsia="Times New Roman" w:hAnsi="Gautami"/>
                <w:color w:val="000000"/>
                <w:sz w:val="20"/>
                <w:szCs w:val="20"/>
              </w:rPr>
              <w:t>No</w:t>
            </w:r>
          </w:p>
        </w:tc>
        <w:tc>
          <w:tcPr>
            <w:tcW w:w="1364" w:type="pct"/>
            <w:tcBorders>
              <w:top w:val="nil"/>
              <w:left w:val="nil"/>
              <w:bottom w:val="single" w:sz="4" w:space="0" w:color="auto"/>
              <w:right w:val="single" w:sz="4" w:space="0" w:color="auto"/>
            </w:tcBorders>
            <w:shd w:val="clear" w:color="auto" w:fill="auto"/>
            <w:vAlign w:val="center"/>
            <w:hideMark/>
          </w:tcPr>
          <w:p w:rsidR="00EA55C2" w:rsidRPr="00EA55C2" w:rsidRDefault="00EA55C2" w:rsidP="00EA55C2">
            <w:pPr>
              <w:rPr>
                <w:rFonts w:ascii="Gautami" w:eastAsia="Times New Roman" w:hAnsi="Gautami"/>
                <w:color w:val="000000"/>
                <w:sz w:val="20"/>
                <w:szCs w:val="20"/>
              </w:rPr>
            </w:pPr>
            <w:r w:rsidRPr="00EA55C2">
              <w:rPr>
                <w:rFonts w:ascii="Gautami" w:eastAsia="Times New Roman" w:hAnsi="Gautami"/>
                <w:color w:val="000000"/>
                <w:sz w:val="20"/>
                <w:szCs w:val="20"/>
              </w:rPr>
              <w:t xml:space="preserve">Only allowable to discharge </w:t>
            </w:r>
            <w:proofErr w:type="spellStart"/>
            <w:r w:rsidRPr="00EA55C2">
              <w:rPr>
                <w:rFonts w:ascii="Gautami" w:eastAsia="Times New Roman" w:hAnsi="Gautami"/>
                <w:color w:val="000000"/>
                <w:sz w:val="20"/>
                <w:szCs w:val="20"/>
              </w:rPr>
              <w:t>seawage</w:t>
            </w:r>
            <w:proofErr w:type="spellEnd"/>
            <w:r w:rsidRPr="00EA55C2">
              <w:rPr>
                <w:rFonts w:ascii="Gautami" w:eastAsia="Times New Roman" w:hAnsi="Gautami"/>
                <w:color w:val="000000"/>
                <w:sz w:val="20"/>
                <w:szCs w:val="20"/>
              </w:rPr>
              <w:t xml:space="preserve"> in OPL</w:t>
            </w:r>
          </w:p>
        </w:tc>
      </w:tr>
      <w:tr w:rsidR="00EA55C2" w:rsidRPr="00EA55C2" w:rsidTr="00EA55C2">
        <w:trPr>
          <w:trHeight w:val="582"/>
        </w:trPr>
        <w:tc>
          <w:tcPr>
            <w:tcW w:w="558" w:type="pct"/>
            <w:tcBorders>
              <w:top w:val="nil"/>
              <w:left w:val="single" w:sz="4" w:space="0" w:color="auto"/>
              <w:bottom w:val="single" w:sz="4" w:space="0" w:color="auto"/>
              <w:right w:val="single" w:sz="4" w:space="0" w:color="auto"/>
            </w:tcBorders>
            <w:shd w:val="clear" w:color="auto" w:fill="auto"/>
            <w:vAlign w:val="center"/>
            <w:hideMark/>
          </w:tcPr>
          <w:p w:rsidR="00EA55C2" w:rsidRPr="00EA55C2" w:rsidRDefault="00EA55C2" w:rsidP="00EA55C2">
            <w:pPr>
              <w:rPr>
                <w:rFonts w:ascii="Gautami" w:eastAsia="Times New Roman" w:hAnsi="Gautami"/>
                <w:color w:val="000000"/>
                <w:sz w:val="20"/>
                <w:szCs w:val="20"/>
              </w:rPr>
            </w:pPr>
            <w:proofErr w:type="spellStart"/>
            <w:r w:rsidRPr="00EA55C2">
              <w:rPr>
                <w:rFonts w:ascii="Gautami" w:eastAsia="Times New Roman" w:hAnsi="Gautami"/>
                <w:color w:val="000000"/>
                <w:sz w:val="20"/>
                <w:szCs w:val="20"/>
              </w:rPr>
              <w:t>Lanshan</w:t>
            </w:r>
            <w:proofErr w:type="spellEnd"/>
          </w:p>
        </w:tc>
        <w:tc>
          <w:tcPr>
            <w:tcW w:w="1237" w:type="pct"/>
            <w:tcBorders>
              <w:top w:val="nil"/>
              <w:left w:val="nil"/>
              <w:bottom w:val="single" w:sz="4" w:space="0" w:color="auto"/>
              <w:right w:val="single" w:sz="4" w:space="0" w:color="auto"/>
            </w:tcBorders>
            <w:shd w:val="clear" w:color="auto" w:fill="auto"/>
            <w:vAlign w:val="center"/>
            <w:hideMark/>
          </w:tcPr>
          <w:p w:rsidR="00EA55C2" w:rsidRPr="00EA55C2" w:rsidRDefault="00EA55C2" w:rsidP="00EA55C2">
            <w:pPr>
              <w:jc w:val="center"/>
              <w:rPr>
                <w:rFonts w:ascii="Gautami" w:eastAsia="Times New Roman" w:hAnsi="Gautami"/>
                <w:color w:val="000000"/>
                <w:sz w:val="20"/>
                <w:szCs w:val="20"/>
              </w:rPr>
            </w:pPr>
            <w:r w:rsidRPr="00EA55C2">
              <w:rPr>
                <w:rFonts w:ascii="Gautami" w:eastAsia="Times New Roman" w:hAnsi="Gautami"/>
                <w:color w:val="000000"/>
                <w:sz w:val="20"/>
                <w:szCs w:val="20"/>
              </w:rPr>
              <w:t>No</w:t>
            </w:r>
          </w:p>
        </w:tc>
        <w:tc>
          <w:tcPr>
            <w:tcW w:w="939" w:type="pct"/>
            <w:tcBorders>
              <w:top w:val="nil"/>
              <w:left w:val="nil"/>
              <w:bottom w:val="single" w:sz="4" w:space="0" w:color="auto"/>
              <w:right w:val="single" w:sz="4" w:space="0" w:color="auto"/>
            </w:tcBorders>
            <w:shd w:val="clear" w:color="auto" w:fill="auto"/>
            <w:vAlign w:val="center"/>
            <w:hideMark/>
          </w:tcPr>
          <w:p w:rsidR="00EA55C2" w:rsidRPr="00EA55C2" w:rsidRDefault="00EA55C2" w:rsidP="00EA55C2">
            <w:pPr>
              <w:jc w:val="center"/>
              <w:rPr>
                <w:rFonts w:ascii="Gautami" w:eastAsia="Times New Roman" w:hAnsi="Gautami"/>
                <w:color w:val="000000"/>
                <w:sz w:val="20"/>
                <w:szCs w:val="20"/>
              </w:rPr>
            </w:pPr>
            <w:r w:rsidRPr="00EA55C2">
              <w:rPr>
                <w:rFonts w:ascii="Gautami" w:eastAsia="Times New Roman" w:hAnsi="Gautami"/>
                <w:color w:val="000000"/>
                <w:sz w:val="20"/>
                <w:szCs w:val="20"/>
              </w:rPr>
              <w:t>No</w:t>
            </w:r>
          </w:p>
        </w:tc>
        <w:tc>
          <w:tcPr>
            <w:tcW w:w="901" w:type="pct"/>
            <w:tcBorders>
              <w:top w:val="nil"/>
              <w:left w:val="nil"/>
              <w:bottom w:val="single" w:sz="4" w:space="0" w:color="auto"/>
              <w:right w:val="single" w:sz="4" w:space="0" w:color="auto"/>
            </w:tcBorders>
            <w:shd w:val="clear" w:color="auto" w:fill="auto"/>
            <w:vAlign w:val="center"/>
            <w:hideMark/>
          </w:tcPr>
          <w:p w:rsidR="00EA55C2" w:rsidRPr="00EA55C2" w:rsidRDefault="00EA55C2" w:rsidP="00EA55C2">
            <w:pPr>
              <w:jc w:val="center"/>
              <w:rPr>
                <w:rFonts w:ascii="Gautami" w:eastAsia="Times New Roman" w:hAnsi="Gautami"/>
                <w:color w:val="000000"/>
                <w:sz w:val="20"/>
                <w:szCs w:val="20"/>
              </w:rPr>
            </w:pPr>
            <w:r w:rsidRPr="00EA55C2">
              <w:rPr>
                <w:rFonts w:ascii="Gautami" w:eastAsia="Times New Roman" w:hAnsi="Gautami"/>
                <w:color w:val="000000"/>
                <w:sz w:val="20"/>
                <w:szCs w:val="20"/>
              </w:rPr>
              <w:t>No</w:t>
            </w:r>
          </w:p>
        </w:tc>
        <w:tc>
          <w:tcPr>
            <w:tcW w:w="1364" w:type="pct"/>
            <w:tcBorders>
              <w:top w:val="nil"/>
              <w:left w:val="nil"/>
              <w:bottom w:val="single" w:sz="4" w:space="0" w:color="auto"/>
              <w:right w:val="single" w:sz="4" w:space="0" w:color="auto"/>
            </w:tcBorders>
            <w:shd w:val="clear" w:color="auto" w:fill="auto"/>
            <w:vAlign w:val="center"/>
            <w:hideMark/>
          </w:tcPr>
          <w:p w:rsidR="00EA55C2" w:rsidRPr="00EA55C2" w:rsidRDefault="00EA55C2" w:rsidP="00EA55C2">
            <w:pPr>
              <w:rPr>
                <w:rFonts w:ascii="Gautami" w:eastAsia="Times New Roman" w:hAnsi="Gautami"/>
                <w:color w:val="000000"/>
                <w:sz w:val="20"/>
                <w:szCs w:val="20"/>
              </w:rPr>
            </w:pPr>
            <w:r w:rsidRPr="00EA55C2">
              <w:rPr>
                <w:rFonts w:ascii="Gautami" w:eastAsia="Times New Roman" w:hAnsi="Gautami"/>
                <w:color w:val="000000"/>
                <w:sz w:val="20"/>
                <w:szCs w:val="20"/>
              </w:rPr>
              <w:t xml:space="preserve">Only allowable to discharge </w:t>
            </w:r>
            <w:proofErr w:type="spellStart"/>
            <w:r w:rsidRPr="00EA55C2">
              <w:rPr>
                <w:rFonts w:ascii="Gautami" w:eastAsia="Times New Roman" w:hAnsi="Gautami"/>
                <w:color w:val="000000"/>
                <w:sz w:val="20"/>
                <w:szCs w:val="20"/>
              </w:rPr>
              <w:t>seawage</w:t>
            </w:r>
            <w:proofErr w:type="spellEnd"/>
            <w:r w:rsidRPr="00EA55C2">
              <w:rPr>
                <w:rFonts w:ascii="Gautami" w:eastAsia="Times New Roman" w:hAnsi="Gautami"/>
                <w:color w:val="000000"/>
                <w:sz w:val="20"/>
                <w:szCs w:val="20"/>
              </w:rPr>
              <w:t xml:space="preserve"> in OPL</w:t>
            </w:r>
          </w:p>
        </w:tc>
      </w:tr>
      <w:tr w:rsidR="00EA55C2" w:rsidRPr="00EA55C2" w:rsidTr="00EA55C2">
        <w:trPr>
          <w:trHeight w:val="1260"/>
        </w:trPr>
        <w:tc>
          <w:tcPr>
            <w:tcW w:w="558" w:type="pct"/>
            <w:tcBorders>
              <w:top w:val="nil"/>
              <w:left w:val="single" w:sz="4" w:space="0" w:color="auto"/>
              <w:bottom w:val="single" w:sz="4" w:space="0" w:color="auto"/>
              <w:right w:val="single" w:sz="4" w:space="0" w:color="auto"/>
            </w:tcBorders>
            <w:shd w:val="clear" w:color="auto" w:fill="auto"/>
            <w:vAlign w:val="center"/>
            <w:hideMark/>
          </w:tcPr>
          <w:p w:rsidR="00EA55C2" w:rsidRPr="00EA55C2" w:rsidRDefault="00EA55C2" w:rsidP="00EA55C2">
            <w:pPr>
              <w:rPr>
                <w:rFonts w:ascii="Gautami" w:eastAsia="Times New Roman" w:hAnsi="Gautami"/>
                <w:color w:val="000000"/>
                <w:sz w:val="20"/>
                <w:szCs w:val="20"/>
              </w:rPr>
            </w:pPr>
            <w:r w:rsidRPr="00EA55C2">
              <w:rPr>
                <w:rFonts w:ascii="Gautami" w:eastAsia="Times New Roman" w:hAnsi="Gautami"/>
                <w:color w:val="000000"/>
                <w:sz w:val="20"/>
                <w:szCs w:val="20"/>
              </w:rPr>
              <w:t>Lianyungang</w:t>
            </w:r>
          </w:p>
        </w:tc>
        <w:tc>
          <w:tcPr>
            <w:tcW w:w="1237" w:type="pct"/>
            <w:tcBorders>
              <w:top w:val="nil"/>
              <w:left w:val="nil"/>
              <w:bottom w:val="single" w:sz="4" w:space="0" w:color="auto"/>
              <w:right w:val="single" w:sz="4" w:space="0" w:color="auto"/>
            </w:tcBorders>
            <w:shd w:val="clear" w:color="auto" w:fill="auto"/>
            <w:vAlign w:val="center"/>
            <w:hideMark/>
          </w:tcPr>
          <w:p w:rsidR="00EA55C2" w:rsidRPr="00EA55C2" w:rsidRDefault="00EA55C2" w:rsidP="00EA55C2">
            <w:pPr>
              <w:rPr>
                <w:rFonts w:ascii="Gautami" w:eastAsia="Times New Roman" w:hAnsi="Gautami"/>
                <w:color w:val="000000"/>
                <w:sz w:val="20"/>
                <w:szCs w:val="20"/>
              </w:rPr>
            </w:pPr>
            <w:r w:rsidRPr="00EA55C2">
              <w:rPr>
                <w:rFonts w:ascii="Gautami" w:eastAsia="Times New Roman" w:hAnsi="Gautami"/>
                <w:color w:val="000000"/>
                <w:sz w:val="20"/>
                <w:szCs w:val="20"/>
              </w:rPr>
              <w:t xml:space="preserve">allowable as per GB3552-2018 requirements; only when vessel in </w:t>
            </w:r>
            <w:proofErr w:type="spellStart"/>
            <w:r w:rsidRPr="00EA55C2">
              <w:rPr>
                <w:rFonts w:ascii="Gautami" w:eastAsia="Times New Roman" w:hAnsi="Gautami"/>
                <w:color w:val="000000"/>
                <w:sz w:val="20"/>
                <w:szCs w:val="20"/>
              </w:rPr>
              <w:t>manuvuering</w:t>
            </w:r>
            <w:proofErr w:type="spellEnd"/>
            <w:r w:rsidRPr="00EA55C2">
              <w:rPr>
                <w:rFonts w:ascii="Gautami" w:eastAsia="Times New Roman" w:hAnsi="Gautami"/>
                <w:color w:val="000000"/>
                <w:sz w:val="20"/>
                <w:szCs w:val="20"/>
              </w:rPr>
              <w:t xml:space="preserve">; </w:t>
            </w:r>
            <w:proofErr w:type="spellStart"/>
            <w:r w:rsidRPr="00EA55C2">
              <w:rPr>
                <w:rFonts w:ascii="Gautami" w:eastAsia="Times New Roman" w:hAnsi="Gautami"/>
                <w:color w:val="000000"/>
                <w:sz w:val="20"/>
                <w:szCs w:val="20"/>
              </w:rPr>
              <w:t>prohibitted</w:t>
            </w:r>
            <w:proofErr w:type="spellEnd"/>
            <w:r w:rsidRPr="00EA55C2">
              <w:rPr>
                <w:rFonts w:ascii="Gautami" w:eastAsia="Times New Roman" w:hAnsi="Gautami"/>
                <w:color w:val="000000"/>
                <w:sz w:val="20"/>
                <w:szCs w:val="20"/>
              </w:rPr>
              <w:t xml:space="preserve"> while at berth </w:t>
            </w:r>
          </w:p>
        </w:tc>
        <w:tc>
          <w:tcPr>
            <w:tcW w:w="939" w:type="pct"/>
            <w:tcBorders>
              <w:top w:val="nil"/>
              <w:left w:val="nil"/>
              <w:bottom w:val="single" w:sz="4" w:space="0" w:color="auto"/>
              <w:right w:val="single" w:sz="4" w:space="0" w:color="auto"/>
            </w:tcBorders>
            <w:shd w:val="clear" w:color="auto" w:fill="auto"/>
            <w:vAlign w:val="center"/>
            <w:hideMark/>
          </w:tcPr>
          <w:p w:rsidR="00EA55C2" w:rsidRPr="00EA55C2" w:rsidRDefault="00EA55C2" w:rsidP="00EA55C2">
            <w:pPr>
              <w:rPr>
                <w:rFonts w:ascii="Gautami" w:eastAsia="Times New Roman" w:hAnsi="Gautami"/>
                <w:color w:val="000000"/>
                <w:sz w:val="20"/>
                <w:szCs w:val="20"/>
              </w:rPr>
            </w:pPr>
            <w:r w:rsidRPr="00EA55C2">
              <w:rPr>
                <w:rFonts w:ascii="Gautami" w:eastAsia="Times New Roman" w:hAnsi="Gautami"/>
                <w:color w:val="000000"/>
                <w:sz w:val="20"/>
                <w:szCs w:val="20"/>
              </w:rPr>
              <w:t>allowable as per GB3552-2018 requirements</w:t>
            </w:r>
          </w:p>
        </w:tc>
        <w:tc>
          <w:tcPr>
            <w:tcW w:w="901" w:type="pct"/>
            <w:tcBorders>
              <w:top w:val="nil"/>
              <w:left w:val="nil"/>
              <w:bottom w:val="single" w:sz="4" w:space="0" w:color="auto"/>
              <w:right w:val="single" w:sz="4" w:space="0" w:color="auto"/>
            </w:tcBorders>
            <w:shd w:val="clear" w:color="auto" w:fill="auto"/>
            <w:vAlign w:val="center"/>
            <w:hideMark/>
          </w:tcPr>
          <w:p w:rsidR="00EA55C2" w:rsidRPr="00EA55C2" w:rsidRDefault="00EA55C2" w:rsidP="00EA55C2">
            <w:pPr>
              <w:rPr>
                <w:rFonts w:ascii="Gautami" w:eastAsia="Times New Roman" w:hAnsi="Gautami"/>
                <w:color w:val="000000"/>
                <w:sz w:val="20"/>
                <w:szCs w:val="20"/>
              </w:rPr>
            </w:pPr>
            <w:r w:rsidRPr="00EA55C2">
              <w:rPr>
                <w:rFonts w:ascii="Gautami" w:eastAsia="Times New Roman" w:hAnsi="Gautami"/>
                <w:color w:val="000000"/>
                <w:sz w:val="20"/>
                <w:szCs w:val="20"/>
              </w:rPr>
              <w:t>allowable as per GB3552-2018 requirements</w:t>
            </w:r>
          </w:p>
        </w:tc>
        <w:tc>
          <w:tcPr>
            <w:tcW w:w="1364" w:type="pct"/>
            <w:tcBorders>
              <w:top w:val="nil"/>
              <w:left w:val="nil"/>
              <w:bottom w:val="single" w:sz="4" w:space="0" w:color="auto"/>
              <w:right w:val="single" w:sz="4" w:space="0" w:color="auto"/>
            </w:tcBorders>
            <w:shd w:val="clear" w:color="auto" w:fill="auto"/>
            <w:vAlign w:val="center"/>
            <w:hideMark/>
          </w:tcPr>
          <w:p w:rsidR="00EA55C2" w:rsidRPr="00EA55C2" w:rsidRDefault="00EA55C2" w:rsidP="00EA55C2">
            <w:pPr>
              <w:rPr>
                <w:rFonts w:ascii="Gautami" w:eastAsia="Times New Roman" w:hAnsi="Gautami"/>
                <w:color w:val="000000"/>
                <w:sz w:val="20"/>
                <w:szCs w:val="20"/>
              </w:rPr>
            </w:pPr>
            <w:r w:rsidRPr="00EA55C2">
              <w:rPr>
                <w:rFonts w:ascii="Gautami" w:eastAsia="Times New Roman" w:hAnsi="Gautami"/>
                <w:color w:val="000000"/>
                <w:sz w:val="20"/>
                <w:szCs w:val="20"/>
              </w:rPr>
              <w:t xml:space="preserve">Local officer may come onboard to check whether the </w:t>
            </w:r>
            <w:proofErr w:type="spellStart"/>
            <w:r w:rsidRPr="00EA55C2">
              <w:rPr>
                <w:rFonts w:ascii="Gautami" w:eastAsia="Times New Roman" w:hAnsi="Gautami"/>
                <w:color w:val="000000"/>
                <w:sz w:val="20"/>
                <w:szCs w:val="20"/>
              </w:rPr>
              <w:t>Seawage</w:t>
            </w:r>
            <w:proofErr w:type="spellEnd"/>
            <w:r w:rsidRPr="00EA55C2">
              <w:rPr>
                <w:rFonts w:ascii="Gautami" w:eastAsia="Times New Roman" w:hAnsi="Gautami"/>
                <w:color w:val="000000"/>
                <w:sz w:val="20"/>
                <w:szCs w:val="20"/>
              </w:rPr>
              <w:t xml:space="preserve"> treatment plan and relevant records onboard are in compliance </w:t>
            </w:r>
          </w:p>
        </w:tc>
      </w:tr>
      <w:tr w:rsidR="00EA55C2" w:rsidRPr="00EA55C2" w:rsidTr="00EA55C2">
        <w:trPr>
          <w:trHeight w:val="1362"/>
        </w:trPr>
        <w:tc>
          <w:tcPr>
            <w:tcW w:w="558" w:type="pct"/>
            <w:tcBorders>
              <w:top w:val="nil"/>
              <w:left w:val="single" w:sz="4" w:space="0" w:color="auto"/>
              <w:bottom w:val="single" w:sz="4" w:space="0" w:color="auto"/>
              <w:right w:val="single" w:sz="4" w:space="0" w:color="auto"/>
            </w:tcBorders>
            <w:shd w:val="clear" w:color="auto" w:fill="auto"/>
            <w:vAlign w:val="center"/>
            <w:hideMark/>
          </w:tcPr>
          <w:p w:rsidR="00EA55C2" w:rsidRPr="00EA55C2" w:rsidRDefault="00EA55C2" w:rsidP="00EA55C2">
            <w:pPr>
              <w:rPr>
                <w:rFonts w:ascii="Gautami" w:eastAsia="Times New Roman" w:hAnsi="Gautami"/>
                <w:color w:val="000000"/>
                <w:sz w:val="20"/>
                <w:szCs w:val="20"/>
              </w:rPr>
            </w:pPr>
            <w:r w:rsidRPr="00EA55C2">
              <w:rPr>
                <w:rFonts w:ascii="Gautami" w:eastAsia="Times New Roman" w:hAnsi="Gautami"/>
                <w:color w:val="000000"/>
                <w:sz w:val="20"/>
                <w:szCs w:val="20"/>
              </w:rPr>
              <w:t>Shanghai</w:t>
            </w:r>
          </w:p>
        </w:tc>
        <w:tc>
          <w:tcPr>
            <w:tcW w:w="1237" w:type="pct"/>
            <w:tcBorders>
              <w:top w:val="nil"/>
              <w:left w:val="nil"/>
              <w:bottom w:val="single" w:sz="4" w:space="0" w:color="auto"/>
              <w:right w:val="single" w:sz="4" w:space="0" w:color="auto"/>
            </w:tcBorders>
            <w:shd w:val="clear" w:color="auto" w:fill="auto"/>
            <w:vAlign w:val="center"/>
            <w:hideMark/>
          </w:tcPr>
          <w:p w:rsidR="00EA55C2" w:rsidRPr="00EA55C2" w:rsidRDefault="00EA55C2" w:rsidP="00EA55C2">
            <w:pPr>
              <w:rPr>
                <w:rFonts w:ascii="Gautami" w:eastAsia="Times New Roman" w:hAnsi="Gautami"/>
                <w:color w:val="000000"/>
                <w:sz w:val="20"/>
                <w:szCs w:val="20"/>
              </w:rPr>
            </w:pPr>
            <w:r w:rsidRPr="00EA55C2">
              <w:rPr>
                <w:rFonts w:ascii="Gautami" w:eastAsia="Times New Roman" w:hAnsi="Gautami"/>
                <w:color w:val="000000"/>
                <w:sz w:val="20"/>
                <w:szCs w:val="20"/>
              </w:rPr>
              <w:t xml:space="preserve">allowable as per GB3552-2018 requirements; only when vessel in </w:t>
            </w:r>
            <w:proofErr w:type="spellStart"/>
            <w:r w:rsidRPr="00EA55C2">
              <w:rPr>
                <w:rFonts w:ascii="Gautami" w:eastAsia="Times New Roman" w:hAnsi="Gautami"/>
                <w:color w:val="000000"/>
                <w:sz w:val="20"/>
                <w:szCs w:val="20"/>
              </w:rPr>
              <w:t>manuvuering</w:t>
            </w:r>
            <w:proofErr w:type="spellEnd"/>
            <w:r w:rsidRPr="00EA55C2">
              <w:rPr>
                <w:rFonts w:ascii="Gautami" w:eastAsia="Times New Roman" w:hAnsi="Gautami"/>
                <w:color w:val="000000"/>
                <w:sz w:val="20"/>
                <w:szCs w:val="20"/>
              </w:rPr>
              <w:t xml:space="preserve">; </w:t>
            </w:r>
            <w:proofErr w:type="spellStart"/>
            <w:r w:rsidRPr="00EA55C2">
              <w:rPr>
                <w:rFonts w:ascii="Gautami" w:eastAsia="Times New Roman" w:hAnsi="Gautami"/>
                <w:color w:val="000000"/>
                <w:sz w:val="20"/>
                <w:szCs w:val="20"/>
              </w:rPr>
              <w:t>prohibitted</w:t>
            </w:r>
            <w:proofErr w:type="spellEnd"/>
            <w:r w:rsidRPr="00EA55C2">
              <w:rPr>
                <w:rFonts w:ascii="Gautami" w:eastAsia="Times New Roman" w:hAnsi="Gautami"/>
                <w:color w:val="000000"/>
                <w:sz w:val="20"/>
                <w:szCs w:val="20"/>
              </w:rPr>
              <w:t xml:space="preserve"> while at berth </w:t>
            </w:r>
          </w:p>
        </w:tc>
        <w:tc>
          <w:tcPr>
            <w:tcW w:w="939" w:type="pct"/>
            <w:tcBorders>
              <w:top w:val="nil"/>
              <w:left w:val="nil"/>
              <w:bottom w:val="single" w:sz="4" w:space="0" w:color="auto"/>
              <w:right w:val="single" w:sz="4" w:space="0" w:color="auto"/>
            </w:tcBorders>
            <w:shd w:val="clear" w:color="auto" w:fill="auto"/>
            <w:vAlign w:val="center"/>
            <w:hideMark/>
          </w:tcPr>
          <w:p w:rsidR="00EA55C2" w:rsidRPr="00EA55C2" w:rsidRDefault="00EA55C2" w:rsidP="00EA55C2">
            <w:pPr>
              <w:rPr>
                <w:rFonts w:ascii="Gautami" w:eastAsia="Times New Roman" w:hAnsi="Gautami"/>
                <w:color w:val="000000"/>
                <w:sz w:val="20"/>
                <w:szCs w:val="20"/>
              </w:rPr>
            </w:pPr>
            <w:r w:rsidRPr="00EA55C2">
              <w:rPr>
                <w:rFonts w:ascii="Gautami" w:eastAsia="Times New Roman" w:hAnsi="Gautami"/>
                <w:color w:val="000000"/>
                <w:sz w:val="20"/>
                <w:szCs w:val="20"/>
              </w:rPr>
              <w:t>allowable as per GB3552-2018 requirements</w:t>
            </w:r>
          </w:p>
        </w:tc>
        <w:tc>
          <w:tcPr>
            <w:tcW w:w="901" w:type="pct"/>
            <w:tcBorders>
              <w:top w:val="nil"/>
              <w:left w:val="nil"/>
              <w:bottom w:val="single" w:sz="4" w:space="0" w:color="auto"/>
              <w:right w:val="single" w:sz="4" w:space="0" w:color="auto"/>
            </w:tcBorders>
            <w:shd w:val="clear" w:color="auto" w:fill="auto"/>
            <w:vAlign w:val="center"/>
            <w:hideMark/>
          </w:tcPr>
          <w:p w:rsidR="00EA55C2" w:rsidRPr="00EA55C2" w:rsidRDefault="00EA55C2" w:rsidP="00EA55C2">
            <w:pPr>
              <w:rPr>
                <w:rFonts w:ascii="Gautami" w:eastAsia="Times New Roman" w:hAnsi="Gautami"/>
                <w:color w:val="000000"/>
                <w:sz w:val="20"/>
                <w:szCs w:val="20"/>
              </w:rPr>
            </w:pPr>
            <w:r w:rsidRPr="00EA55C2">
              <w:rPr>
                <w:rFonts w:ascii="Gautami" w:eastAsia="Times New Roman" w:hAnsi="Gautami"/>
                <w:color w:val="000000"/>
                <w:sz w:val="20"/>
                <w:szCs w:val="20"/>
              </w:rPr>
              <w:t>allowable as per GB3552-2018 requirements</w:t>
            </w:r>
          </w:p>
        </w:tc>
        <w:tc>
          <w:tcPr>
            <w:tcW w:w="1364" w:type="pct"/>
            <w:tcBorders>
              <w:top w:val="nil"/>
              <w:left w:val="nil"/>
              <w:bottom w:val="single" w:sz="4" w:space="0" w:color="auto"/>
              <w:right w:val="single" w:sz="4" w:space="0" w:color="auto"/>
            </w:tcBorders>
            <w:shd w:val="clear" w:color="auto" w:fill="auto"/>
            <w:vAlign w:val="center"/>
            <w:hideMark/>
          </w:tcPr>
          <w:p w:rsidR="00EA55C2" w:rsidRPr="00EA55C2" w:rsidRDefault="00EA55C2" w:rsidP="00EA55C2">
            <w:pPr>
              <w:rPr>
                <w:rFonts w:ascii="Gautami" w:eastAsia="Times New Roman" w:hAnsi="Gautami"/>
                <w:color w:val="000000"/>
                <w:sz w:val="20"/>
                <w:szCs w:val="20"/>
              </w:rPr>
            </w:pPr>
            <w:r w:rsidRPr="00EA55C2">
              <w:rPr>
                <w:rFonts w:ascii="Gautami" w:eastAsia="Times New Roman" w:hAnsi="Gautami"/>
                <w:color w:val="000000"/>
                <w:sz w:val="20"/>
                <w:szCs w:val="20"/>
              </w:rPr>
              <w:t xml:space="preserve">Local officer may come onboard to check whether the </w:t>
            </w:r>
            <w:proofErr w:type="spellStart"/>
            <w:r w:rsidRPr="00EA55C2">
              <w:rPr>
                <w:rFonts w:ascii="Gautami" w:eastAsia="Times New Roman" w:hAnsi="Gautami"/>
                <w:color w:val="000000"/>
                <w:sz w:val="20"/>
                <w:szCs w:val="20"/>
              </w:rPr>
              <w:t>Seawage</w:t>
            </w:r>
            <w:proofErr w:type="spellEnd"/>
            <w:r w:rsidRPr="00EA55C2">
              <w:rPr>
                <w:rFonts w:ascii="Gautami" w:eastAsia="Times New Roman" w:hAnsi="Gautami"/>
                <w:color w:val="000000"/>
                <w:sz w:val="20"/>
                <w:szCs w:val="20"/>
              </w:rPr>
              <w:t xml:space="preserve"> treatment plan and relevant records onboard are in compliance </w:t>
            </w:r>
          </w:p>
        </w:tc>
      </w:tr>
      <w:tr w:rsidR="00EA55C2" w:rsidRPr="00EA55C2" w:rsidTr="00EA55C2">
        <w:trPr>
          <w:trHeight w:val="762"/>
        </w:trPr>
        <w:tc>
          <w:tcPr>
            <w:tcW w:w="558" w:type="pct"/>
            <w:tcBorders>
              <w:top w:val="nil"/>
              <w:left w:val="single" w:sz="4" w:space="0" w:color="auto"/>
              <w:bottom w:val="single" w:sz="4" w:space="0" w:color="auto"/>
              <w:right w:val="single" w:sz="4" w:space="0" w:color="auto"/>
            </w:tcBorders>
            <w:shd w:val="clear" w:color="auto" w:fill="auto"/>
            <w:vAlign w:val="center"/>
            <w:hideMark/>
          </w:tcPr>
          <w:p w:rsidR="00EA55C2" w:rsidRPr="00EA55C2" w:rsidRDefault="00EA55C2" w:rsidP="00EA55C2">
            <w:pPr>
              <w:rPr>
                <w:rFonts w:ascii="Gautami" w:eastAsia="Times New Roman" w:hAnsi="Gautami"/>
                <w:color w:val="000000"/>
                <w:sz w:val="20"/>
                <w:szCs w:val="20"/>
              </w:rPr>
            </w:pPr>
            <w:proofErr w:type="spellStart"/>
            <w:r w:rsidRPr="00EA55C2">
              <w:rPr>
                <w:rFonts w:ascii="Gautami" w:eastAsia="Times New Roman" w:hAnsi="Gautami"/>
                <w:color w:val="000000"/>
                <w:sz w:val="20"/>
                <w:szCs w:val="20"/>
              </w:rPr>
              <w:t>Taicang</w:t>
            </w:r>
            <w:proofErr w:type="spellEnd"/>
          </w:p>
        </w:tc>
        <w:tc>
          <w:tcPr>
            <w:tcW w:w="1237" w:type="pct"/>
            <w:tcBorders>
              <w:top w:val="nil"/>
              <w:left w:val="nil"/>
              <w:bottom w:val="single" w:sz="4" w:space="0" w:color="auto"/>
              <w:right w:val="single" w:sz="4" w:space="0" w:color="auto"/>
            </w:tcBorders>
            <w:shd w:val="clear" w:color="auto" w:fill="auto"/>
            <w:vAlign w:val="center"/>
            <w:hideMark/>
          </w:tcPr>
          <w:p w:rsidR="00EA55C2" w:rsidRPr="00EA55C2" w:rsidRDefault="00EA55C2" w:rsidP="00EA55C2">
            <w:pPr>
              <w:jc w:val="center"/>
              <w:rPr>
                <w:rFonts w:ascii="Gautami" w:eastAsia="Times New Roman" w:hAnsi="Gautami"/>
                <w:color w:val="000000"/>
                <w:sz w:val="20"/>
                <w:szCs w:val="20"/>
              </w:rPr>
            </w:pPr>
            <w:r w:rsidRPr="00EA55C2">
              <w:rPr>
                <w:rFonts w:ascii="Gautami" w:eastAsia="Times New Roman" w:hAnsi="Gautami"/>
                <w:color w:val="000000"/>
                <w:sz w:val="20"/>
                <w:szCs w:val="20"/>
              </w:rPr>
              <w:t>N/A</w:t>
            </w:r>
          </w:p>
        </w:tc>
        <w:tc>
          <w:tcPr>
            <w:tcW w:w="939" w:type="pct"/>
            <w:tcBorders>
              <w:top w:val="nil"/>
              <w:left w:val="nil"/>
              <w:bottom w:val="single" w:sz="4" w:space="0" w:color="auto"/>
              <w:right w:val="single" w:sz="4" w:space="0" w:color="auto"/>
            </w:tcBorders>
            <w:shd w:val="clear" w:color="auto" w:fill="auto"/>
            <w:vAlign w:val="center"/>
            <w:hideMark/>
          </w:tcPr>
          <w:p w:rsidR="00EA55C2" w:rsidRPr="00EA55C2" w:rsidRDefault="00EA55C2" w:rsidP="00EA55C2">
            <w:pPr>
              <w:jc w:val="center"/>
              <w:rPr>
                <w:rFonts w:ascii="Gautami" w:eastAsia="Times New Roman" w:hAnsi="Gautami"/>
                <w:color w:val="000000"/>
                <w:sz w:val="20"/>
                <w:szCs w:val="20"/>
              </w:rPr>
            </w:pPr>
            <w:r w:rsidRPr="00EA55C2">
              <w:rPr>
                <w:rFonts w:ascii="Gautami" w:eastAsia="Times New Roman" w:hAnsi="Gautami"/>
                <w:color w:val="000000"/>
                <w:sz w:val="20"/>
                <w:szCs w:val="20"/>
              </w:rPr>
              <w:t>N/A</w:t>
            </w:r>
          </w:p>
        </w:tc>
        <w:tc>
          <w:tcPr>
            <w:tcW w:w="901" w:type="pct"/>
            <w:tcBorders>
              <w:top w:val="nil"/>
              <w:left w:val="nil"/>
              <w:bottom w:val="single" w:sz="4" w:space="0" w:color="auto"/>
              <w:right w:val="single" w:sz="4" w:space="0" w:color="auto"/>
            </w:tcBorders>
            <w:shd w:val="clear" w:color="auto" w:fill="auto"/>
            <w:vAlign w:val="center"/>
            <w:hideMark/>
          </w:tcPr>
          <w:p w:rsidR="00EA55C2" w:rsidRPr="00EA55C2" w:rsidRDefault="00EA55C2" w:rsidP="00EA55C2">
            <w:pPr>
              <w:jc w:val="center"/>
              <w:rPr>
                <w:rFonts w:ascii="Gautami" w:eastAsia="Times New Roman" w:hAnsi="Gautami"/>
                <w:color w:val="000000"/>
                <w:sz w:val="20"/>
                <w:szCs w:val="20"/>
              </w:rPr>
            </w:pPr>
            <w:r w:rsidRPr="00EA55C2">
              <w:rPr>
                <w:rFonts w:ascii="Gautami" w:eastAsia="Times New Roman" w:hAnsi="Gautami"/>
                <w:color w:val="000000"/>
                <w:sz w:val="20"/>
                <w:szCs w:val="20"/>
              </w:rPr>
              <w:t>N/A</w:t>
            </w:r>
          </w:p>
        </w:tc>
        <w:tc>
          <w:tcPr>
            <w:tcW w:w="1364" w:type="pct"/>
            <w:tcBorders>
              <w:top w:val="nil"/>
              <w:left w:val="nil"/>
              <w:bottom w:val="single" w:sz="4" w:space="0" w:color="auto"/>
              <w:right w:val="single" w:sz="4" w:space="0" w:color="auto"/>
            </w:tcBorders>
            <w:shd w:val="clear" w:color="auto" w:fill="auto"/>
            <w:vAlign w:val="center"/>
            <w:hideMark/>
          </w:tcPr>
          <w:p w:rsidR="00EA55C2" w:rsidRPr="00EA55C2" w:rsidRDefault="00EA55C2" w:rsidP="00EA55C2">
            <w:pPr>
              <w:rPr>
                <w:rFonts w:ascii="Gautami" w:eastAsia="Times New Roman" w:hAnsi="Gautami"/>
                <w:color w:val="000000"/>
                <w:sz w:val="20"/>
                <w:szCs w:val="20"/>
              </w:rPr>
            </w:pPr>
            <w:r w:rsidRPr="00EA55C2">
              <w:rPr>
                <w:rFonts w:ascii="Gautami" w:eastAsia="Times New Roman" w:hAnsi="Gautami"/>
                <w:color w:val="000000"/>
                <w:sz w:val="20"/>
                <w:szCs w:val="20"/>
              </w:rPr>
              <w:t xml:space="preserve">Belongs to Yangtze River where discharging of </w:t>
            </w:r>
            <w:proofErr w:type="spellStart"/>
            <w:r w:rsidRPr="00EA55C2">
              <w:rPr>
                <w:rFonts w:ascii="Gautami" w:eastAsia="Times New Roman" w:hAnsi="Gautami"/>
                <w:color w:val="000000"/>
                <w:sz w:val="20"/>
                <w:szCs w:val="20"/>
              </w:rPr>
              <w:t>seawage</w:t>
            </w:r>
            <w:proofErr w:type="spellEnd"/>
            <w:r w:rsidRPr="00EA55C2">
              <w:rPr>
                <w:rFonts w:ascii="Gautami" w:eastAsia="Times New Roman" w:hAnsi="Gautami"/>
                <w:color w:val="000000"/>
                <w:sz w:val="20"/>
                <w:szCs w:val="20"/>
              </w:rPr>
              <w:t xml:space="preserve"> water </w:t>
            </w:r>
            <w:proofErr w:type="spellStart"/>
            <w:r w:rsidRPr="00EA55C2">
              <w:rPr>
                <w:rFonts w:ascii="Gautami" w:eastAsia="Times New Roman" w:hAnsi="Gautami"/>
                <w:color w:val="000000"/>
                <w:sz w:val="20"/>
                <w:szCs w:val="20"/>
              </w:rPr>
              <w:t>prohibitted</w:t>
            </w:r>
            <w:proofErr w:type="spellEnd"/>
          </w:p>
        </w:tc>
      </w:tr>
      <w:tr w:rsidR="00EA55C2" w:rsidRPr="00EA55C2" w:rsidTr="00EA55C2">
        <w:trPr>
          <w:trHeight w:val="765"/>
        </w:trPr>
        <w:tc>
          <w:tcPr>
            <w:tcW w:w="558" w:type="pct"/>
            <w:tcBorders>
              <w:top w:val="nil"/>
              <w:left w:val="single" w:sz="4" w:space="0" w:color="auto"/>
              <w:bottom w:val="single" w:sz="4" w:space="0" w:color="auto"/>
              <w:right w:val="single" w:sz="4" w:space="0" w:color="auto"/>
            </w:tcBorders>
            <w:shd w:val="clear" w:color="auto" w:fill="auto"/>
            <w:vAlign w:val="center"/>
            <w:hideMark/>
          </w:tcPr>
          <w:p w:rsidR="00EA55C2" w:rsidRPr="00EA55C2" w:rsidRDefault="00EA55C2" w:rsidP="00EA55C2">
            <w:pPr>
              <w:rPr>
                <w:rFonts w:ascii="Gautami" w:eastAsia="Times New Roman" w:hAnsi="Gautami"/>
                <w:color w:val="000000"/>
                <w:sz w:val="20"/>
                <w:szCs w:val="20"/>
              </w:rPr>
            </w:pPr>
            <w:proofErr w:type="spellStart"/>
            <w:r w:rsidRPr="00EA55C2">
              <w:rPr>
                <w:rFonts w:ascii="Gautami" w:eastAsia="Times New Roman" w:hAnsi="Gautami"/>
                <w:color w:val="000000"/>
                <w:sz w:val="20"/>
                <w:szCs w:val="20"/>
              </w:rPr>
              <w:t>Zhoushan</w:t>
            </w:r>
            <w:proofErr w:type="spellEnd"/>
          </w:p>
        </w:tc>
        <w:tc>
          <w:tcPr>
            <w:tcW w:w="1237" w:type="pct"/>
            <w:tcBorders>
              <w:top w:val="nil"/>
              <w:left w:val="nil"/>
              <w:bottom w:val="single" w:sz="4" w:space="0" w:color="auto"/>
              <w:right w:val="single" w:sz="4" w:space="0" w:color="auto"/>
            </w:tcBorders>
            <w:shd w:val="clear" w:color="auto" w:fill="auto"/>
            <w:vAlign w:val="center"/>
            <w:hideMark/>
          </w:tcPr>
          <w:p w:rsidR="00EA55C2" w:rsidRPr="00EA55C2" w:rsidRDefault="00EA55C2" w:rsidP="00EA55C2">
            <w:pPr>
              <w:rPr>
                <w:rFonts w:ascii="Gautami" w:eastAsia="Times New Roman" w:hAnsi="Gautami"/>
                <w:color w:val="000000"/>
                <w:sz w:val="20"/>
                <w:szCs w:val="20"/>
              </w:rPr>
            </w:pPr>
            <w:r w:rsidRPr="00EA55C2">
              <w:rPr>
                <w:rFonts w:ascii="Gautami" w:eastAsia="Times New Roman" w:hAnsi="Gautami"/>
                <w:color w:val="000000"/>
                <w:sz w:val="20"/>
                <w:szCs w:val="20"/>
              </w:rPr>
              <w:t xml:space="preserve">allowable as per GB3552-2018 requirements; only when vessel in </w:t>
            </w:r>
            <w:proofErr w:type="spellStart"/>
            <w:r w:rsidRPr="00EA55C2">
              <w:rPr>
                <w:rFonts w:ascii="Gautami" w:eastAsia="Times New Roman" w:hAnsi="Gautami"/>
                <w:color w:val="000000"/>
                <w:sz w:val="20"/>
                <w:szCs w:val="20"/>
              </w:rPr>
              <w:t>manuvuering</w:t>
            </w:r>
            <w:proofErr w:type="spellEnd"/>
            <w:r w:rsidRPr="00EA55C2">
              <w:rPr>
                <w:rFonts w:ascii="Gautami" w:eastAsia="Times New Roman" w:hAnsi="Gautami"/>
                <w:color w:val="000000"/>
                <w:sz w:val="20"/>
                <w:szCs w:val="20"/>
              </w:rPr>
              <w:t xml:space="preserve">; </w:t>
            </w:r>
            <w:proofErr w:type="spellStart"/>
            <w:r w:rsidRPr="00EA55C2">
              <w:rPr>
                <w:rFonts w:ascii="Gautami" w:eastAsia="Times New Roman" w:hAnsi="Gautami"/>
                <w:color w:val="000000"/>
                <w:sz w:val="20"/>
                <w:szCs w:val="20"/>
              </w:rPr>
              <w:t>prohibitted</w:t>
            </w:r>
            <w:proofErr w:type="spellEnd"/>
            <w:r w:rsidRPr="00EA55C2">
              <w:rPr>
                <w:rFonts w:ascii="Gautami" w:eastAsia="Times New Roman" w:hAnsi="Gautami"/>
                <w:color w:val="000000"/>
                <w:sz w:val="20"/>
                <w:szCs w:val="20"/>
              </w:rPr>
              <w:t xml:space="preserve"> while at berth </w:t>
            </w:r>
          </w:p>
        </w:tc>
        <w:tc>
          <w:tcPr>
            <w:tcW w:w="939" w:type="pct"/>
            <w:tcBorders>
              <w:top w:val="nil"/>
              <w:left w:val="nil"/>
              <w:bottom w:val="single" w:sz="4" w:space="0" w:color="auto"/>
              <w:right w:val="single" w:sz="4" w:space="0" w:color="auto"/>
            </w:tcBorders>
            <w:shd w:val="clear" w:color="auto" w:fill="auto"/>
            <w:vAlign w:val="center"/>
            <w:hideMark/>
          </w:tcPr>
          <w:p w:rsidR="00EA55C2" w:rsidRPr="00EA55C2" w:rsidRDefault="00EA55C2" w:rsidP="00EA55C2">
            <w:pPr>
              <w:rPr>
                <w:rFonts w:ascii="Gautami" w:eastAsia="Times New Roman" w:hAnsi="Gautami"/>
                <w:color w:val="000000"/>
                <w:sz w:val="20"/>
                <w:szCs w:val="20"/>
              </w:rPr>
            </w:pPr>
            <w:r w:rsidRPr="00EA55C2">
              <w:rPr>
                <w:rFonts w:ascii="Gautami" w:eastAsia="Times New Roman" w:hAnsi="Gautami"/>
                <w:color w:val="000000"/>
                <w:sz w:val="20"/>
                <w:szCs w:val="20"/>
              </w:rPr>
              <w:t>allowable as per GB3552-2018 requirements</w:t>
            </w:r>
          </w:p>
        </w:tc>
        <w:tc>
          <w:tcPr>
            <w:tcW w:w="901" w:type="pct"/>
            <w:tcBorders>
              <w:top w:val="nil"/>
              <w:left w:val="nil"/>
              <w:bottom w:val="single" w:sz="4" w:space="0" w:color="auto"/>
              <w:right w:val="single" w:sz="4" w:space="0" w:color="auto"/>
            </w:tcBorders>
            <w:shd w:val="clear" w:color="auto" w:fill="auto"/>
            <w:vAlign w:val="center"/>
            <w:hideMark/>
          </w:tcPr>
          <w:p w:rsidR="00EA55C2" w:rsidRPr="00EA55C2" w:rsidRDefault="00EA55C2" w:rsidP="00EA55C2">
            <w:pPr>
              <w:rPr>
                <w:rFonts w:ascii="Gautami" w:eastAsia="Times New Roman" w:hAnsi="Gautami"/>
                <w:color w:val="000000"/>
                <w:sz w:val="20"/>
                <w:szCs w:val="20"/>
              </w:rPr>
            </w:pPr>
            <w:r w:rsidRPr="00EA55C2">
              <w:rPr>
                <w:rFonts w:ascii="Gautami" w:eastAsia="Times New Roman" w:hAnsi="Gautami"/>
                <w:color w:val="000000"/>
                <w:sz w:val="20"/>
                <w:szCs w:val="20"/>
              </w:rPr>
              <w:t>allowable as per GB3552-2018 requirements</w:t>
            </w:r>
          </w:p>
        </w:tc>
        <w:tc>
          <w:tcPr>
            <w:tcW w:w="1364" w:type="pct"/>
            <w:tcBorders>
              <w:top w:val="nil"/>
              <w:left w:val="nil"/>
              <w:bottom w:val="single" w:sz="4" w:space="0" w:color="auto"/>
              <w:right w:val="single" w:sz="4" w:space="0" w:color="auto"/>
            </w:tcBorders>
            <w:shd w:val="clear" w:color="auto" w:fill="auto"/>
            <w:vAlign w:val="center"/>
            <w:hideMark/>
          </w:tcPr>
          <w:p w:rsidR="00EA55C2" w:rsidRPr="00EA55C2" w:rsidRDefault="00EA55C2" w:rsidP="00EA55C2">
            <w:pPr>
              <w:rPr>
                <w:rFonts w:ascii="Gautami" w:eastAsia="Times New Roman" w:hAnsi="Gautami"/>
                <w:color w:val="000000"/>
                <w:sz w:val="20"/>
                <w:szCs w:val="20"/>
              </w:rPr>
            </w:pPr>
            <w:r w:rsidRPr="00EA55C2">
              <w:rPr>
                <w:rFonts w:ascii="Gautami" w:eastAsia="Times New Roman" w:hAnsi="Gautami"/>
                <w:color w:val="000000"/>
                <w:sz w:val="20"/>
                <w:szCs w:val="20"/>
              </w:rPr>
              <w:t xml:space="preserve">Local officer may come onboard to check whether the </w:t>
            </w:r>
            <w:proofErr w:type="spellStart"/>
            <w:r w:rsidRPr="00EA55C2">
              <w:rPr>
                <w:rFonts w:ascii="Gautami" w:eastAsia="Times New Roman" w:hAnsi="Gautami"/>
                <w:color w:val="000000"/>
                <w:sz w:val="20"/>
                <w:szCs w:val="20"/>
              </w:rPr>
              <w:t>Seawage</w:t>
            </w:r>
            <w:proofErr w:type="spellEnd"/>
            <w:r w:rsidRPr="00EA55C2">
              <w:rPr>
                <w:rFonts w:ascii="Gautami" w:eastAsia="Times New Roman" w:hAnsi="Gautami"/>
                <w:color w:val="000000"/>
                <w:sz w:val="20"/>
                <w:szCs w:val="20"/>
              </w:rPr>
              <w:t xml:space="preserve"> treatment plan and relevant records onboard are in compliance </w:t>
            </w:r>
          </w:p>
        </w:tc>
      </w:tr>
      <w:tr w:rsidR="00EA55C2" w:rsidRPr="00EA55C2" w:rsidTr="00EA55C2">
        <w:trPr>
          <w:trHeight w:val="1260"/>
        </w:trPr>
        <w:tc>
          <w:tcPr>
            <w:tcW w:w="558" w:type="pct"/>
            <w:tcBorders>
              <w:top w:val="nil"/>
              <w:left w:val="single" w:sz="4" w:space="0" w:color="auto"/>
              <w:bottom w:val="nil"/>
              <w:right w:val="nil"/>
            </w:tcBorders>
            <w:shd w:val="clear" w:color="auto" w:fill="auto"/>
            <w:vAlign w:val="center"/>
            <w:hideMark/>
          </w:tcPr>
          <w:p w:rsidR="00EA55C2" w:rsidRPr="00EA55C2" w:rsidRDefault="00EA55C2" w:rsidP="00EA55C2">
            <w:pPr>
              <w:rPr>
                <w:rFonts w:ascii="Gautami" w:eastAsia="Times New Roman" w:hAnsi="Gautami"/>
                <w:color w:val="000000"/>
                <w:sz w:val="20"/>
                <w:szCs w:val="20"/>
              </w:rPr>
            </w:pPr>
            <w:proofErr w:type="spellStart"/>
            <w:r w:rsidRPr="00EA55C2">
              <w:rPr>
                <w:rFonts w:ascii="Gautami" w:eastAsia="Times New Roman" w:hAnsi="Gautami"/>
                <w:color w:val="000000"/>
                <w:sz w:val="20"/>
                <w:szCs w:val="20"/>
              </w:rPr>
              <w:t>Beilun</w:t>
            </w:r>
            <w:proofErr w:type="spellEnd"/>
          </w:p>
        </w:tc>
        <w:tc>
          <w:tcPr>
            <w:tcW w:w="1237" w:type="pct"/>
            <w:tcBorders>
              <w:top w:val="nil"/>
              <w:left w:val="single" w:sz="4" w:space="0" w:color="auto"/>
              <w:bottom w:val="single" w:sz="4" w:space="0" w:color="auto"/>
              <w:right w:val="single" w:sz="4" w:space="0" w:color="auto"/>
            </w:tcBorders>
            <w:shd w:val="clear" w:color="auto" w:fill="auto"/>
            <w:vAlign w:val="center"/>
            <w:hideMark/>
          </w:tcPr>
          <w:p w:rsidR="00EA55C2" w:rsidRPr="00EA55C2" w:rsidRDefault="00EA55C2" w:rsidP="00EA55C2">
            <w:pPr>
              <w:rPr>
                <w:rFonts w:ascii="Gautami" w:eastAsia="Times New Roman" w:hAnsi="Gautami"/>
                <w:color w:val="000000"/>
                <w:sz w:val="20"/>
                <w:szCs w:val="20"/>
              </w:rPr>
            </w:pPr>
            <w:r w:rsidRPr="00EA55C2">
              <w:rPr>
                <w:rFonts w:ascii="Gautami" w:eastAsia="Times New Roman" w:hAnsi="Gautami"/>
                <w:color w:val="000000"/>
                <w:sz w:val="20"/>
                <w:szCs w:val="20"/>
              </w:rPr>
              <w:t xml:space="preserve">allowable as per GB3552-2018 requirements; only when vessel in </w:t>
            </w:r>
            <w:proofErr w:type="spellStart"/>
            <w:r w:rsidRPr="00EA55C2">
              <w:rPr>
                <w:rFonts w:ascii="Gautami" w:eastAsia="Times New Roman" w:hAnsi="Gautami"/>
                <w:color w:val="000000"/>
                <w:sz w:val="20"/>
                <w:szCs w:val="20"/>
              </w:rPr>
              <w:t>manuvuering</w:t>
            </w:r>
            <w:proofErr w:type="spellEnd"/>
            <w:r w:rsidRPr="00EA55C2">
              <w:rPr>
                <w:rFonts w:ascii="Gautami" w:eastAsia="Times New Roman" w:hAnsi="Gautami"/>
                <w:color w:val="000000"/>
                <w:sz w:val="20"/>
                <w:szCs w:val="20"/>
              </w:rPr>
              <w:t xml:space="preserve">; </w:t>
            </w:r>
            <w:proofErr w:type="spellStart"/>
            <w:r w:rsidRPr="00EA55C2">
              <w:rPr>
                <w:rFonts w:ascii="Gautami" w:eastAsia="Times New Roman" w:hAnsi="Gautami"/>
                <w:color w:val="000000"/>
                <w:sz w:val="20"/>
                <w:szCs w:val="20"/>
              </w:rPr>
              <w:t>prohibitted</w:t>
            </w:r>
            <w:proofErr w:type="spellEnd"/>
            <w:r w:rsidRPr="00EA55C2">
              <w:rPr>
                <w:rFonts w:ascii="Gautami" w:eastAsia="Times New Roman" w:hAnsi="Gautami"/>
                <w:color w:val="000000"/>
                <w:sz w:val="20"/>
                <w:szCs w:val="20"/>
              </w:rPr>
              <w:t xml:space="preserve"> while at berth </w:t>
            </w:r>
          </w:p>
        </w:tc>
        <w:tc>
          <w:tcPr>
            <w:tcW w:w="939" w:type="pct"/>
            <w:tcBorders>
              <w:top w:val="nil"/>
              <w:left w:val="nil"/>
              <w:bottom w:val="single" w:sz="4" w:space="0" w:color="auto"/>
              <w:right w:val="single" w:sz="4" w:space="0" w:color="auto"/>
            </w:tcBorders>
            <w:shd w:val="clear" w:color="auto" w:fill="auto"/>
            <w:vAlign w:val="center"/>
            <w:hideMark/>
          </w:tcPr>
          <w:p w:rsidR="00EA55C2" w:rsidRPr="00EA55C2" w:rsidRDefault="00EA55C2" w:rsidP="00EA55C2">
            <w:pPr>
              <w:rPr>
                <w:rFonts w:ascii="Gautami" w:eastAsia="Times New Roman" w:hAnsi="Gautami"/>
                <w:color w:val="000000"/>
                <w:sz w:val="20"/>
                <w:szCs w:val="20"/>
              </w:rPr>
            </w:pPr>
            <w:r w:rsidRPr="00EA55C2">
              <w:rPr>
                <w:rFonts w:ascii="Gautami" w:eastAsia="Times New Roman" w:hAnsi="Gautami"/>
                <w:color w:val="000000"/>
                <w:sz w:val="20"/>
                <w:szCs w:val="20"/>
              </w:rPr>
              <w:t xml:space="preserve">allowable as per GB3552-2018 requirements, </w:t>
            </w:r>
            <w:proofErr w:type="spellStart"/>
            <w:r w:rsidRPr="00EA55C2">
              <w:rPr>
                <w:rFonts w:ascii="Gautami" w:eastAsia="Times New Roman" w:hAnsi="Gautami"/>
                <w:color w:val="000000"/>
                <w:sz w:val="20"/>
                <w:szCs w:val="20"/>
              </w:rPr>
              <w:t>prohibitted</w:t>
            </w:r>
            <w:proofErr w:type="spellEnd"/>
            <w:r w:rsidRPr="00EA55C2">
              <w:rPr>
                <w:rFonts w:ascii="Gautami" w:eastAsia="Times New Roman" w:hAnsi="Gautami"/>
                <w:color w:val="000000"/>
                <w:sz w:val="20"/>
                <w:szCs w:val="20"/>
              </w:rPr>
              <w:t xml:space="preserve"> at anchorage</w:t>
            </w:r>
          </w:p>
        </w:tc>
        <w:tc>
          <w:tcPr>
            <w:tcW w:w="901" w:type="pct"/>
            <w:tcBorders>
              <w:top w:val="nil"/>
              <w:left w:val="nil"/>
              <w:bottom w:val="single" w:sz="4" w:space="0" w:color="auto"/>
              <w:right w:val="single" w:sz="4" w:space="0" w:color="auto"/>
            </w:tcBorders>
            <w:shd w:val="clear" w:color="auto" w:fill="auto"/>
            <w:vAlign w:val="center"/>
            <w:hideMark/>
          </w:tcPr>
          <w:p w:rsidR="00EA55C2" w:rsidRPr="00EA55C2" w:rsidRDefault="00EA55C2" w:rsidP="00EA55C2">
            <w:pPr>
              <w:rPr>
                <w:rFonts w:ascii="Gautami" w:eastAsia="Times New Roman" w:hAnsi="Gautami"/>
                <w:color w:val="000000"/>
                <w:sz w:val="20"/>
                <w:szCs w:val="20"/>
              </w:rPr>
            </w:pPr>
            <w:r w:rsidRPr="00EA55C2">
              <w:rPr>
                <w:rFonts w:ascii="Gautami" w:eastAsia="Times New Roman" w:hAnsi="Gautami"/>
                <w:color w:val="000000"/>
                <w:sz w:val="20"/>
                <w:szCs w:val="20"/>
              </w:rPr>
              <w:t xml:space="preserve">allowable as per GB3552-2018 requirements, </w:t>
            </w:r>
            <w:proofErr w:type="spellStart"/>
            <w:r w:rsidRPr="00EA55C2">
              <w:rPr>
                <w:rFonts w:ascii="Gautami" w:eastAsia="Times New Roman" w:hAnsi="Gautami"/>
                <w:color w:val="000000"/>
                <w:sz w:val="20"/>
                <w:szCs w:val="20"/>
              </w:rPr>
              <w:t>prohibitted</w:t>
            </w:r>
            <w:proofErr w:type="spellEnd"/>
            <w:r w:rsidRPr="00EA55C2">
              <w:rPr>
                <w:rFonts w:ascii="Gautami" w:eastAsia="Times New Roman" w:hAnsi="Gautami"/>
                <w:color w:val="000000"/>
                <w:sz w:val="20"/>
                <w:szCs w:val="20"/>
              </w:rPr>
              <w:t xml:space="preserve"> at anchorage</w:t>
            </w:r>
          </w:p>
        </w:tc>
        <w:tc>
          <w:tcPr>
            <w:tcW w:w="1364" w:type="pct"/>
            <w:tcBorders>
              <w:top w:val="nil"/>
              <w:left w:val="nil"/>
              <w:bottom w:val="nil"/>
              <w:right w:val="single" w:sz="4" w:space="0" w:color="auto"/>
            </w:tcBorders>
            <w:shd w:val="clear" w:color="auto" w:fill="auto"/>
            <w:vAlign w:val="center"/>
            <w:hideMark/>
          </w:tcPr>
          <w:p w:rsidR="00EA55C2" w:rsidRPr="00EA55C2" w:rsidRDefault="00EA55C2" w:rsidP="00EA55C2">
            <w:pPr>
              <w:rPr>
                <w:rFonts w:ascii="Gautami" w:eastAsia="Times New Roman" w:hAnsi="Gautami"/>
                <w:color w:val="000000"/>
                <w:sz w:val="20"/>
                <w:szCs w:val="20"/>
              </w:rPr>
            </w:pPr>
            <w:r w:rsidRPr="00EA55C2">
              <w:rPr>
                <w:rFonts w:ascii="Gautami" w:eastAsia="Times New Roman" w:hAnsi="Gautami"/>
                <w:color w:val="000000"/>
                <w:sz w:val="20"/>
                <w:szCs w:val="20"/>
              </w:rPr>
              <w:t>Please make sure ship has the class approved certificate</w:t>
            </w:r>
            <w:r w:rsidRPr="00EA55C2">
              <w:rPr>
                <w:rFonts w:ascii="Gautami" w:eastAsia="Times New Roman" w:hAnsi="Gautami"/>
                <w:color w:val="000000"/>
                <w:sz w:val="20"/>
                <w:szCs w:val="20"/>
              </w:rPr>
              <w:br/>
              <w:t xml:space="preserve">for disposal of </w:t>
            </w:r>
            <w:proofErr w:type="spellStart"/>
            <w:r w:rsidRPr="00EA55C2">
              <w:rPr>
                <w:rFonts w:ascii="Gautami" w:eastAsia="Times New Roman" w:hAnsi="Gautami"/>
                <w:color w:val="000000"/>
                <w:sz w:val="20"/>
                <w:szCs w:val="20"/>
              </w:rPr>
              <w:t>Seawage</w:t>
            </w:r>
            <w:proofErr w:type="spellEnd"/>
            <w:r w:rsidRPr="00EA55C2">
              <w:rPr>
                <w:rFonts w:ascii="Gautami" w:eastAsia="Times New Roman" w:hAnsi="Gautami"/>
                <w:color w:val="000000"/>
                <w:sz w:val="20"/>
                <w:szCs w:val="20"/>
              </w:rPr>
              <w:t>/Grey disposal, in the meantime, the treatment plant should also class approved.</w:t>
            </w:r>
          </w:p>
        </w:tc>
      </w:tr>
      <w:tr w:rsidR="00EA55C2" w:rsidRPr="00EA55C2" w:rsidTr="00EA55C2">
        <w:trPr>
          <w:trHeight w:val="600"/>
        </w:trPr>
        <w:tc>
          <w:tcPr>
            <w:tcW w:w="5000" w:type="pct"/>
            <w:gridSpan w:val="5"/>
            <w:tcBorders>
              <w:top w:val="single" w:sz="4" w:space="0" w:color="auto"/>
              <w:left w:val="single" w:sz="4" w:space="0" w:color="auto"/>
              <w:bottom w:val="nil"/>
              <w:right w:val="single" w:sz="4" w:space="0" w:color="000000"/>
            </w:tcBorders>
            <w:shd w:val="clear" w:color="auto" w:fill="auto"/>
            <w:vAlign w:val="center"/>
            <w:hideMark/>
          </w:tcPr>
          <w:p w:rsidR="00EA55C2" w:rsidRPr="00EA55C2" w:rsidRDefault="00EA55C2" w:rsidP="00EA55C2">
            <w:pPr>
              <w:rPr>
                <w:rFonts w:ascii="Gautami" w:eastAsia="Times New Roman" w:hAnsi="Gautami"/>
                <w:b/>
                <w:bCs/>
                <w:color w:val="000000"/>
                <w:sz w:val="20"/>
                <w:szCs w:val="20"/>
              </w:rPr>
            </w:pPr>
            <w:r w:rsidRPr="00EA55C2">
              <w:rPr>
                <w:rFonts w:ascii="Gautami" w:eastAsia="Times New Roman" w:hAnsi="Gautami"/>
                <w:b/>
                <w:bCs/>
                <w:color w:val="000000"/>
                <w:sz w:val="20"/>
                <w:szCs w:val="20"/>
              </w:rPr>
              <w:t>Remarks: "Ashore" means the Baselines of the Chinese territorial sea</w:t>
            </w:r>
          </w:p>
        </w:tc>
      </w:tr>
    </w:tbl>
    <w:p w:rsidR="00AF55E7" w:rsidRDefault="00AF55E7" w:rsidP="0087667A">
      <w:pPr>
        <w:ind w:left="585"/>
        <w:textAlignment w:val="baseline"/>
        <w:rPr>
          <w:color w:val="000000"/>
        </w:rPr>
      </w:pPr>
    </w:p>
    <w:p w:rsidR="00AF55E7" w:rsidRDefault="00AF55E7" w:rsidP="00AF55E7">
      <w:pPr>
        <w:rPr>
          <w:rFonts w:ascii="Arial" w:hAnsi="Arial" w:cs="Arial"/>
          <w:color w:val="1403EB"/>
          <w:sz w:val="24"/>
          <w:szCs w:val="24"/>
        </w:rPr>
      </w:pPr>
    </w:p>
    <w:p w:rsidR="00AF55E7" w:rsidRDefault="00AF55E7" w:rsidP="00AF55E7">
      <w:pPr>
        <w:rPr>
          <w:rFonts w:ascii="Arial" w:hAnsi="Arial" w:cs="Arial"/>
          <w:color w:val="1403EB"/>
          <w:sz w:val="24"/>
          <w:szCs w:val="24"/>
        </w:rPr>
      </w:pPr>
    </w:p>
    <w:p w:rsidR="00AF55E7" w:rsidRDefault="00AF55E7" w:rsidP="00AF55E7">
      <w:pPr>
        <w:rPr>
          <w:rFonts w:ascii="Arial" w:hAnsi="Arial" w:cs="Arial"/>
          <w:color w:val="1403EB"/>
          <w:sz w:val="24"/>
          <w:szCs w:val="24"/>
        </w:rPr>
      </w:pPr>
    </w:p>
    <w:p w:rsidR="007C613A" w:rsidRDefault="007C613A"/>
    <w:sectPr w:rsidR="007C6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utami">
    <w:altName w:val="Cambria Math"/>
    <w:panose1 w:val="02000500000000000000"/>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CD769E"/>
    <w:multiLevelType w:val="multilevel"/>
    <w:tmpl w:val="C8921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B65EBC"/>
    <w:multiLevelType w:val="multilevel"/>
    <w:tmpl w:val="319EDB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645"/>
    <w:rsid w:val="00163645"/>
    <w:rsid w:val="007C613A"/>
    <w:rsid w:val="0087667A"/>
    <w:rsid w:val="00AF55E7"/>
    <w:rsid w:val="00EA5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497EE7A"/>
  <w15:docId w15:val="{48DC6859-B2B1-4C0B-AFD2-8B1D57109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5E7"/>
    <w:pPr>
      <w:spacing w:after="0" w:line="240" w:lineRule="auto"/>
    </w:pPr>
    <w:rPr>
      <w:rFonts w:ascii="Calibri" w:hAnsi="Calibri" w:cs="Calibri"/>
    </w:rPr>
  </w:style>
  <w:style w:type="paragraph" w:styleId="Heading1">
    <w:name w:val="heading 1"/>
    <w:basedOn w:val="Normal"/>
    <w:link w:val="Heading1Char"/>
    <w:uiPriority w:val="9"/>
    <w:qFormat/>
    <w:rsid w:val="00AF55E7"/>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5E7"/>
    <w:rPr>
      <w:rFonts w:ascii="Times New Roman" w:hAnsi="Times New Roman" w:cs="Times New Roman"/>
      <w:b/>
      <w:bCs/>
      <w:kern w:val="36"/>
      <w:sz w:val="48"/>
      <w:szCs w:val="48"/>
    </w:rPr>
  </w:style>
  <w:style w:type="character" w:styleId="Hyperlink">
    <w:name w:val="Hyperlink"/>
    <w:basedOn w:val="DefaultParagraphFont"/>
    <w:uiPriority w:val="99"/>
    <w:semiHidden/>
    <w:unhideWhenUsed/>
    <w:rsid w:val="00AF55E7"/>
    <w:rPr>
      <w:color w:val="0563C1"/>
      <w:u w:val="single"/>
    </w:rPr>
  </w:style>
  <w:style w:type="paragraph" w:styleId="NormalWeb">
    <w:name w:val="Normal (Web)"/>
    <w:basedOn w:val="Normal"/>
    <w:uiPriority w:val="99"/>
    <w:semiHidden/>
    <w:unhideWhenUsed/>
    <w:rsid w:val="00AF55E7"/>
    <w:pPr>
      <w:spacing w:before="100" w:beforeAutospacing="1" w:after="100" w:afterAutospacing="1"/>
    </w:pPr>
    <w:rPr>
      <w:rFonts w:ascii="Times New Roman" w:hAnsi="Times New Roman" w:cs="Times New Roman"/>
      <w:sz w:val="24"/>
      <w:szCs w:val="24"/>
    </w:rPr>
  </w:style>
  <w:style w:type="paragraph" w:customStyle="1" w:styleId="lang">
    <w:name w:val="lang"/>
    <w:basedOn w:val="Normal"/>
    <w:uiPriority w:val="99"/>
    <w:semiHidden/>
    <w:rsid w:val="00AF55E7"/>
    <w:pPr>
      <w:spacing w:before="100" w:beforeAutospacing="1" w:after="100" w:afterAutospacing="1"/>
    </w:pPr>
    <w:rPr>
      <w:rFonts w:ascii="Times New Roman" w:hAnsi="Times New Roman" w:cs="Times New Roman"/>
      <w:sz w:val="24"/>
      <w:szCs w:val="24"/>
    </w:rPr>
  </w:style>
  <w:style w:type="character" w:styleId="Emphasis">
    <w:name w:val="Emphasis"/>
    <w:basedOn w:val="DefaultParagraphFont"/>
    <w:uiPriority w:val="20"/>
    <w:qFormat/>
    <w:rsid w:val="00AF55E7"/>
    <w:rPr>
      <w:i/>
      <w:iCs/>
    </w:rPr>
  </w:style>
  <w:style w:type="character" w:styleId="Strong">
    <w:name w:val="Strong"/>
    <w:basedOn w:val="DefaultParagraphFont"/>
    <w:uiPriority w:val="22"/>
    <w:qFormat/>
    <w:rsid w:val="00AF55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884990">
      <w:bodyDiv w:val="1"/>
      <w:marLeft w:val="0"/>
      <w:marRight w:val="0"/>
      <w:marTop w:val="0"/>
      <w:marBottom w:val="0"/>
      <w:divBdr>
        <w:top w:val="none" w:sz="0" w:space="0" w:color="auto"/>
        <w:left w:val="none" w:sz="0" w:space="0" w:color="auto"/>
        <w:bottom w:val="none" w:sz="0" w:space="0" w:color="auto"/>
        <w:right w:val="none" w:sz="0" w:space="0" w:color="auto"/>
      </w:divBdr>
    </w:div>
    <w:div w:id="1667510836">
      <w:bodyDiv w:val="1"/>
      <w:marLeft w:val="0"/>
      <w:marRight w:val="0"/>
      <w:marTop w:val="0"/>
      <w:marBottom w:val="0"/>
      <w:divBdr>
        <w:top w:val="none" w:sz="0" w:space="0" w:color="auto"/>
        <w:left w:val="none" w:sz="0" w:space="0" w:color="auto"/>
        <w:bottom w:val="none" w:sz="0" w:space="0" w:color="auto"/>
        <w:right w:val="none" w:sz="0" w:space="0" w:color="auto"/>
      </w:divBdr>
    </w:div>
    <w:div w:id="1975982981">
      <w:bodyDiv w:val="1"/>
      <w:marLeft w:val="0"/>
      <w:marRight w:val="0"/>
      <w:marTop w:val="0"/>
      <w:marBottom w:val="0"/>
      <w:divBdr>
        <w:top w:val="none" w:sz="0" w:space="0" w:color="auto"/>
        <w:left w:val="none" w:sz="0" w:space="0" w:color="auto"/>
        <w:bottom w:val="none" w:sz="0" w:space="0" w:color="auto"/>
        <w:right w:val="none" w:sz="0" w:space="0" w:color="auto"/>
      </w:divBdr>
      <w:divsChild>
        <w:div w:id="2134322018">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ard.no/Content/26411325/China_Declaration%20on%20the%20baseline%20of%20the%20territorial%20sea_15%20May%201996.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sa.gov.au/marine-environment/marine-pollution/nearest-land-under-marpol" TargetMode="External"/><Relationship Id="rId12" Type="http://schemas.openxmlformats.org/officeDocument/2006/relationships/hyperlink" Target="http://www.gard.no/web/updates/content/23504095/marpol-annex-v-the-international-convention-banning-the-discharge-of-plastic-and-garbage-from-shi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sa.gov.au/safety-navigation/navigating-coastal-waters/navigation-through-great-barrier-reef-and-torres-strait" TargetMode="External"/><Relationship Id="rId11" Type="http://schemas.openxmlformats.org/officeDocument/2006/relationships/hyperlink" Target="https://www.amsa.gov.au/news-community/news-and-media-releases/appeals-tribunal-upholds-amsa-ship-detention-decision" TargetMode="External"/><Relationship Id="rId5" Type="http://schemas.openxmlformats.org/officeDocument/2006/relationships/hyperlink" Target="http://www.imo.org/en/OurWork/Environment/PollutionPrevention/Garbage/Pages/Default.aspx" TargetMode="External"/><Relationship Id="rId10" Type="http://schemas.openxmlformats.org/officeDocument/2006/relationships/hyperlink" Target="http://www.gard.no/Content/26411326/IMO%20MEPC1-Circ778-Rev3_Special%20Areas%2C%20ECAs%20and%20PSSAs%20under%20MARPOL.pdf" TargetMode="External"/><Relationship Id="rId4" Type="http://schemas.openxmlformats.org/officeDocument/2006/relationships/webSettings" Target="webSettings.xml"/><Relationship Id="rId9" Type="http://schemas.openxmlformats.org/officeDocument/2006/relationships/hyperlink" Target="https://www.loc.gov/item/200562922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2181</Words>
  <Characters>12436</Characters>
  <Application>Microsoft Office Word</Application>
  <DocSecurity>0</DocSecurity>
  <Lines>103</Lines>
  <Paragraphs>29</Paragraphs>
  <ScaleCrop>false</ScaleCrop>
  <Company/>
  <LinksUpToDate>false</LinksUpToDate>
  <CharactersWithSpaces>14588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Mukundan, Chandramohan</dc:creator>
  <cp:keywords/>
  <dc:description/>
  <cp:lastModifiedBy>Kapoor, Sharad</cp:lastModifiedBy>
  <cp:revision>4</cp:revision>
  <dcterms:created xsi:type="dcterms:W3CDTF">2019-01-02T06:09:00Z</dcterms:created>
  <dcterms:modified xsi:type="dcterms:W3CDTF">2019-11-20T05:38:00Z</dcterms:modified>
</cp:coreProperties>
</file>