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C97B4" w14:textId="77777777" w:rsidR="000A3AF1" w:rsidRPr="00E70028" w:rsidRDefault="00E70028" w:rsidP="00E70028">
      <w:pPr>
        <w:jc w:val="center"/>
        <w:rPr>
          <w:b/>
        </w:rPr>
      </w:pPr>
      <w:bookmarkStart w:id="0" w:name="_GoBack"/>
      <w:bookmarkEnd w:id="0"/>
      <w:r w:rsidRPr="00E70028">
        <w:rPr>
          <w:b/>
        </w:rPr>
        <w:t>TRASAT-SEMTA Modeling</w:t>
      </w:r>
    </w:p>
    <w:p w14:paraId="69F49AF9" w14:textId="77777777" w:rsidR="00E70028" w:rsidRDefault="00E70028"/>
    <w:p w14:paraId="67EA2057" w14:textId="77777777" w:rsidR="00A863EF" w:rsidRPr="006A53EA" w:rsidRDefault="00A863EF" w:rsidP="00A863EF">
      <w:pPr>
        <w:pStyle w:val="ListParagraph"/>
        <w:numPr>
          <w:ilvl w:val="0"/>
          <w:numId w:val="1"/>
        </w:numPr>
        <w:rPr>
          <w:b/>
        </w:rPr>
      </w:pPr>
      <w:r w:rsidRPr="006A53EA">
        <w:rPr>
          <w:b/>
        </w:rPr>
        <w:t>Overview</w:t>
      </w:r>
    </w:p>
    <w:p w14:paraId="1BE79A4D" w14:textId="77777777" w:rsidR="00A863EF" w:rsidRDefault="00A863EF" w:rsidP="00A863EF">
      <w:r>
        <w:t xml:space="preserve">The TRASAT/SEMTA MATLAB models should include: target RCS model, target trajectory model, radar unit model, multistatic radar model, multilateration localizer algorithm, </w:t>
      </w:r>
      <w:r w:rsidR="00930016">
        <w:t xml:space="preserve">tracking algorithm, and the results visualization. TRASAT and SEMTA models are very similar but differ in some details as shown on the Figure 1. </w:t>
      </w:r>
    </w:p>
    <w:p w14:paraId="1F1736A5" w14:textId="77777777" w:rsidR="00E70028" w:rsidRDefault="00A863EF">
      <w:r>
        <w:rPr>
          <w:noProof/>
        </w:rPr>
        <w:drawing>
          <wp:inline distT="0" distB="0" distL="0" distR="0" wp14:anchorId="10814A56" wp14:editId="4B0D841C">
            <wp:extent cx="5943600" cy="438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4675"/>
                    </a:xfrm>
                    <a:prstGeom prst="rect">
                      <a:avLst/>
                    </a:prstGeom>
                  </pic:spPr>
                </pic:pic>
              </a:graphicData>
            </a:graphic>
          </wp:inline>
        </w:drawing>
      </w:r>
    </w:p>
    <w:p w14:paraId="58981408" w14:textId="77777777" w:rsidR="00930016" w:rsidRDefault="00930016" w:rsidP="00930016">
      <w:pPr>
        <w:jc w:val="center"/>
      </w:pPr>
      <w:r>
        <w:t>Figure 1. MATLAB Model Diagrams.</w:t>
      </w:r>
    </w:p>
    <w:p w14:paraId="5D456AAB" w14:textId="77777777" w:rsidR="00930016" w:rsidRDefault="00930016" w:rsidP="00930016">
      <w:pPr>
        <w:jc w:val="center"/>
      </w:pPr>
    </w:p>
    <w:p w14:paraId="4B1A1450" w14:textId="437BEC92" w:rsidR="00930016" w:rsidRPr="006A53EA" w:rsidRDefault="00930016" w:rsidP="00930016">
      <w:pPr>
        <w:pStyle w:val="ListParagraph"/>
        <w:numPr>
          <w:ilvl w:val="0"/>
          <w:numId w:val="1"/>
        </w:numPr>
        <w:rPr>
          <w:b/>
        </w:rPr>
      </w:pPr>
      <w:r w:rsidRPr="006A53EA">
        <w:rPr>
          <w:b/>
        </w:rPr>
        <w:t xml:space="preserve">Target RCS </w:t>
      </w:r>
      <w:r w:rsidR="006B3FA5">
        <w:rPr>
          <w:b/>
        </w:rPr>
        <w:t>M</w:t>
      </w:r>
      <w:r w:rsidRPr="006A53EA">
        <w:rPr>
          <w:b/>
        </w:rPr>
        <w:t>odel.</w:t>
      </w:r>
    </w:p>
    <w:p w14:paraId="428A1402" w14:textId="77777777" w:rsidR="00930016" w:rsidRDefault="00930016" w:rsidP="00930016">
      <w:r>
        <w:t>Radar Cross Section (RCS) of the complex targets</w:t>
      </w:r>
      <w:r w:rsidR="00DB70FC">
        <w:t xml:space="preserve"> like aircraft or missile,</w:t>
      </w:r>
      <w:r>
        <w:t xml:space="preserve"> is strongly </w:t>
      </w:r>
      <w:r w:rsidR="00DB70FC">
        <w:t>depends from</w:t>
      </w:r>
      <w:r>
        <w:t xml:space="preserve"> </w:t>
      </w:r>
      <w:r w:rsidR="00DB70FC">
        <w:t>aspect angle (see Figure 2 and Figure 3 for illustration) and radar carrier frequency. Radar frequency diversity technic with combination of binary integration (m of n processing) allow</w:t>
      </w:r>
      <w:r w:rsidR="00CC4EF2">
        <w:t xml:space="preserve"> to</w:t>
      </w:r>
      <w:r w:rsidR="00DB70FC">
        <w:t xml:space="preserve"> select peaks (and avoid dips) from RCS fringe</w:t>
      </w:r>
      <w:r w:rsidR="00BA3A4B">
        <w:t xml:space="preserve"> for specific angular region</w:t>
      </w:r>
      <w:r w:rsidR="00DB70FC">
        <w:t xml:space="preserve"> and significantly improve probability of detection (Pd) of the targets keeping very low probability of false alarm (</w:t>
      </w:r>
      <w:proofErr w:type="spellStart"/>
      <w:r w:rsidR="00DB70FC">
        <w:t>Pfa</w:t>
      </w:r>
      <w:proofErr w:type="spellEnd"/>
      <w:r w:rsidR="00DB70FC">
        <w:t xml:space="preserve">).  </w:t>
      </w:r>
      <w:r>
        <w:t xml:space="preserve"> </w:t>
      </w:r>
    </w:p>
    <w:p w14:paraId="462E6D7D" w14:textId="77777777" w:rsidR="00A06FFD" w:rsidRDefault="00A06FFD" w:rsidP="007A065F">
      <w:pPr>
        <w:jc w:val="center"/>
      </w:pPr>
      <w:r>
        <w:rPr>
          <w:noProof/>
        </w:rPr>
        <w:lastRenderedPageBreak/>
        <w:drawing>
          <wp:inline distT="0" distB="0" distL="0" distR="0" wp14:anchorId="6091F683" wp14:editId="5AAAED22">
            <wp:extent cx="5859780" cy="353089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1468" cy="3531910"/>
                    </a:xfrm>
                    <a:prstGeom prst="rect">
                      <a:avLst/>
                    </a:prstGeom>
                  </pic:spPr>
                </pic:pic>
              </a:graphicData>
            </a:graphic>
          </wp:inline>
        </w:drawing>
      </w:r>
    </w:p>
    <w:p w14:paraId="7E2B294D" w14:textId="77777777" w:rsidR="00A06FFD" w:rsidRDefault="00A06FFD" w:rsidP="00A06FFD">
      <w:pPr>
        <w:jc w:val="center"/>
      </w:pPr>
      <w:r>
        <w:t>Figure 2. Measured RCS of the C-29 aircraft model</w:t>
      </w:r>
      <w:r w:rsidR="007A065F">
        <w:t xml:space="preserve">. Note, the model was scale down in factor of </w:t>
      </w:r>
      <w:r w:rsidR="007A065F" w:rsidRPr="007A065F">
        <w:rPr>
          <w:b/>
        </w:rPr>
        <w:t>12</w:t>
      </w:r>
      <w:r w:rsidR="007A065F">
        <w:t xml:space="preserve">. Full size RCS of the aircraft in about </w:t>
      </w:r>
      <w:r w:rsidR="007A065F" w:rsidRPr="007A065F">
        <w:rPr>
          <w:b/>
        </w:rPr>
        <w:t>22 dB</w:t>
      </w:r>
      <w:r w:rsidR="007A065F">
        <w:t xml:space="preserve"> (20log12) higher.</w:t>
      </w:r>
      <w:r>
        <w:t xml:space="preserve"> </w:t>
      </w:r>
    </w:p>
    <w:p w14:paraId="58DC6775" w14:textId="77777777" w:rsidR="007A065F" w:rsidRDefault="007A065F" w:rsidP="007A065F">
      <w:pPr>
        <w:jc w:val="center"/>
      </w:pPr>
      <w:r>
        <w:rPr>
          <w:noProof/>
        </w:rPr>
        <w:drawing>
          <wp:inline distT="0" distB="0" distL="0" distR="0" wp14:anchorId="6A58209E" wp14:editId="51E8437C">
            <wp:extent cx="5668922" cy="36957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269" cy="3699838"/>
                    </a:xfrm>
                    <a:prstGeom prst="rect">
                      <a:avLst/>
                    </a:prstGeom>
                  </pic:spPr>
                </pic:pic>
              </a:graphicData>
            </a:graphic>
          </wp:inline>
        </w:drawing>
      </w:r>
    </w:p>
    <w:p w14:paraId="1A79D058" w14:textId="77777777" w:rsidR="007A065F" w:rsidRDefault="007A065F" w:rsidP="007A065F">
      <w:pPr>
        <w:jc w:val="center"/>
      </w:pPr>
      <w:r>
        <w:t xml:space="preserve">Figure </w:t>
      </w:r>
      <w:r w:rsidR="00790D92">
        <w:t>3</w:t>
      </w:r>
      <w:r>
        <w:t>. Measured RCS of the full-scale missile.</w:t>
      </w:r>
    </w:p>
    <w:p w14:paraId="4E3A7578" w14:textId="25020FC0" w:rsidR="00790D92" w:rsidRDefault="00790D92" w:rsidP="00790D92">
      <w:r>
        <w:lastRenderedPageBreak/>
        <w:t xml:space="preserve">To build realistic fluctuated model of the target </w:t>
      </w:r>
      <w:r w:rsidR="00C04ED2">
        <w:t>we plan to use model with randomly distributed point scatterers as shown on the Figure 4. Total size of the</w:t>
      </w:r>
      <w:r>
        <w:t xml:space="preserve"> </w:t>
      </w:r>
      <w:r w:rsidR="00C04ED2">
        <w:t>scattering area should be about the same as a target 2D footprint.</w:t>
      </w:r>
      <w:r w:rsidR="00A42E9E">
        <w:t xml:space="preserve"> Thus, for SEMTA missile model L</w:t>
      </w:r>
      <w:r w:rsidR="00A42E9E" w:rsidRPr="00FA4C94">
        <w:rPr>
          <w:vertAlign w:val="subscript"/>
        </w:rPr>
        <w:t>1</w:t>
      </w:r>
      <w:r w:rsidR="00A42E9E">
        <w:t>=6m and L</w:t>
      </w:r>
      <w:r w:rsidR="00A42E9E" w:rsidRPr="00FA4C94">
        <w:rPr>
          <w:vertAlign w:val="subscript"/>
        </w:rPr>
        <w:t>2</w:t>
      </w:r>
      <w:r w:rsidR="00A42E9E">
        <w:t>=3m, for TRASAT air vehicle L</w:t>
      </w:r>
      <w:r w:rsidR="00A42E9E" w:rsidRPr="00FA4C94">
        <w:rPr>
          <w:vertAlign w:val="subscript"/>
        </w:rPr>
        <w:t>1</w:t>
      </w:r>
      <w:r w:rsidR="00A42E9E">
        <w:t>=L</w:t>
      </w:r>
      <w:r w:rsidR="00A42E9E" w:rsidRPr="00FA4C94">
        <w:rPr>
          <w:vertAlign w:val="subscript"/>
        </w:rPr>
        <w:t>2</w:t>
      </w:r>
      <w:r w:rsidR="00A42E9E">
        <w:t>=10m.</w:t>
      </w:r>
      <w:r w:rsidR="00C04ED2">
        <w:t xml:space="preserve"> </w:t>
      </w:r>
    </w:p>
    <w:p w14:paraId="33B94A98" w14:textId="77777777" w:rsidR="007A065F" w:rsidRDefault="008A5653" w:rsidP="00790D92">
      <w:pPr>
        <w:jc w:val="center"/>
      </w:pPr>
      <w:r>
        <w:rPr>
          <w:noProof/>
        </w:rPr>
        <w:drawing>
          <wp:inline distT="0" distB="0" distL="0" distR="0" wp14:anchorId="5671D013" wp14:editId="6748558C">
            <wp:extent cx="3670747" cy="16090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510" cy="1625643"/>
                    </a:xfrm>
                    <a:prstGeom prst="rect">
                      <a:avLst/>
                    </a:prstGeom>
                  </pic:spPr>
                </pic:pic>
              </a:graphicData>
            </a:graphic>
          </wp:inline>
        </w:drawing>
      </w:r>
      <w:r w:rsidR="00790D92">
        <w:rPr>
          <w:noProof/>
        </w:rPr>
        <w:drawing>
          <wp:inline distT="0" distB="0" distL="0" distR="0" wp14:anchorId="5D06C43C" wp14:editId="67A30C9C">
            <wp:extent cx="1836420" cy="149863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3209" cy="1544976"/>
                    </a:xfrm>
                    <a:prstGeom prst="rect">
                      <a:avLst/>
                    </a:prstGeom>
                  </pic:spPr>
                </pic:pic>
              </a:graphicData>
            </a:graphic>
          </wp:inline>
        </w:drawing>
      </w:r>
    </w:p>
    <w:p w14:paraId="666F866D" w14:textId="77777777" w:rsidR="00790D92" w:rsidRDefault="00790D92" w:rsidP="00790D92">
      <w:pPr>
        <w:jc w:val="center"/>
      </w:pPr>
      <w:r>
        <w:t xml:space="preserve">Figure 4. Complex target modelling with multiple randomly distributed scatterers.   </w:t>
      </w:r>
    </w:p>
    <w:p w14:paraId="5F85024D" w14:textId="050082A3" w:rsidR="00476D21" w:rsidRDefault="00BD304A" w:rsidP="00476D21">
      <w:r>
        <w:t xml:space="preserve">We are going to calculate the target RCS as function of aspect angle and carrier frequency. </w:t>
      </w:r>
      <w:r w:rsidR="005D3DB5">
        <w:t xml:space="preserve">The aspect angle </w:t>
      </w:r>
      <w:r w:rsidR="008213CA">
        <w:t xml:space="preserve">resolution (∆Θ) </w:t>
      </w:r>
      <w:r w:rsidR="005D3DB5">
        <w:t>will</w:t>
      </w:r>
      <w:r w:rsidR="008213CA">
        <w:t xml:space="preserve"> be </w:t>
      </w:r>
      <w:r w:rsidR="005D3DB5">
        <w:t>at least 0.1 degree and carrier frequency</w:t>
      </w:r>
      <w:r w:rsidR="008213CA">
        <w:t xml:space="preserve"> resolution</w:t>
      </w:r>
      <w:r w:rsidR="005D3DB5">
        <w:t xml:space="preserve"> ∆F=10 </w:t>
      </w:r>
      <w:proofErr w:type="spellStart"/>
      <w:r w:rsidR="005D3DB5">
        <w:t>MHz.</w:t>
      </w:r>
      <w:proofErr w:type="spellEnd"/>
      <w:r w:rsidR="00F7303A">
        <w:t xml:space="preserve"> </w:t>
      </w:r>
      <w:r>
        <w:t>The calculation result</w:t>
      </w:r>
      <w:r w:rsidR="003253F8">
        <w:t>s</w:t>
      </w:r>
      <w:r>
        <w:t xml:space="preserve"> shoul</w:t>
      </w:r>
      <w:r w:rsidR="003253F8">
        <w:t>d</w:t>
      </w:r>
      <w:r>
        <w:t xml:space="preserve"> be </w:t>
      </w:r>
      <w:r w:rsidR="003253F8">
        <w:t xml:space="preserve">multiplied on some coefficient to get average RCS value equal to expected target RCS. It would be </w:t>
      </w:r>
      <w:r w:rsidR="009155D1">
        <w:t>nominally</w:t>
      </w:r>
      <w:r w:rsidR="003253F8">
        <w:t xml:space="preserve"> 0dBsm for TRASAT</w:t>
      </w:r>
      <w:r w:rsidR="006E6DC0">
        <w:t xml:space="preserve"> air vehicle</w:t>
      </w:r>
      <w:r w:rsidR="003253F8">
        <w:t>, and -20dBsm for SEMTA</w:t>
      </w:r>
      <w:r w:rsidR="006E6DC0">
        <w:t xml:space="preserve"> missile</w:t>
      </w:r>
      <w:r w:rsidR="003253F8">
        <w:t>.</w:t>
      </w:r>
    </w:p>
    <w:p w14:paraId="0CB623BC" w14:textId="77777777" w:rsidR="008E106C" w:rsidRPr="006A53EA" w:rsidRDefault="008E106C" w:rsidP="008E106C">
      <w:pPr>
        <w:pStyle w:val="ListParagraph"/>
        <w:numPr>
          <w:ilvl w:val="0"/>
          <w:numId w:val="1"/>
        </w:numPr>
        <w:rPr>
          <w:b/>
        </w:rPr>
      </w:pPr>
      <w:r w:rsidRPr="006A53EA">
        <w:rPr>
          <w:b/>
        </w:rPr>
        <w:t>Target Trajectory Model.</w:t>
      </w:r>
    </w:p>
    <w:p w14:paraId="42859C05" w14:textId="77777777" w:rsidR="006E6DC0" w:rsidRDefault="00FC0308" w:rsidP="00FC0308">
      <w:r>
        <w:t>Target trajectory is function of 3-D Cartesian (x, y, and z)</w:t>
      </w:r>
      <w:r w:rsidR="00C84D8E">
        <w:t xml:space="preserve"> coordinates</w:t>
      </w:r>
      <w:r>
        <w:t xml:space="preserve"> and</w:t>
      </w:r>
      <w:r w:rsidR="009B2ED3">
        <w:t xml:space="preserve"> time</w:t>
      </w:r>
      <w:r w:rsidR="006E35B4">
        <w:t xml:space="preserve">, where x is excursion from central flight line, y </w:t>
      </w:r>
      <w:r w:rsidR="0086204D">
        <w:t xml:space="preserve">corresponds central flight direction, and z is altitude of the target. See Figure 5 and Figure 6 for illustration. </w:t>
      </w:r>
      <w:r w:rsidR="00C84D8E">
        <w:t>Fixed altitude values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C84D8E">
        <w:t>) and constant</w:t>
      </w:r>
      <w:r>
        <w:t xml:space="preserve"> </w:t>
      </w:r>
      <w:r w:rsidR="00C84D8E">
        <w:t>l</w:t>
      </w:r>
      <w:r>
        <w:t>inear velocity</w:t>
      </w:r>
      <w:r w:rsidR="00C84D8E">
        <w:t xml:space="preserve"> along with y coordinate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C84D8E">
        <w:t>)</w:t>
      </w:r>
      <w:r w:rsidR="009B2ED3">
        <w:t xml:space="preserve"> may be assumed for simplicity.</w:t>
      </w:r>
      <w:r w:rsidR="006E6DC0">
        <w:t xml:space="preserve"> </w:t>
      </w:r>
      <w:r w:rsidR="00C277C7">
        <w:t xml:space="preserve">Nominal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C277C7">
        <w:t xml:space="preserve"> values are 30 meters for SEMTA, and</w:t>
      </w:r>
      <w:r w:rsidR="00C470AB">
        <w:t xml:space="preserve"> from 100 to</w:t>
      </w:r>
      <w:r w:rsidR="00C277C7">
        <w:t xml:space="preserve"> 6</w:t>
      </w:r>
      <w:r w:rsidR="00C470AB">
        <w:t>,</w:t>
      </w:r>
      <w:r w:rsidR="00C277C7">
        <w:t xml:space="preserve">000 meters for TRASAT. Nominal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C277C7">
        <w:t xml:space="preserve"> values are 400 m/s for SEMTA and 200 m/s for TRASAT.</w:t>
      </w:r>
      <w:r w:rsidR="0077189C">
        <w:t xml:space="preserve"> </w:t>
      </w:r>
      <w:r w:rsidR="00EA007C">
        <w:t>Our</w:t>
      </w:r>
      <w:r w:rsidR="0077189C">
        <w:t xml:space="preserve"> simplified target trajectory model </w:t>
      </w:r>
      <w:r w:rsidR="007D6D38">
        <w:t>uses</w:t>
      </w:r>
      <w:r w:rsidR="0077189C">
        <w:t xml:space="preserve"> only x-coordinate as non-linear movement </w:t>
      </w:r>
      <w:r w:rsidR="00EA007C">
        <w:t xml:space="preserve">component. The sinusoidal x(t) behavior looks acceptable for the target trajectory simulation.  </w:t>
      </w:r>
    </w:p>
    <w:p w14:paraId="1ABF328D" w14:textId="77777777" w:rsidR="00B23F9A" w:rsidRDefault="00C277C7" w:rsidP="00FC0308">
      <w:r>
        <w:t>With the</w:t>
      </w:r>
      <w:r w:rsidR="0086204D">
        <w:t xml:space="preserve"> above</w:t>
      </w:r>
      <w:r>
        <w:t xml:space="preserve"> assumptions</w:t>
      </w:r>
      <w:r w:rsidR="006E35B4">
        <w:t>,</w:t>
      </w:r>
      <w:r>
        <w:t xml:space="preserve"> </w:t>
      </w:r>
      <w:r w:rsidR="009B2ED3">
        <w:t>trajectory</w:t>
      </w:r>
      <w:r w:rsidR="00FC0308">
        <w:t xml:space="preserve"> may describe by following </w:t>
      </w:r>
      <w:r w:rsidR="007D6D38">
        <w:t>equations</w:t>
      </w:r>
      <w:r w:rsidR="00FC0308">
        <w:t>:</w:t>
      </w:r>
    </w:p>
    <w:p w14:paraId="340310AF" w14:textId="77777777" w:rsidR="00FC0308" w:rsidRDefault="00232A59" w:rsidP="00FC0308">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=d×</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at</m:t>
                </m:r>
              </m:e>
            </m:d>
          </m:e>
        </m:func>
      </m:oMath>
      <w:r w:rsidR="007D6D38">
        <w:rPr>
          <w:rFonts w:eastAsiaTheme="minorEastAsia"/>
        </w:rPr>
        <w:t>, where d</w:t>
      </w:r>
      <w:r w:rsidR="00024F5E">
        <w:rPr>
          <w:rFonts w:eastAsiaTheme="minorEastAsia"/>
        </w:rPr>
        <w:t xml:space="preserve"> is</w:t>
      </w:r>
      <w:r w:rsidR="007D6D38">
        <w:rPr>
          <w:rFonts w:eastAsiaTheme="minorEastAsia"/>
        </w:rPr>
        <w:t xml:space="preserve"> </w:t>
      </w:r>
      <w:r w:rsidR="00024F5E">
        <w:rPr>
          <w:rFonts w:eastAsiaTheme="minorEastAsia"/>
        </w:rPr>
        <w:t>varied</w:t>
      </w:r>
      <w:r w:rsidR="007D6D38">
        <w:rPr>
          <w:rFonts w:eastAsiaTheme="minorEastAsia"/>
        </w:rPr>
        <w:t xml:space="preserve"> from 0 (straight flight) to 3,700 meters (+/- 2 </w:t>
      </w:r>
      <w:proofErr w:type="spellStart"/>
      <w:r w:rsidR="007D6D38">
        <w:rPr>
          <w:rFonts w:eastAsiaTheme="minorEastAsia"/>
        </w:rPr>
        <w:t>nmi</w:t>
      </w:r>
      <w:proofErr w:type="spellEnd"/>
      <w:r w:rsidR="007D6D38">
        <w:rPr>
          <w:rFonts w:eastAsiaTheme="minorEastAsia"/>
        </w:rPr>
        <w:t xml:space="preserve"> excursion)</w:t>
      </w:r>
      <w:r w:rsidR="00024F5E">
        <w:rPr>
          <w:rFonts w:eastAsiaTheme="minorEastAsia"/>
        </w:rPr>
        <w:t>, and a=2π/t is period of the trajectory excursion</w:t>
      </w:r>
      <w:r w:rsidR="00856597">
        <w:rPr>
          <w:rFonts w:eastAsiaTheme="minorEastAsia"/>
        </w:rPr>
        <w:t>,</w:t>
      </w:r>
      <w:r w:rsidR="00FC6487">
        <w:rPr>
          <w:rFonts w:eastAsiaTheme="minorEastAsia"/>
        </w:rPr>
        <w:t xml:space="preserve"> a</w:t>
      </w:r>
      <w:r w:rsidR="00856597">
        <w:rPr>
          <w:rFonts w:eastAsiaTheme="minorEastAsia"/>
        </w:rPr>
        <w:t xml:space="preserve">-value would be normally from 0.05 to 0.2. </w:t>
      </w:r>
    </w:p>
    <w:p w14:paraId="74A3CBA8" w14:textId="77777777" w:rsidR="00BE66FC" w:rsidRDefault="00024F5E" w:rsidP="00BE66FC">
      <w:pPr>
        <w:jc w:val="both"/>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oMath>
      <w:r w:rsidR="007D6D38">
        <w:rPr>
          <w:rFonts w:eastAsiaTheme="minorEastAsia"/>
        </w:rPr>
        <w:t>, where</w:t>
      </w:r>
      <w:r w:rsidR="0085659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856597">
        <w:rPr>
          <w:rFonts w:eastAsiaTheme="minorEastAsia"/>
        </w:rPr>
        <w:t xml:space="preserve"> is target velocity projection on y-coordinate.</w:t>
      </w:r>
    </w:p>
    <w:p w14:paraId="1A4C3DD6" w14:textId="3F0BD737" w:rsidR="003A6DE7" w:rsidRDefault="00856597" w:rsidP="00476D21">
      <w:pPr>
        <w:rPr>
          <w:rFonts w:eastAsiaTheme="minorEastAsia"/>
        </w:rPr>
      </w:pPr>
      <w:r>
        <w:t>z=</w:t>
      </w:r>
      <m:oMath>
        <m:sSub>
          <m:sSubPr>
            <m:ctrlPr>
              <w:rPr>
                <w:rFonts w:ascii="Cambria Math" w:hAnsi="Cambria Math"/>
                <w:i/>
              </w:rPr>
            </m:ctrlPr>
          </m:sSubPr>
          <m:e>
            <m:r>
              <w:rPr>
                <w:rFonts w:ascii="Cambria Math" w:hAnsi="Cambria Math"/>
              </w:rPr>
              <m:t>z</m:t>
            </m:r>
          </m:e>
          <m:sub>
            <m:r>
              <w:rPr>
                <w:rFonts w:ascii="Cambria Math" w:hAnsi="Cambria Math"/>
              </w:rPr>
              <m:t>i</m:t>
            </m:r>
          </m:sub>
        </m:sSub>
      </m:oMath>
    </w:p>
    <w:p w14:paraId="79ED0C43" w14:textId="1F2249AA" w:rsidR="003A6DE7" w:rsidRDefault="003A6DE7" w:rsidP="003A6DE7">
      <w:pPr>
        <w:pStyle w:val="ListParagraph"/>
        <w:numPr>
          <w:ilvl w:val="0"/>
          <w:numId w:val="1"/>
        </w:numPr>
        <w:rPr>
          <w:b/>
        </w:rPr>
      </w:pPr>
      <w:r w:rsidRPr="006A53EA">
        <w:rPr>
          <w:b/>
        </w:rPr>
        <w:t>Radar Unit Model.</w:t>
      </w:r>
    </w:p>
    <w:p w14:paraId="3D93B7FC" w14:textId="14B8D483" w:rsidR="00A432A0" w:rsidRDefault="00A432A0" w:rsidP="00A432A0">
      <w:r>
        <w:t>Preliminary plan for pulse repetition interval/frequency (PRI/PRF) selection for TRASAT and SEMTA radar units provide unambiguous range capability up to 7nmi. But Doppler ambiguity is hard to avoid on radar unit level without radar sensitivity sacrifice. Thus, applying two or more PRI cycles to resolve the ambiguity requires reducing of the CPI (coherent processing interval) length in two (or more) times. Instead</w:t>
      </w:r>
      <w:r w:rsidR="00BF76D0">
        <w:t xml:space="preserve"> the multi PRI technic for single radar</w:t>
      </w:r>
      <w:r>
        <w:t>, we plan to resolve the Doppler ambiguity</w:t>
      </w:r>
      <w:r w:rsidR="00BF76D0">
        <w:t xml:space="preserve"> by using data from multiple (at least two) radars in the TRASAT/SEMTA center </w:t>
      </w:r>
      <w:r>
        <w:t>processing</w:t>
      </w:r>
      <w:r w:rsidR="00BF76D0">
        <w:t>.</w:t>
      </w:r>
      <w:r>
        <w:t xml:space="preserve"> </w:t>
      </w:r>
    </w:p>
    <w:p w14:paraId="11BD65F5" w14:textId="77777777" w:rsidR="00F079E6" w:rsidRDefault="00F079E6" w:rsidP="00A432A0"/>
    <w:p w14:paraId="15FC5829" w14:textId="56C6D9F7" w:rsidR="003A6DE7" w:rsidRDefault="001156DC" w:rsidP="003A6DE7">
      <w:r>
        <w:lastRenderedPageBreak/>
        <w:t xml:space="preserve">Radar </w:t>
      </w:r>
      <w:r w:rsidR="009F3F49">
        <w:t xml:space="preserve">unit model include several </w:t>
      </w:r>
      <w:r w:rsidR="00B93099">
        <w:t>consequent operations</w:t>
      </w:r>
      <w:r w:rsidR="009F3F49">
        <w:t xml:space="preserve">: </w:t>
      </w:r>
    </w:p>
    <w:p w14:paraId="0CCECD14" w14:textId="1979F65D" w:rsidR="009F3F49" w:rsidRDefault="009F3F49" w:rsidP="009F3F49">
      <w:pPr>
        <w:pStyle w:val="ListParagraph"/>
        <w:numPr>
          <w:ilvl w:val="0"/>
          <w:numId w:val="2"/>
        </w:numPr>
      </w:pPr>
      <w:r>
        <w:t>Signal</w:t>
      </w:r>
      <w:r w:rsidR="00EC40FF">
        <w:t xml:space="preserve"> and </w:t>
      </w:r>
      <w:r>
        <w:t>noise calculation in single coherent processing interval (CPI) cycle</w:t>
      </w:r>
    </w:p>
    <w:p w14:paraId="0E362B4D" w14:textId="77777777" w:rsidR="00B93099" w:rsidRDefault="00B93099" w:rsidP="00B93099">
      <w:pPr>
        <w:pStyle w:val="ListParagraph"/>
        <w:numPr>
          <w:ilvl w:val="0"/>
          <w:numId w:val="2"/>
        </w:numPr>
      </w:pPr>
      <w:r>
        <w:t>Non-coherent integration</w:t>
      </w:r>
    </w:p>
    <w:p w14:paraId="749E23DF" w14:textId="4A1C69DA" w:rsidR="009F3F49" w:rsidRDefault="009F3F49" w:rsidP="009F3F49">
      <w:pPr>
        <w:pStyle w:val="ListParagraph"/>
        <w:numPr>
          <w:ilvl w:val="0"/>
          <w:numId w:val="2"/>
        </w:numPr>
      </w:pPr>
      <w:r>
        <w:t xml:space="preserve">Threshold selection and target detection </w:t>
      </w:r>
    </w:p>
    <w:p w14:paraId="71D31746" w14:textId="77777777" w:rsidR="002636E2" w:rsidRDefault="009F3F49" w:rsidP="009F3F49">
      <w:pPr>
        <w:pStyle w:val="ListParagraph"/>
        <w:numPr>
          <w:ilvl w:val="0"/>
          <w:numId w:val="2"/>
        </w:numPr>
      </w:pPr>
      <w:r>
        <w:t>Binary integration, or m of n processing</w:t>
      </w:r>
      <w:r w:rsidR="002636E2">
        <w:t xml:space="preserve"> </w:t>
      </w:r>
    </w:p>
    <w:p w14:paraId="4A30BC9C" w14:textId="77777777" w:rsidR="009F3F49" w:rsidRDefault="002636E2" w:rsidP="009F3F49">
      <w:pPr>
        <w:pStyle w:val="ListParagraph"/>
        <w:numPr>
          <w:ilvl w:val="0"/>
          <w:numId w:val="2"/>
        </w:numPr>
      </w:pPr>
      <w:r>
        <w:t>Monopulse processing</w:t>
      </w:r>
      <w:r w:rsidR="009F3F49">
        <w:t xml:space="preserve">  </w:t>
      </w:r>
    </w:p>
    <w:p w14:paraId="4AC080F7" w14:textId="77777777" w:rsidR="002636E2" w:rsidRDefault="002636E2" w:rsidP="002636E2">
      <w:r w:rsidRPr="006A53EA">
        <w:rPr>
          <w:b/>
        </w:rPr>
        <w:t>Radar unit SNR</w:t>
      </w:r>
      <w:r>
        <w:t xml:space="preserve"> is calculated by using basic radar equation</w:t>
      </w:r>
      <w:r w:rsidR="00232A59">
        <w:t xml:space="preserve"> for pulse-Doppler radar and discrete target</w:t>
      </w:r>
      <w:r>
        <w:t xml:space="preserve">:  </w:t>
      </w:r>
    </w:p>
    <w:p w14:paraId="56206AD5" w14:textId="381A4CF9" w:rsidR="003A6DE7" w:rsidRDefault="002636E2" w:rsidP="003A6DE7">
      <w:pPr>
        <w:rPr>
          <w:rFonts w:eastAsiaTheme="minorEastAsia"/>
        </w:rPr>
      </w:pPr>
      <m:oMath>
        <m:r>
          <w:rPr>
            <w:rFonts w:ascii="Cambria Math" w:hAnsi="Cambria Math"/>
          </w:rPr>
          <m:t>SNR=</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sidR="00241804">
        <w:rPr>
          <w:rFonts w:eastAsiaTheme="minorEastAsia"/>
        </w:rPr>
        <w:t>(4π)</w:t>
      </w:r>
      <w:r w:rsidR="00F408DE">
        <w:rPr>
          <w:rFonts w:eastAsiaTheme="minorEastAsia"/>
          <w:vertAlign w:val="superscript"/>
        </w:rPr>
        <w:t>3</w:t>
      </w:r>
      <m:oMath>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R</m:t>
            </m:r>
          </m:e>
          <m:sup>
            <m:r>
              <w:rPr>
                <w:rFonts w:ascii="Cambria Math" w:eastAsiaTheme="minorEastAsia" w:hAnsi="Cambria Math"/>
                <w:vertAlign w:val="superscript"/>
              </w:rPr>
              <m:t>4</m:t>
            </m:r>
          </m:sup>
        </m:sSup>
        <m:r>
          <w:rPr>
            <w:rFonts w:ascii="Cambria Math" w:eastAsiaTheme="minorEastAsia" w:hAnsi="Cambria Math"/>
            <w:vertAlign w:val="superscript"/>
          </w:rPr>
          <m:t>×kT×NF×</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eastAsiaTheme="minorEastAsia" w:hAnsi="Cambria Math"/>
            <w:vertAlign w:val="superscript"/>
          </w:rPr>
          <m:t>]</m:t>
        </m:r>
      </m:oMath>
      <w:r w:rsidR="00F408DE">
        <w:rPr>
          <w:rFonts w:eastAsiaTheme="minorEastAsia"/>
          <w:vertAlign w:val="superscript"/>
        </w:rPr>
        <w:t xml:space="preserve">  </w:t>
      </w:r>
      <w:r w:rsidR="00F408DE">
        <w:rPr>
          <w:rFonts w:eastAsiaTheme="minorEastAsia"/>
        </w:rPr>
        <w:t xml:space="preserve"> </w:t>
      </w:r>
    </w:p>
    <w:p w14:paraId="58977370" w14:textId="76ED018F" w:rsidR="00AD3E1D" w:rsidRDefault="00F408DE" w:rsidP="003A6DE7">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is transmit power during the pulse, </w:t>
      </w:r>
      <m:oMath>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e>
        </m:d>
        <m:r>
          <w:rPr>
            <w:rFonts w:ascii="Cambria Math" w:hAnsi="Cambria Math"/>
          </w:rPr>
          <m:t xml:space="preserve"> and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m:t>
        </m:r>
      </m:oMath>
      <w:r>
        <w:rPr>
          <w:rFonts w:eastAsiaTheme="minorEastAsia"/>
        </w:rPr>
        <w:t xml:space="preserve"> </w:t>
      </w:r>
      <w:r w:rsidR="006D57DF">
        <w:rPr>
          <w:rFonts w:eastAsiaTheme="minorEastAsia"/>
        </w:rPr>
        <w:t>are</w:t>
      </w:r>
      <w:r>
        <w:rPr>
          <w:rFonts w:eastAsiaTheme="minorEastAsia"/>
        </w:rPr>
        <w:t xml:space="preserve"> gain of the transmit </w:t>
      </w:r>
      <w:r w:rsidR="006D57DF">
        <w:rPr>
          <w:rFonts w:eastAsiaTheme="minorEastAsia"/>
        </w:rPr>
        <w:t>and</w:t>
      </w:r>
      <w:r>
        <w:rPr>
          <w:rFonts w:eastAsiaTheme="minorEastAsia"/>
        </w:rPr>
        <w:t xml:space="preserve"> receive antenna</w:t>
      </w:r>
      <w:r w:rsidR="006D57DF">
        <w:rPr>
          <w:rFonts w:eastAsiaTheme="minorEastAsia"/>
        </w:rPr>
        <w:t xml:space="preserve">s consequently as function of the angle </w:t>
      </w:r>
      <m:oMath>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v</m:t>
            </m:r>
          </m:sub>
        </m:sSub>
      </m:oMath>
      <w:r w:rsidR="006001DA">
        <w:t xml:space="preserve"> which </w:t>
      </w:r>
      <w:r w:rsidR="00AD3E1D">
        <w:t xml:space="preserve">are </w:t>
      </w:r>
      <w:r w:rsidR="006001DA">
        <w:t>incident angle</w:t>
      </w:r>
      <w:r w:rsidR="00AD3E1D">
        <w:t>s in horizontal and vertical planes</w:t>
      </w:r>
      <w:r w:rsidR="006001DA">
        <w:t xml:space="preserve"> relatively to antenna boresight</w:t>
      </w:r>
      <w:r>
        <w:rPr>
          <w:rFonts w:eastAsiaTheme="minorEastAsia"/>
        </w:rPr>
        <w:t>,</w:t>
      </w:r>
      <w:r w:rsidR="00A26668">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A26668">
        <w:rPr>
          <w:rFonts w:eastAsiaTheme="minorEastAsia"/>
        </w:rPr>
        <w:t xml:space="preserve"> is pulse length,</w:t>
      </w:r>
      <w:r w:rsidR="00382994">
        <w:rPr>
          <w:rFonts w:eastAsiaTheme="minorEastAsia"/>
        </w:rPr>
        <w:t xml:space="preserve"> </w:t>
      </w:r>
      <m:oMath>
        <m:r>
          <w:rPr>
            <w:rFonts w:ascii="Cambria Math" w:hAnsi="Cambria Math"/>
          </w:rPr>
          <m:t>λ</m:t>
        </m:r>
      </m:oMath>
      <w:r>
        <w:rPr>
          <w:rFonts w:eastAsiaTheme="minorEastAsia"/>
        </w:rPr>
        <w:t xml:space="preserve"> </w:t>
      </w:r>
      <w:r w:rsidR="00382994">
        <w:rPr>
          <w:rFonts w:eastAsiaTheme="minorEastAsia"/>
        </w:rPr>
        <w:t xml:space="preserve">is RF wavelength,  </w:t>
      </w:r>
      <m:oMath>
        <m:r>
          <w:rPr>
            <w:rFonts w:ascii="Cambria Math" w:hAnsi="Cambria Math"/>
          </w:rPr>
          <m:t>σ</m:t>
        </m:r>
      </m:oMath>
      <w:r>
        <w:rPr>
          <w:rFonts w:eastAsiaTheme="minorEastAsia"/>
        </w:rPr>
        <w:t xml:space="preserve"> is target RCS,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is number of pulse in CPI, R is range to the target</w:t>
      </w:r>
      <w:r w:rsidR="002963C8">
        <w:rPr>
          <w:rFonts w:eastAsiaTheme="minorEastAsia"/>
        </w:rPr>
        <w:t>, k = 1.38 x 10</w:t>
      </w:r>
      <w:r w:rsidR="002963C8" w:rsidRPr="002963C8">
        <w:rPr>
          <w:rFonts w:eastAsiaTheme="minorEastAsia"/>
          <w:vertAlign w:val="superscript"/>
        </w:rPr>
        <w:t>-23</w:t>
      </w:r>
      <w:r w:rsidR="002963C8">
        <w:rPr>
          <w:rFonts w:eastAsiaTheme="minorEastAsia"/>
        </w:rPr>
        <w:t xml:space="preserve"> is Boltzmann constant, T=290K is standard temperature, NF – noise figure of the radar receiver,</w:t>
      </w:r>
      <w:r w:rsidR="00A26668">
        <w:rPr>
          <w:rFonts w:eastAsiaTheme="minorEastAsia"/>
        </w:rPr>
        <w:t xml:space="preserve"> and</w:t>
      </w:r>
      <w:r w:rsidR="00BD5FC0">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2963C8">
        <w:rPr>
          <w:rFonts w:eastAsiaTheme="minorEastAsia"/>
        </w:rPr>
        <w:t xml:space="preserve"> </w:t>
      </w:r>
      <w:r w:rsidR="00BD5FC0">
        <w:rPr>
          <w:rFonts w:eastAsiaTheme="minorEastAsia"/>
        </w:rPr>
        <w:t>– radar total losses</w:t>
      </w:r>
      <w:r w:rsidR="002963C8">
        <w:rPr>
          <w:rFonts w:eastAsiaTheme="minorEastAsia"/>
        </w:rPr>
        <w:t>.</w:t>
      </w:r>
      <w:r w:rsidR="006D57DF">
        <w:rPr>
          <w:rFonts w:eastAsiaTheme="minorEastAsia"/>
        </w:rPr>
        <w:t xml:space="preserve"> </w:t>
      </w:r>
      <w:r w:rsidR="00AD3E1D">
        <w:rPr>
          <w:rFonts w:eastAsiaTheme="minorEastAsia"/>
        </w:rPr>
        <w:t xml:space="preserve"> </w:t>
      </w:r>
    </w:p>
    <w:p w14:paraId="7D61B87E" w14:textId="3736D49F" w:rsidR="00EC40FF" w:rsidRDefault="00EC40FF" w:rsidP="003A6DE7">
      <w:pPr>
        <w:rPr>
          <w:rFonts w:eastAsiaTheme="minorEastAsia"/>
        </w:rPr>
      </w:pPr>
      <w:r>
        <w:rPr>
          <w:rFonts w:eastAsiaTheme="minorEastAsia"/>
        </w:rPr>
        <w:t>For MATLAB model radar signal and noise will be calculated separately.  Energy of the signal</w:t>
      </w:r>
      <w:r w:rsidR="00A7586C">
        <w:rPr>
          <w:rFonts w:eastAsiaTheme="minorEastAsia"/>
        </w:rPr>
        <w:t xml:space="preserve"> at the radar receiver input</w:t>
      </w:r>
      <w:r>
        <w:rPr>
          <w:rFonts w:eastAsiaTheme="minorEastAsia"/>
        </w:rPr>
        <w:t xml:space="preserve"> </w:t>
      </w:r>
      <w:r w:rsidR="00A7586C">
        <w:rPr>
          <w:rFonts w:eastAsiaTheme="minorEastAsia"/>
        </w:rPr>
        <w:t xml:space="preserve">during </w:t>
      </w:r>
      <w:r>
        <w:rPr>
          <w:rFonts w:eastAsiaTheme="minorEastAsia"/>
        </w:rPr>
        <w:t>single CPI cycle is equal to:</w:t>
      </w:r>
    </w:p>
    <w:p w14:paraId="754C460A" w14:textId="6E134593" w:rsidR="00A7586C" w:rsidRDefault="00A7586C" w:rsidP="00A7586C">
      <w:pPr>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×σ(F,Θ)×</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Pr>
          <w:rFonts w:eastAsiaTheme="minorEastAsia"/>
        </w:rPr>
        <w:t>(4π)</w:t>
      </w:r>
      <w:r>
        <w:rPr>
          <w:rFonts w:eastAsiaTheme="minorEastAsia"/>
          <w:vertAlign w:val="superscript"/>
        </w:rPr>
        <w:t>3</w:t>
      </w:r>
      <m:oMath>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R</m:t>
            </m:r>
          </m:e>
          <m:sup>
            <m:r>
              <w:rPr>
                <w:rFonts w:ascii="Cambria Math" w:eastAsiaTheme="minorEastAsia" w:hAnsi="Cambria Math"/>
                <w:vertAlign w:val="superscript"/>
              </w:rPr>
              <m:t>4</m:t>
            </m:r>
          </m:sup>
        </m:sSup>
        <m:r>
          <w:rPr>
            <w:rFonts w:ascii="Cambria Math" w:eastAsiaTheme="minorEastAsia" w:hAnsi="Cambria Math"/>
            <w:vertAlign w:val="superscript"/>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eastAsiaTheme="minorEastAsia" w:hAnsi="Cambria Math"/>
            <w:vertAlign w:val="superscript"/>
          </w:rPr>
          <m:t>]</m:t>
        </m:r>
      </m:oMath>
      <w:r>
        <w:rPr>
          <w:rFonts w:eastAsiaTheme="minorEastAsia"/>
          <w:vertAlign w:val="superscript"/>
        </w:rPr>
        <w:t xml:space="preserve">  </w:t>
      </w:r>
      <w:r>
        <w:rPr>
          <w:rFonts w:eastAsiaTheme="minorEastAsia"/>
        </w:rPr>
        <w:t xml:space="preserve"> </w:t>
      </w:r>
    </w:p>
    <w:p w14:paraId="78B95539" w14:textId="7B688C19" w:rsidR="00A7586C" w:rsidRDefault="00A7586C" w:rsidP="00A7586C">
      <w:pPr>
        <w:rPr>
          <w:rFonts w:eastAsiaTheme="minorEastAsia"/>
        </w:rPr>
      </w:pPr>
      <w:r>
        <w:rPr>
          <w:rFonts w:eastAsiaTheme="minorEastAsia"/>
        </w:rPr>
        <w:t xml:space="preserve">where </w:t>
      </w:r>
      <m:oMath>
        <m:r>
          <w:rPr>
            <w:rFonts w:ascii="Cambria Math" w:hAnsi="Cambria Math"/>
          </w:rPr>
          <m:t>σ(F,Θ)</m:t>
        </m:r>
      </m:oMath>
      <w:r>
        <w:rPr>
          <w:rFonts w:eastAsiaTheme="minorEastAsia"/>
        </w:rPr>
        <w:t xml:space="preserve"> is </w:t>
      </w:r>
      <w:r w:rsidR="008213CA">
        <w:rPr>
          <w:rFonts w:eastAsiaTheme="minorEastAsia"/>
        </w:rPr>
        <w:t xml:space="preserve">target RCS for different frequency carrier (F) and aspect angle (Θ) as </w:t>
      </w:r>
      <w:r w:rsidR="006B3FA5">
        <w:rPr>
          <w:rFonts w:eastAsiaTheme="minorEastAsia"/>
        </w:rPr>
        <w:t>explained above (see Target RCS Model section).</w:t>
      </w:r>
      <w:r>
        <w:rPr>
          <w:rFonts w:eastAsiaTheme="minorEastAsia"/>
        </w:rPr>
        <w:t xml:space="preserve"> </w:t>
      </w:r>
    </w:p>
    <w:p w14:paraId="7574ABC7" w14:textId="77777777" w:rsidR="00C6666B" w:rsidRDefault="00C6666B" w:rsidP="00C6666B">
      <w:pPr>
        <w:rPr>
          <w:rFonts w:eastAsiaTheme="minorEastAsia"/>
        </w:rPr>
      </w:pPr>
      <w:r>
        <w:rPr>
          <w:rFonts w:eastAsiaTheme="minorEastAsia"/>
        </w:rPr>
        <w:t>Antenna gain as function of the incident angles considers the gain decreasing if incident angle differs from boresight position. SEMTA and TRASAT radars have electronically beam steering and monopulse capabilities in horizontal direction, which allow point the radar beam to the direction of the target. However, the antenna gain is still proportional to cos</w:t>
      </w:r>
      <m:oMath>
        <m:sSub>
          <m:sSubPr>
            <m:ctrlPr>
              <w:rPr>
                <w:rFonts w:ascii="Cambria Math" w:hAnsi="Cambria Math"/>
                <w:i/>
              </w:rPr>
            </m:ctrlPr>
          </m:sSubPr>
          <m:e>
            <m:r>
              <w:rPr>
                <w:rFonts w:ascii="Cambria Math" w:hAnsi="Cambria Math"/>
              </w:rPr>
              <m:t>Θ</m:t>
            </m:r>
          </m:e>
          <m:sub>
            <m:r>
              <w:rPr>
                <w:rFonts w:ascii="Cambria Math" w:hAnsi="Cambria Math"/>
              </w:rPr>
              <m:t>h</m:t>
            </m:r>
          </m:sub>
        </m:sSub>
      </m:oMath>
      <w:r>
        <w:rPr>
          <w:rFonts w:eastAsiaTheme="minorEastAsia"/>
        </w:rPr>
        <w:t xml:space="preserve"> as the cosine factor characterize antenna projection to the incident wave direction. For SEMTA radar operation, gimbal mechanism is going to adjust antenna vertical position to the horizon. TRASAT radar has also vertical monopulse functionality, which allow to adjust radar vertical beam angle to target direction by using the mechanical gimbal. Wide vertical angle (about 20 degree) of the TRASAT radar allow very rough (+/-5 degree) accuracy of the mechanical tuning. Thus, for both SEMTA and TRASAT radars we can use following expressions for antenna gain:</w:t>
      </w:r>
    </w:p>
    <w:p w14:paraId="17EEE74F" w14:textId="5757BD05" w:rsidR="00C6666B" w:rsidRDefault="00C726CE" w:rsidP="00C6666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0,0</m:t>
            </m:r>
          </m:e>
        </m:d>
        <m:r>
          <m:rPr>
            <m:sty m:val="p"/>
          </m:rPr>
          <w:rPr>
            <w:rFonts w:ascii="Cambria Math" w:eastAsiaTheme="minorEastAsia" w:hAnsi="Cambria Math"/>
          </w:rPr>
          <m:t>cos</m:t>
        </m:r>
        <m:sSub>
          <m:sSubPr>
            <m:ctrlPr>
              <w:rPr>
                <w:rFonts w:ascii="Cambria Math" w:hAnsi="Cambria Math"/>
                <w:i/>
              </w:rPr>
            </m:ctrlPr>
          </m:sSubPr>
          <m:e>
            <m:r>
              <w:rPr>
                <w:rFonts w:ascii="Cambria Math" w:hAnsi="Cambria Math"/>
              </w:rPr>
              <m:t>Θ</m:t>
            </m:r>
          </m:e>
          <m:sub>
            <m:r>
              <w:rPr>
                <w:rFonts w:ascii="Cambria Math" w:hAnsi="Cambria Math"/>
              </w:rPr>
              <m:t>h</m:t>
            </m:r>
          </m:sub>
        </m:sSub>
      </m:oMath>
      <w:r w:rsidR="00C6666B">
        <w:rPr>
          <w:rFonts w:eastAsiaTheme="minorEastAsia"/>
        </w:rPr>
        <w:t xml:space="preserve"> , and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0,0</m:t>
            </m:r>
          </m:e>
        </m:d>
        <m:r>
          <m:rPr>
            <m:sty m:val="p"/>
          </m:rPr>
          <w:rPr>
            <w:rFonts w:ascii="Cambria Math" w:eastAsiaTheme="minorEastAsia" w:hAnsi="Cambria Math"/>
          </w:rPr>
          <m:t>cos</m:t>
        </m:r>
        <m:sSub>
          <m:sSubPr>
            <m:ctrlPr>
              <w:rPr>
                <w:rFonts w:ascii="Cambria Math" w:hAnsi="Cambria Math"/>
                <w:i/>
              </w:rPr>
            </m:ctrlPr>
          </m:sSubPr>
          <m:e>
            <m:r>
              <w:rPr>
                <w:rFonts w:ascii="Cambria Math" w:hAnsi="Cambria Math"/>
              </w:rPr>
              <m:t>Θ</m:t>
            </m:r>
          </m:e>
          <m:sub>
            <m:r>
              <w:rPr>
                <w:rFonts w:ascii="Cambria Math" w:hAnsi="Cambria Math"/>
              </w:rPr>
              <m:t>h</m:t>
            </m:r>
          </m:sub>
        </m:sSub>
      </m:oMath>
    </w:p>
    <w:p w14:paraId="708E7AFB" w14:textId="77777777" w:rsidR="00C6666B" w:rsidRDefault="00C6666B" w:rsidP="00C6666B">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0,0</m:t>
            </m:r>
          </m:e>
        </m:d>
        <m:r>
          <w:rPr>
            <w:rFonts w:ascii="Cambria Math" w:hAnsi="Cambria Math"/>
          </w:rPr>
          <m:t xml:space="preserve"> and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(0,0</m:t>
        </m:r>
      </m:oMath>
      <w:r>
        <w:rPr>
          <w:rFonts w:eastAsiaTheme="minorEastAsia"/>
        </w:rPr>
        <w:t>) are transmit and receive antenna gain in the boresight direction.</w:t>
      </w:r>
    </w:p>
    <w:p w14:paraId="14F49D14" w14:textId="2CC1F0D5" w:rsidR="00A7586C" w:rsidRPr="00C6666B" w:rsidRDefault="00A7586C" w:rsidP="00A7586C">
      <w:pPr>
        <w:rPr>
          <w:rFonts w:eastAsiaTheme="minorEastAsia"/>
        </w:rPr>
      </w:pPr>
      <w:r>
        <w:rPr>
          <w:rFonts w:eastAsiaTheme="minorEastAsia"/>
        </w:rPr>
        <w:t xml:space="preserve">Radar </w:t>
      </w:r>
      <w:r w:rsidR="006B3FA5">
        <w:rPr>
          <w:rFonts w:eastAsiaTheme="minorEastAsia"/>
        </w:rPr>
        <w:t>receiver noise will be simulated</w:t>
      </w:r>
      <w:r w:rsidR="00C6666B">
        <w:rPr>
          <w:rFonts w:eastAsiaTheme="minorEastAsia"/>
        </w:rPr>
        <w:t xml:space="preserve"> in MATLAB</w:t>
      </w:r>
      <w:r w:rsidR="006B3FA5">
        <w:rPr>
          <w:rFonts w:eastAsiaTheme="minorEastAsia"/>
        </w:rPr>
        <w:t xml:space="preserve"> by using Monte Carlo algorithm. Root mean value (RMS) of the noise should be equal to </w:t>
      </w:r>
      <m:oMath>
        <m:r>
          <w:rPr>
            <w:rFonts w:ascii="Cambria Math" w:eastAsiaTheme="minorEastAsia" w:hAnsi="Cambria Math"/>
            <w:vertAlign w:val="superscript"/>
          </w:rPr>
          <m:t>kT×NF</m:t>
        </m:r>
      </m:oMath>
      <w:r w:rsidR="006B3FA5">
        <w:rPr>
          <w:rFonts w:eastAsiaTheme="minorEastAsia"/>
          <w:vertAlign w:val="superscript"/>
        </w:rPr>
        <w:t xml:space="preserve"> </w:t>
      </w:r>
      <w:r w:rsidR="00C6666B">
        <w:rPr>
          <w:rFonts w:eastAsiaTheme="minorEastAsia"/>
        </w:rPr>
        <w:t>.</w:t>
      </w:r>
    </w:p>
    <w:p w14:paraId="42F00527" w14:textId="67AF94AF" w:rsidR="002963C8" w:rsidRDefault="002963C8" w:rsidP="003A6DE7">
      <w:pPr>
        <w:rPr>
          <w:rFonts w:eastAsiaTheme="minorEastAsia"/>
        </w:rPr>
      </w:pPr>
      <w:r>
        <w:rPr>
          <w:rFonts w:eastAsiaTheme="minorEastAsia"/>
        </w:rPr>
        <w:t>Table below contains all the parameters for TRASAT and SEMTA radar units</w:t>
      </w:r>
      <w:r w:rsidR="00382994">
        <w:rPr>
          <w:rFonts w:eastAsiaTheme="minorEastAsia"/>
        </w:rPr>
        <w:t xml:space="preserve"> i</w:t>
      </w:r>
      <w:r w:rsidR="00FE4C79">
        <w:rPr>
          <w:rFonts w:eastAsiaTheme="minorEastAsia"/>
        </w:rPr>
        <w:t xml:space="preserve">n accordance </w:t>
      </w:r>
      <w:r w:rsidR="00382994">
        <w:rPr>
          <w:rFonts w:eastAsiaTheme="minorEastAsia"/>
        </w:rPr>
        <w:t>of</w:t>
      </w:r>
      <w:r w:rsidR="00FE4C79">
        <w:rPr>
          <w:rFonts w:eastAsiaTheme="minorEastAsia"/>
        </w:rPr>
        <w:t xml:space="preserve"> our p</w:t>
      </w:r>
      <w:r w:rsidR="00382994">
        <w:rPr>
          <w:rFonts w:eastAsiaTheme="minorEastAsia"/>
        </w:rPr>
        <w:t>r</w:t>
      </w:r>
      <w:r w:rsidR="00FE4C79">
        <w:rPr>
          <w:rFonts w:eastAsiaTheme="minorEastAsia"/>
        </w:rPr>
        <w:t>e</w:t>
      </w:r>
      <w:r w:rsidR="00382994">
        <w:rPr>
          <w:rFonts w:eastAsiaTheme="minorEastAsia"/>
        </w:rPr>
        <w:t>li</w:t>
      </w:r>
      <w:r w:rsidR="00FE4C79">
        <w:rPr>
          <w:rFonts w:eastAsiaTheme="minorEastAsia"/>
        </w:rPr>
        <w:t>minary</w:t>
      </w:r>
      <w:r w:rsidR="00382994">
        <w:rPr>
          <w:rFonts w:eastAsiaTheme="minorEastAsia"/>
        </w:rPr>
        <w:t xml:space="preserve"> design.</w:t>
      </w:r>
      <w:r w:rsidR="00FE4C79">
        <w:rPr>
          <w:rFonts w:eastAsiaTheme="minorEastAsia"/>
        </w:rPr>
        <w:t xml:space="preserve"> </w:t>
      </w:r>
      <w:r w:rsidR="004A24A7">
        <w:rPr>
          <w:rFonts w:eastAsiaTheme="minorEastAsia"/>
        </w:rPr>
        <w:t>In differ of SEMTA</w:t>
      </w:r>
      <w:r w:rsidR="00336145">
        <w:rPr>
          <w:rFonts w:eastAsiaTheme="minorEastAsia"/>
        </w:rPr>
        <w:t xml:space="preserve">, </w:t>
      </w:r>
      <w:r w:rsidR="00930697">
        <w:rPr>
          <w:rFonts w:eastAsiaTheme="minorEastAsia"/>
        </w:rPr>
        <w:t>TRASAT</w:t>
      </w:r>
      <w:r w:rsidR="00336145">
        <w:rPr>
          <w:rFonts w:eastAsiaTheme="minorEastAsia"/>
        </w:rPr>
        <w:t xml:space="preserve"> has two receive antennas</w:t>
      </w:r>
      <w:r w:rsidR="00930697">
        <w:rPr>
          <w:rFonts w:eastAsiaTheme="minorEastAsia"/>
        </w:rPr>
        <w:t>, which can be used either for monopulse operation or for Pd improvement.</w:t>
      </w:r>
    </w:p>
    <w:p w14:paraId="55E7F3F6" w14:textId="77777777" w:rsidR="00046127" w:rsidRDefault="00046127" w:rsidP="003A6DE7">
      <w:pPr>
        <w:rPr>
          <w:rFonts w:eastAsiaTheme="minorEastAsia"/>
        </w:rPr>
      </w:pPr>
    </w:p>
    <w:tbl>
      <w:tblPr>
        <w:tblStyle w:val="TableGrid"/>
        <w:tblW w:w="9265" w:type="dxa"/>
        <w:tblLook w:val="04A0" w:firstRow="1" w:lastRow="0" w:firstColumn="1" w:lastColumn="0" w:noHBand="0" w:noVBand="1"/>
      </w:tblPr>
      <w:tblGrid>
        <w:gridCol w:w="907"/>
        <w:gridCol w:w="791"/>
        <w:gridCol w:w="1087"/>
        <w:gridCol w:w="990"/>
        <w:gridCol w:w="900"/>
        <w:gridCol w:w="1080"/>
        <w:gridCol w:w="1080"/>
        <w:gridCol w:w="900"/>
        <w:gridCol w:w="810"/>
        <w:gridCol w:w="720"/>
      </w:tblGrid>
      <w:tr w:rsidR="00A26668" w14:paraId="5C1A0DA0" w14:textId="77777777" w:rsidTr="00B93099">
        <w:trPr>
          <w:trHeight w:val="284"/>
        </w:trPr>
        <w:tc>
          <w:tcPr>
            <w:tcW w:w="907" w:type="dxa"/>
          </w:tcPr>
          <w:p w14:paraId="0D029358" w14:textId="77777777" w:rsidR="00A26668" w:rsidRPr="00121354" w:rsidRDefault="00A26668" w:rsidP="00382994">
            <w:pPr>
              <w:jc w:val="center"/>
              <w:rPr>
                <w:rFonts w:ascii="Calibri" w:eastAsia="Calibri" w:hAnsi="Calibri" w:cs="Times New Roman"/>
              </w:rPr>
            </w:pPr>
          </w:p>
        </w:tc>
        <w:tc>
          <w:tcPr>
            <w:tcW w:w="791" w:type="dxa"/>
          </w:tcPr>
          <w:p w14:paraId="36DB5935" w14:textId="77777777" w:rsidR="00A26668" w:rsidRDefault="00C726CE" w:rsidP="00382994">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oMath>
            </m:oMathPara>
          </w:p>
        </w:tc>
        <w:tc>
          <w:tcPr>
            <w:tcW w:w="1087" w:type="dxa"/>
          </w:tcPr>
          <w:p w14:paraId="17FA0F9D" w14:textId="07D4809D" w:rsidR="00A26668" w:rsidRDefault="00C726CE" w:rsidP="00382994">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(0,0)</m:t>
                </m:r>
              </m:oMath>
            </m:oMathPara>
          </w:p>
        </w:tc>
        <w:tc>
          <w:tcPr>
            <w:tcW w:w="990" w:type="dxa"/>
          </w:tcPr>
          <w:p w14:paraId="6F35A6D7" w14:textId="15F04B09" w:rsidR="00A26668" w:rsidRDefault="00C726CE" w:rsidP="00382994">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(0,0)</m:t>
                </m:r>
              </m:oMath>
            </m:oMathPara>
          </w:p>
        </w:tc>
        <w:tc>
          <w:tcPr>
            <w:tcW w:w="900" w:type="dxa"/>
          </w:tcPr>
          <w:p w14:paraId="34104302" w14:textId="70E1C7F6" w:rsidR="00A26668" w:rsidRDefault="00C726CE" w:rsidP="00382994">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τ</m:t>
                    </m:r>
                  </m:e>
                  <m:sub>
                    <m:r>
                      <w:rPr>
                        <w:rFonts w:ascii="Cambria Math" w:hAnsi="Cambria Math"/>
                      </w:rPr>
                      <m:t>p</m:t>
                    </m:r>
                  </m:sub>
                </m:sSub>
              </m:oMath>
            </m:oMathPara>
          </w:p>
        </w:tc>
        <w:tc>
          <w:tcPr>
            <w:tcW w:w="1080" w:type="dxa"/>
          </w:tcPr>
          <w:p w14:paraId="784E77C5" w14:textId="6A860F92" w:rsidR="00A26668" w:rsidRDefault="00A26668" w:rsidP="00382994">
            <w:pPr>
              <w:jc w:val="center"/>
              <w:rPr>
                <w:rFonts w:eastAsiaTheme="minorEastAsia"/>
              </w:rPr>
            </w:pPr>
            <m:oMathPara>
              <m:oMath>
                <m:r>
                  <w:rPr>
                    <w:rFonts w:ascii="Cambria Math" w:hAnsi="Cambria Math"/>
                  </w:rPr>
                  <m:t>λ</m:t>
                </m:r>
              </m:oMath>
            </m:oMathPara>
          </w:p>
        </w:tc>
        <w:tc>
          <w:tcPr>
            <w:tcW w:w="1080" w:type="dxa"/>
          </w:tcPr>
          <w:p w14:paraId="7555AF88" w14:textId="77777777" w:rsidR="00A26668" w:rsidRDefault="00A26668" w:rsidP="00382994">
            <w:pPr>
              <w:jc w:val="center"/>
              <w:rPr>
                <w:rFonts w:eastAsiaTheme="minorEastAsia"/>
              </w:rPr>
            </w:pPr>
            <m:oMathPara>
              <m:oMath>
                <m:r>
                  <w:rPr>
                    <w:rFonts w:ascii="Cambria Math" w:hAnsi="Cambria Math"/>
                  </w:rPr>
                  <m:t>σ</m:t>
                </m:r>
              </m:oMath>
            </m:oMathPara>
          </w:p>
        </w:tc>
        <w:tc>
          <w:tcPr>
            <w:tcW w:w="900" w:type="dxa"/>
          </w:tcPr>
          <w:p w14:paraId="733BF50E" w14:textId="77777777" w:rsidR="00A26668" w:rsidRDefault="00C726CE" w:rsidP="00382994">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810" w:type="dxa"/>
          </w:tcPr>
          <w:p w14:paraId="5E3515A4" w14:textId="77777777" w:rsidR="00A26668" w:rsidRDefault="00A26668" w:rsidP="00382994">
            <w:pPr>
              <w:jc w:val="center"/>
              <w:rPr>
                <w:rFonts w:eastAsiaTheme="minorEastAsia"/>
              </w:rPr>
            </w:pPr>
            <w:r>
              <w:rPr>
                <w:rFonts w:eastAsiaTheme="minorEastAsia"/>
              </w:rPr>
              <w:t>NF</w:t>
            </w:r>
          </w:p>
        </w:tc>
        <w:tc>
          <w:tcPr>
            <w:tcW w:w="720" w:type="dxa"/>
          </w:tcPr>
          <w:p w14:paraId="0EFEA8D9" w14:textId="2B8AEE6F" w:rsidR="00A26668" w:rsidRDefault="00C726CE" w:rsidP="00382994">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r</m:t>
                    </m:r>
                  </m:sub>
                </m:sSub>
              </m:oMath>
            </m:oMathPara>
          </w:p>
        </w:tc>
      </w:tr>
      <w:tr w:rsidR="00A26668" w14:paraId="12D37369" w14:textId="77777777" w:rsidTr="00B93099">
        <w:trPr>
          <w:trHeight w:val="260"/>
        </w:trPr>
        <w:tc>
          <w:tcPr>
            <w:tcW w:w="907" w:type="dxa"/>
          </w:tcPr>
          <w:p w14:paraId="6E898C5D" w14:textId="77777777" w:rsidR="00A26668" w:rsidRPr="00121354" w:rsidRDefault="00A26668" w:rsidP="00382994">
            <w:pPr>
              <w:jc w:val="center"/>
              <w:rPr>
                <w:rFonts w:ascii="Calibri" w:eastAsia="Calibri" w:hAnsi="Calibri" w:cs="Times New Roman"/>
              </w:rPr>
            </w:pPr>
            <w:r>
              <w:rPr>
                <w:rFonts w:ascii="Calibri" w:eastAsia="Calibri" w:hAnsi="Calibri" w:cs="Times New Roman"/>
              </w:rPr>
              <w:t>TRASAT</w:t>
            </w:r>
          </w:p>
        </w:tc>
        <w:tc>
          <w:tcPr>
            <w:tcW w:w="791" w:type="dxa"/>
          </w:tcPr>
          <w:p w14:paraId="2DDAB270" w14:textId="00CBDFE7" w:rsidR="00A26668" w:rsidRDefault="00A26668" w:rsidP="00382994">
            <w:pPr>
              <w:jc w:val="center"/>
              <w:rPr>
                <w:rFonts w:eastAsiaTheme="minorEastAsia"/>
              </w:rPr>
            </w:pPr>
            <w:r>
              <w:rPr>
                <w:rFonts w:eastAsiaTheme="minorEastAsia"/>
              </w:rPr>
              <w:t>64W</w:t>
            </w:r>
          </w:p>
        </w:tc>
        <w:tc>
          <w:tcPr>
            <w:tcW w:w="1087" w:type="dxa"/>
          </w:tcPr>
          <w:p w14:paraId="39FC46D5" w14:textId="77777777" w:rsidR="00A26668" w:rsidRDefault="00A26668" w:rsidP="00382994">
            <w:pPr>
              <w:jc w:val="center"/>
              <w:rPr>
                <w:rFonts w:eastAsiaTheme="minorEastAsia"/>
              </w:rPr>
            </w:pPr>
            <w:r>
              <w:rPr>
                <w:rFonts w:eastAsiaTheme="minorEastAsia"/>
              </w:rPr>
              <w:t xml:space="preserve">23 </w:t>
            </w:r>
            <w:proofErr w:type="spellStart"/>
            <w:r>
              <w:rPr>
                <w:rFonts w:eastAsiaTheme="minorEastAsia"/>
              </w:rPr>
              <w:t>dBi</w:t>
            </w:r>
            <w:proofErr w:type="spellEnd"/>
          </w:p>
        </w:tc>
        <w:tc>
          <w:tcPr>
            <w:tcW w:w="990" w:type="dxa"/>
          </w:tcPr>
          <w:p w14:paraId="1E36328C" w14:textId="204DD82F" w:rsidR="00A26668" w:rsidRDefault="00A26668" w:rsidP="00382994">
            <w:pPr>
              <w:jc w:val="center"/>
              <w:rPr>
                <w:rFonts w:eastAsiaTheme="minorEastAsia"/>
              </w:rPr>
            </w:pPr>
            <w:r>
              <w:rPr>
                <w:rFonts w:eastAsiaTheme="minorEastAsia"/>
              </w:rPr>
              <w:t xml:space="preserve">23 </w:t>
            </w:r>
            <w:proofErr w:type="spellStart"/>
            <w:r>
              <w:rPr>
                <w:rFonts w:eastAsiaTheme="minorEastAsia"/>
              </w:rPr>
              <w:t>dBi</w:t>
            </w:r>
            <w:proofErr w:type="spellEnd"/>
          </w:p>
        </w:tc>
        <w:tc>
          <w:tcPr>
            <w:tcW w:w="900" w:type="dxa"/>
          </w:tcPr>
          <w:p w14:paraId="41D754B4" w14:textId="193B96F4" w:rsidR="00A26668" w:rsidRDefault="00A26668" w:rsidP="00382994">
            <w:pPr>
              <w:jc w:val="center"/>
              <w:rPr>
                <w:rFonts w:eastAsiaTheme="minorEastAsia"/>
              </w:rPr>
            </w:pPr>
            <w:r>
              <w:rPr>
                <w:rFonts w:eastAsiaTheme="minorEastAsia"/>
              </w:rPr>
              <w:t xml:space="preserve">20 </w:t>
            </w:r>
            <w:r>
              <w:rPr>
                <w:rFonts w:eastAsiaTheme="minorEastAsia" w:cstheme="minorHAnsi"/>
              </w:rPr>
              <w:t>µs</w:t>
            </w:r>
          </w:p>
        </w:tc>
        <w:tc>
          <w:tcPr>
            <w:tcW w:w="1080" w:type="dxa"/>
          </w:tcPr>
          <w:p w14:paraId="203DDE2F" w14:textId="6EE77DF0" w:rsidR="00A26668" w:rsidRDefault="00A26668" w:rsidP="00382994">
            <w:pPr>
              <w:jc w:val="center"/>
              <w:rPr>
                <w:rFonts w:eastAsiaTheme="minorEastAsia"/>
              </w:rPr>
            </w:pPr>
            <w:r>
              <w:rPr>
                <w:rFonts w:eastAsiaTheme="minorEastAsia"/>
              </w:rPr>
              <w:t>0.032 m</w:t>
            </w:r>
          </w:p>
        </w:tc>
        <w:tc>
          <w:tcPr>
            <w:tcW w:w="1080" w:type="dxa"/>
          </w:tcPr>
          <w:p w14:paraId="008162D5" w14:textId="77777777" w:rsidR="00A26668" w:rsidRPr="00930697" w:rsidRDefault="00A26668" w:rsidP="00382994">
            <w:pPr>
              <w:jc w:val="center"/>
              <w:rPr>
                <w:rFonts w:eastAsiaTheme="minorEastAsia"/>
              </w:rPr>
            </w:pPr>
            <w:r>
              <w:rPr>
                <w:rFonts w:eastAsiaTheme="minorEastAsia"/>
              </w:rPr>
              <w:t>0dBm</w:t>
            </w:r>
            <w:r w:rsidRPr="00930697">
              <w:rPr>
                <w:rFonts w:eastAsiaTheme="minorEastAsia"/>
                <w:vertAlign w:val="superscript"/>
              </w:rPr>
              <w:t>2</w:t>
            </w:r>
          </w:p>
        </w:tc>
        <w:tc>
          <w:tcPr>
            <w:tcW w:w="900" w:type="dxa"/>
          </w:tcPr>
          <w:p w14:paraId="7EB929DE" w14:textId="77777777" w:rsidR="00A26668" w:rsidRDefault="00A26668" w:rsidP="00382994">
            <w:pPr>
              <w:jc w:val="center"/>
              <w:rPr>
                <w:rFonts w:eastAsiaTheme="minorEastAsia"/>
              </w:rPr>
            </w:pPr>
            <w:r>
              <w:rPr>
                <w:rFonts w:eastAsiaTheme="minorEastAsia"/>
              </w:rPr>
              <w:t>512</w:t>
            </w:r>
          </w:p>
        </w:tc>
        <w:tc>
          <w:tcPr>
            <w:tcW w:w="810" w:type="dxa"/>
          </w:tcPr>
          <w:p w14:paraId="20881519" w14:textId="77777777" w:rsidR="00A26668" w:rsidRDefault="00A26668" w:rsidP="00382994">
            <w:pPr>
              <w:jc w:val="center"/>
              <w:rPr>
                <w:rFonts w:eastAsiaTheme="minorEastAsia"/>
              </w:rPr>
            </w:pPr>
            <w:r>
              <w:rPr>
                <w:rFonts w:eastAsiaTheme="minorEastAsia"/>
              </w:rPr>
              <w:t>3 dB</w:t>
            </w:r>
          </w:p>
        </w:tc>
        <w:tc>
          <w:tcPr>
            <w:tcW w:w="720" w:type="dxa"/>
          </w:tcPr>
          <w:p w14:paraId="5367EA7F" w14:textId="518CD4E7" w:rsidR="00A26668" w:rsidRDefault="00926AB4" w:rsidP="00382994">
            <w:pPr>
              <w:jc w:val="center"/>
              <w:rPr>
                <w:rFonts w:eastAsiaTheme="minorEastAsia"/>
              </w:rPr>
            </w:pPr>
            <w:r>
              <w:rPr>
                <w:rFonts w:eastAsiaTheme="minorEastAsia"/>
              </w:rPr>
              <w:t>4</w:t>
            </w:r>
            <w:r w:rsidR="00B93099">
              <w:rPr>
                <w:rFonts w:eastAsiaTheme="minorEastAsia"/>
              </w:rPr>
              <w:t xml:space="preserve"> dB</w:t>
            </w:r>
          </w:p>
        </w:tc>
      </w:tr>
      <w:tr w:rsidR="00A26668" w14:paraId="3685A379" w14:textId="77777777" w:rsidTr="00B93099">
        <w:trPr>
          <w:trHeight w:val="260"/>
        </w:trPr>
        <w:tc>
          <w:tcPr>
            <w:tcW w:w="907" w:type="dxa"/>
          </w:tcPr>
          <w:p w14:paraId="54FF47DA" w14:textId="77777777" w:rsidR="00A26668" w:rsidRPr="00121354" w:rsidRDefault="00A26668" w:rsidP="00382994">
            <w:pPr>
              <w:jc w:val="center"/>
              <w:rPr>
                <w:rFonts w:ascii="Calibri" w:eastAsia="Calibri" w:hAnsi="Calibri" w:cs="Times New Roman"/>
              </w:rPr>
            </w:pPr>
            <w:r>
              <w:rPr>
                <w:rFonts w:ascii="Calibri" w:eastAsia="Calibri" w:hAnsi="Calibri" w:cs="Times New Roman"/>
              </w:rPr>
              <w:t>SEMTA</w:t>
            </w:r>
          </w:p>
        </w:tc>
        <w:tc>
          <w:tcPr>
            <w:tcW w:w="791" w:type="dxa"/>
          </w:tcPr>
          <w:p w14:paraId="607465B0" w14:textId="50E211EC" w:rsidR="00A26668" w:rsidRDefault="00A26668" w:rsidP="00382994">
            <w:pPr>
              <w:jc w:val="center"/>
              <w:rPr>
                <w:rFonts w:eastAsiaTheme="minorEastAsia"/>
              </w:rPr>
            </w:pPr>
            <w:r>
              <w:rPr>
                <w:rFonts w:eastAsiaTheme="minorEastAsia"/>
              </w:rPr>
              <w:t>64W</w:t>
            </w:r>
          </w:p>
        </w:tc>
        <w:tc>
          <w:tcPr>
            <w:tcW w:w="1087" w:type="dxa"/>
          </w:tcPr>
          <w:p w14:paraId="6C6DF590" w14:textId="77777777" w:rsidR="00A26668" w:rsidRDefault="00A26668" w:rsidP="00382994">
            <w:pPr>
              <w:jc w:val="center"/>
              <w:rPr>
                <w:rFonts w:eastAsiaTheme="minorEastAsia"/>
              </w:rPr>
            </w:pPr>
            <w:r>
              <w:rPr>
                <w:rFonts w:eastAsiaTheme="minorEastAsia"/>
              </w:rPr>
              <w:t xml:space="preserve">27 </w:t>
            </w:r>
            <w:proofErr w:type="spellStart"/>
            <w:r>
              <w:rPr>
                <w:rFonts w:eastAsiaTheme="minorEastAsia"/>
              </w:rPr>
              <w:t>dBi</w:t>
            </w:r>
            <w:proofErr w:type="spellEnd"/>
          </w:p>
        </w:tc>
        <w:tc>
          <w:tcPr>
            <w:tcW w:w="990" w:type="dxa"/>
          </w:tcPr>
          <w:p w14:paraId="51729357" w14:textId="77777777" w:rsidR="00A26668" w:rsidRDefault="00A26668" w:rsidP="00382994">
            <w:pPr>
              <w:jc w:val="center"/>
              <w:rPr>
                <w:rFonts w:eastAsiaTheme="minorEastAsia"/>
              </w:rPr>
            </w:pPr>
            <w:r>
              <w:rPr>
                <w:rFonts w:eastAsiaTheme="minorEastAsia"/>
              </w:rPr>
              <w:t xml:space="preserve">27 </w:t>
            </w:r>
            <w:proofErr w:type="spellStart"/>
            <w:r>
              <w:rPr>
                <w:rFonts w:eastAsiaTheme="minorEastAsia"/>
              </w:rPr>
              <w:t>dBi</w:t>
            </w:r>
            <w:proofErr w:type="spellEnd"/>
          </w:p>
        </w:tc>
        <w:tc>
          <w:tcPr>
            <w:tcW w:w="900" w:type="dxa"/>
          </w:tcPr>
          <w:p w14:paraId="35CF6851" w14:textId="1E19C199" w:rsidR="00A26668" w:rsidRDefault="00A26668" w:rsidP="00BD5FC0">
            <w:pPr>
              <w:jc w:val="center"/>
              <w:rPr>
                <w:rFonts w:eastAsiaTheme="minorEastAsia"/>
              </w:rPr>
            </w:pPr>
            <w:r>
              <w:rPr>
                <w:rFonts w:eastAsiaTheme="minorEastAsia"/>
              </w:rPr>
              <w:t xml:space="preserve">20 </w:t>
            </w:r>
            <w:r>
              <w:rPr>
                <w:rFonts w:eastAsiaTheme="minorEastAsia" w:cstheme="minorHAnsi"/>
              </w:rPr>
              <w:t>µs</w:t>
            </w:r>
          </w:p>
        </w:tc>
        <w:tc>
          <w:tcPr>
            <w:tcW w:w="1080" w:type="dxa"/>
          </w:tcPr>
          <w:p w14:paraId="338B5E87" w14:textId="7CD9423F" w:rsidR="00A26668" w:rsidRDefault="00A26668" w:rsidP="00BD5FC0">
            <w:pPr>
              <w:jc w:val="center"/>
              <w:rPr>
                <w:rFonts w:eastAsiaTheme="minorEastAsia"/>
              </w:rPr>
            </w:pPr>
            <w:r>
              <w:rPr>
                <w:rFonts w:eastAsiaTheme="minorEastAsia"/>
              </w:rPr>
              <w:t>0.032 m</w:t>
            </w:r>
          </w:p>
        </w:tc>
        <w:tc>
          <w:tcPr>
            <w:tcW w:w="1080" w:type="dxa"/>
          </w:tcPr>
          <w:p w14:paraId="04B6266E" w14:textId="77777777" w:rsidR="00A26668" w:rsidRDefault="00A26668" w:rsidP="00382994">
            <w:pPr>
              <w:jc w:val="center"/>
              <w:rPr>
                <w:rFonts w:eastAsiaTheme="minorEastAsia"/>
              </w:rPr>
            </w:pPr>
            <w:r>
              <w:rPr>
                <w:rFonts w:eastAsiaTheme="minorEastAsia"/>
              </w:rPr>
              <w:t>-20 dBm</w:t>
            </w:r>
            <w:r w:rsidRPr="00930697">
              <w:rPr>
                <w:rFonts w:eastAsiaTheme="minorEastAsia"/>
                <w:vertAlign w:val="superscript"/>
              </w:rPr>
              <w:t>2</w:t>
            </w:r>
          </w:p>
        </w:tc>
        <w:tc>
          <w:tcPr>
            <w:tcW w:w="900" w:type="dxa"/>
          </w:tcPr>
          <w:p w14:paraId="5AED0514" w14:textId="77777777" w:rsidR="00A26668" w:rsidRDefault="00A26668" w:rsidP="00382994">
            <w:pPr>
              <w:jc w:val="center"/>
              <w:rPr>
                <w:rFonts w:eastAsiaTheme="minorEastAsia"/>
              </w:rPr>
            </w:pPr>
            <w:r>
              <w:rPr>
                <w:rFonts w:eastAsiaTheme="minorEastAsia"/>
              </w:rPr>
              <w:t>512</w:t>
            </w:r>
          </w:p>
        </w:tc>
        <w:tc>
          <w:tcPr>
            <w:tcW w:w="810" w:type="dxa"/>
          </w:tcPr>
          <w:p w14:paraId="51E8B62B" w14:textId="77777777" w:rsidR="00A26668" w:rsidRDefault="00A26668" w:rsidP="00382994">
            <w:pPr>
              <w:jc w:val="center"/>
              <w:rPr>
                <w:rFonts w:eastAsiaTheme="minorEastAsia"/>
              </w:rPr>
            </w:pPr>
            <w:r>
              <w:rPr>
                <w:rFonts w:eastAsiaTheme="minorEastAsia"/>
              </w:rPr>
              <w:t>3 dB</w:t>
            </w:r>
          </w:p>
        </w:tc>
        <w:tc>
          <w:tcPr>
            <w:tcW w:w="720" w:type="dxa"/>
          </w:tcPr>
          <w:p w14:paraId="7C8593FB" w14:textId="362AF07D" w:rsidR="00A26668" w:rsidRDefault="00926AB4" w:rsidP="00382994">
            <w:pPr>
              <w:jc w:val="center"/>
              <w:rPr>
                <w:rFonts w:eastAsiaTheme="minorEastAsia"/>
              </w:rPr>
            </w:pPr>
            <w:r>
              <w:rPr>
                <w:rFonts w:eastAsiaTheme="minorEastAsia"/>
              </w:rPr>
              <w:t>4</w:t>
            </w:r>
            <w:r w:rsidR="00B93099">
              <w:rPr>
                <w:rFonts w:eastAsiaTheme="minorEastAsia"/>
              </w:rPr>
              <w:t xml:space="preserve"> dB</w:t>
            </w:r>
          </w:p>
        </w:tc>
      </w:tr>
    </w:tbl>
    <w:p w14:paraId="56970ACD" w14:textId="7FAAD26E" w:rsidR="00770153" w:rsidRDefault="004A24A7" w:rsidP="004A24A7">
      <w:pPr>
        <w:rPr>
          <w:rFonts w:eastAsiaTheme="minorEastAsia"/>
        </w:rPr>
      </w:pPr>
      <w:r>
        <w:t>RCS (</w:t>
      </w:r>
      <m:oMath>
        <m:r>
          <w:rPr>
            <w:rFonts w:ascii="Cambria Math" w:hAnsi="Cambria Math"/>
          </w:rPr>
          <m:t>σ)</m:t>
        </m:r>
      </m:oMath>
      <w:r>
        <w:rPr>
          <w:rFonts w:eastAsiaTheme="minorEastAsia"/>
        </w:rPr>
        <w:t xml:space="preserve"> values shown in the table corresponds average RCS of the fluctuated target as discussed in Target RCS Model section.</w:t>
      </w:r>
      <w:r w:rsidR="006B3FA5">
        <w:rPr>
          <w:rFonts w:eastAsiaTheme="minorEastAsia"/>
        </w:rPr>
        <w:t xml:space="preserve"> </w:t>
      </w:r>
    </w:p>
    <w:p w14:paraId="4A6E74DA" w14:textId="39B8ED75" w:rsidR="00B93099" w:rsidRDefault="00B93099" w:rsidP="004A24A7">
      <w:pPr>
        <w:rPr>
          <w:rFonts w:eastAsiaTheme="minorEastAsia"/>
        </w:rPr>
      </w:pPr>
      <w:r w:rsidRPr="00B93099">
        <w:rPr>
          <w:b/>
          <w:bCs/>
        </w:rPr>
        <w:t>Non-coherent integration</w:t>
      </w:r>
      <w:r w:rsidR="00925CF6">
        <w:t xml:space="preserve"> </w:t>
      </w:r>
      <w:r w:rsidR="006C5E31">
        <w:t xml:space="preserve">is applied for TRASAT if target altitude </w:t>
      </w:r>
      <w:r w:rsidR="00366310">
        <w:t>exceeds</w:t>
      </w:r>
      <w:r w:rsidR="00302CED">
        <w:t xml:space="preserve"> 1 km </w:t>
      </w:r>
      <w:r w:rsidR="00366310">
        <w:t xml:space="preserve">(as </w:t>
      </w:r>
      <w:r w:rsidR="00302CED">
        <w:t>preliminary estimat</w:t>
      </w:r>
      <w:r w:rsidR="00366310">
        <w:t xml:space="preserve">ed). In this case, the target altitude can be accurately determined with multilateration algorithm and vertical monopulse is not required. To utilize effectively </w:t>
      </w:r>
      <w:r w:rsidR="009B0119">
        <w:t>two</w:t>
      </w:r>
      <w:r w:rsidR="004023AF">
        <w:t xml:space="preserve"> of the</w:t>
      </w:r>
      <w:r w:rsidR="009B0119">
        <w:t xml:space="preserve"> </w:t>
      </w:r>
      <w:r w:rsidR="00366310">
        <w:t>receive antennas, signals from the</w:t>
      </w:r>
      <w:r w:rsidR="009B0119">
        <w:t>m should be integrated non-coherently, which increase radar sensitivity.</w:t>
      </w:r>
      <w:r w:rsidR="00366310">
        <w:t xml:space="preserve">  </w:t>
      </w:r>
      <w:r w:rsidR="00302CED">
        <w:t xml:space="preserve"> </w:t>
      </w:r>
    </w:p>
    <w:p w14:paraId="105757F1" w14:textId="77777777" w:rsidR="00617F2D" w:rsidRDefault="006A53EA" w:rsidP="006A53EA">
      <w:pPr>
        <w:pStyle w:val="ListParagraph"/>
        <w:ind w:left="0"/>
      </w:pPr>
      <w:r w:rsidRPr="006A53EA">
        <w:rPr>
          <w:b/>
        </w:rPr>
        <w:t>Threshold selection and target detection</w:t>
      </w:r>
      <w:r w:rsidRPr="006A53EA">
        <w:t xml:space="preserve"> i</w:t>
      </w:r>
      <w:r>
        <w:t xml:space="preserve">s fulfilled for each CPI cycle with the multiple CPI train. </w:t>
      </w:r>
      <w:r w:rsidR="005A24B5">
        <w:t xml:space="preserve">The threshold level should be about 10 dB over the noise level. </w:t>
      </w:r>
      <w:r w:rsidR="00CD2374">
        <w:t xml:space="preserve">The relatively low threshold cannot provide good Pd and </w:t>
      </w:r>
      <w:proofErr w:type="spellStart"/>
      <w:r w:rsidR="00CD2374">
        <w:t>Pfa</w:t>
      </w:r>
      <w:proofErr w:type="spellEnd"/>
      <w:r w:rsidR="00CD2374">
        <w:t xml:space="preserve"> statistic for single CPI basic. </w:t>
      </w:r>
      <w:r w:rsidR="00617F2D">
        <w:t xml:space="preserve">Multiple of false detection due to noise only may happens. </w:t>
      </w:r>
    </w:p>
    <w:p w14:paraId="01D56DC1" w14:textId="77777777" w:rsidR="00617F2D" w:rsidRDefault="00617F2D" w:rsidP="006A53EA">
      <w:pPr>
        <w:pStyle w:val="ListParagraph"/>
        <w:ind w:left="0"/>
      </w:pPr>
      <w:r>
        <w:t>Further non-coherent processing will filter out the false detections.</w:t>
      </w:r>
    </w:p>
    <w:p w14:paraId="7E6C6889" w14:textId="551BCA59" w:rsidR="000E7AFB" w:rsidRDefault="00617F2D" w:rsidP="00617F2D">
      <w:r w:rsidRPr="00617F2D">
        <w:rPr>
          <w:b/>
        </w:rPr>
        <w:t xml:space="preserve">Binary integration, or m of n processing </w:t>
      </w:r>
      <w:r w:rsidR="00E833E9">
        <w:t xml:space="preserve">allow significantly reduce </w:t>
      </w:r>
      <w:proofErr w:type="spellStart"/>
      <w:r w:rsidR="00E833E9">
        <w:t>Pfa</w:t>
      </w:r>
      <w:proofErr w:type="spellEnd"/>
      <w:r w:rsidR="00E833E9">
        <w:t xml:space="preserve"> and improve Pd rates. </w:t>
      </w:r>
      <w:r w:rsidR="004726AE">
        <w:t xml:space="preserve">The processing </w:t>
      </w:r>
      <w:r w:rsidR="00C40B91">
        <w:t>proves</w:t>
      </w:r>
      <w:r w:rsidR="004726AE">
        <w:t xml:space="preserve"> the detections if at least </w:t>
      </w:r>
      <w:r w:rsidR="00C40B91">
        <w:t>m threshold crossing from n tries occurs in the specific range and Doppler area.</w:t>
      </w:r>
      <w:r w:rsidR="004726AE">
        <w:t xml:space="preserve"> </w:t>
      </w:r>
      <w:r w:rsidR="00E833E9">
        <w:t xml:space="preserve">Preliminary, we plan to use 2 of 10 version of the binary integration, but we are going to play with different </w:t>
      </w:r>
      <w:r w:rsidR="004726AE">
        <w:t xml:space="preserve">m and n </w:t>
      </w:r>
      <w:r w:rsidR="00E833E9">
        <w:t>numbers</w:t>
      </w:r>
      <w:r w:rsidR="004726AE">
        <w:t xml:space="preserve"> and threshold levels</w:t>
      </w:r>
      <w:r w:rsidR="00E833E9">
        <w:t xml:space="preserve"> in our model and probably</w:t>
      </w:r>
      <w:r w:rsidR="004726AE">
        <w:t xml:space="preserve"> will</w:t>
      </w:r>
      <w:r w:rsidR="00E833E9">
        <w:t xml:space="preserve"> apply different </w:t>
      </w:r>
      <w:r w:rsidR="004726AE">
        <w:t>binary integration set</w:t>
      </w:r>
      <w:r w:rsidR="00E833E9">
        <w:t xml:space="preserve">. </w:t>
      </w:r>
      <w:r w:rsidR="005833E8">
        <w:t xml:space="preserve">To </w:t>
      </w:r>
      <w:r w:rsidR="00A223B9">
        <w:t>overcome</w:t>
      </w:r>
      <w:r w:rsidR="00A223B9" w:rsidRPr="00A223B9">
        <w:t xml:space="preserve"> </w:t>
      </w:r>
      <w:r w:rsidR="00A223B9">
        <w:t xml:space="preserve">negative effect of the target fluctuation, frequency diversity technic will be applied. To make the technic effective and decorrelate different CPI cycles, frequency shift </w:t>
      </w:r>
      <w:r w:rsidR="004D6DBE">
        <w:t>(</w:t>
      </w:r>
      <w:r w:rsidR="004D6DBE">
        <w:rPr>
          <w:rFonts w:cstheme="minorHAnsi"/>
        </w:rPr>
        <w:t>Δ</w:t>
      </w:r>
      <w:r w:rsidR="004D6DBE">
        <w:t xml:space="preserve">F) </w:t>
      </w:r>
      <w:r w:rsidR="00A223B9">
        <w:t xml:space="preserve">should be higher than </w:t>
      </w:r>
      <w:r w:rsidR="00CB6911">
        <w:t>c/2L</w:t>
      </w:r>
      <w:r w:rsidR="00FA4C94" w:rsidRPr="00FA4C94">
        <w:rPr>
          <w:vertAlign w:val="subscript"/>
        </w:rPr>
        <w:t>2</w:t>
      </w:r>
      <w:r w:rsidR="00CB6911">
        <w:t>, where L</w:t>
      </w:r>
      <w:r w:rsidR="00FA4C94" w:rsidRPr="00FA4C94">
        <w:rPr>
          <w:vertAlign w:val="subscript"/>
        </w:rPr>
        <w:t>2</w:t>
      </w:r>
      <w:r w:rsidR="00CB6911">
        <w:t xml:space="preserve"> is target depth as viewed along radar line of sight. Thus, for L=3m</w:t>
      </w:r>
      <w:r w:rsidR="004D6DBE">
        <w:t xml:space="preserve"> (as estimated for SEMTA target)</w:t>
      </w:r>
      <w:r w:rsidR="00CB6911">
        <w:t xml:space="preserve">, </w:t>
      </w:r>
      <w:r w:rsidR="00CB6911">
        <w:rPr>
          <w:rFonts w:cstheme="minorHAnsi"/>
        </w:rPr>
        <w:t>Δ</w:t>
      </w:r>
      <w:r w:rsidR="00CB6911">
        <w:t xml:space="preserve">F should be at least </w:t>
      </w:r>
      <w:r w:rsidR="004D6DBE">
        <w:t xml:space="preserve">50 </w:t>
      </w:r>
      <w:proofErr w:type="spellStart"/>
      <w:r w:rsidR="004D6DBE">
        <w:t>MHz.</w:t>
      </w:r>
      <w:proofErr w:type="spellEnd"/>
      <w:r w:rsidR="00CB6911">
        <w:t xml:space="preserve"> </w:t>
      </w:r>
      <w:r w:rsidR="00A42E9E">
        <w:t>High speed velocity of the</w:t>
      </w:r>
      <w:r w:rsidR="00FA4C94">
        <w:t xml:space="preserve"> TRASAT and especially</w:t>
      </w:r>
      <w:r w:rsidR="00A42E9E">
        <w:t xml:space="preserve"> SEMTA target</w:t>
      </w:r>
      <w:r w:rsidR="00FA4C94">
        <w:t>s</w:t>
      </w:r>
      <w:r w:rsidR="00A42E9E">
        <w:t xml:space="preserve"> </w:t>
      </w:r>
      <w:r w:rsidR="00FA4C94">
        <w:t>provide also RCS decorrelation</w:t>
      </w:r>
      <w:r w:rsidR="00CB6911">
        <w:t xml:space="preserve"> </w:t>
      </w:r>
      <w:r w:rsidR="00FA4C94">
        <w:t>due to aspect angle (</w:t>
      </w:r>
      <w:r w:rsidR="00FA4C94">
        <w:rPr>
          <w:rFonts w:cstheme="minorHAnsi"/>
        </w:rPr>
        <w:t xml:space="preserve">Θ) </w:t>
      </w:r>
      <w:r w:rsidR="00FA4C94">
        <w:t xml:space="preserve">changing. Min </w:t>
      </w:r>
      <w:r w:rsidR="00FA4C94">
        <w:rPr>
          <w:rFonts w:cstheme="minorHAnsi"/>
        </w:rPr>
        <w:t>ΔΘ for the target RCS decorrelation is equal to λ/2L</w:t>
      </w:r>
      <w:r w:rsidR="00FA4C94" w:rsidRPr="00FA4C94">
        <w:rPr>
          <w:rFonts w:cstheme="minorHAnsi"/>
          <w:vertAlign w:val="subscript"/>
        </w:rPr>
        <w:t>1</w:t>
      </w:r>
      <w:r w:rsidR="00FA4C94">
        <w:t xml:space="preserve">, where </w:t>
      </w:r>
      <w:r w:rsidR="00FA4C94">
        <w:rPr>
          <w:rFonts w:cstheme="minorHAnsi"/>
        </w:rPr>
        <w:t>L</w:t>
      </w:r>
      <w:r w:rsidR="00FA4C94" w:rsidRPr="00FA4C94">
        <w:rPr>
          <w:rFonts w:cstheme="minorHAnsi"/>
          <w:vertAlign w:val="subscript"/>
        </w:rPr>
        <w:t>1</w:t>
      </w:r>
      <w:r w:rsidR="00FA4C94">
        <w:rPr>
          <w:rFonts w:cstheme="minorHAnsi"/>
          <w:vertAlign w:val="subscript"/>
        </w:rPr>
        <w:t xml:space="preserve"> </w:t>
      </w:r>
      <w:r w:rsidR="00FA4C94">
        <w:rPr>
          <w:rFonts w:cstheme="minorHAnsi"/>
        </w:rPr>
        <w:t xml:space="preserve">is target width </w:t>
      </w:r>
      <w:r w:rsidR="00FA4C94">
        <w:t xml:space="preserve">as viewed along radar line of sight. </w:t>
      </w:r>
    </w:p>
    <w:p w14:paraId="6D46EDC0" w14:textId="592FD94B" w:rsidR="000E7AFB" w:rsidRDefault="000E7AFB" w:rsidP="00617F2D">
      <w:r>
        <w:t xml:space="preserve">Because target range value can vary for different CPI cycles in binary integration frame, the range interval for m of n processing should be increased to </w:t>
      </w:r>
      <w:r w:rsidR="00AF0E95">
        <w:t>accommodate the possible range changing.</w:t>
      </w:r>
    </w:p>
    <w:p w14:paraId="497A1924" w14:textId="30E29ABF" w:rsidR="00905B55" w:rsidRDefault="003D07DB" w:rsidP="00617F2D">
      <w:r>
        <w:t>I</w:t>
      </w:r>
      <w:r w:rsidR="00CC2FB5">
        <w:t>n radar unit</w:t>
      </w:r>
      <w:r>
        <w:t xml:space="preserve"> binary integration</w:t>
      </w:r>
      <w:r w:rsidR="00EF5B7B">
        <w:t xml:space="preserve"> processing</w:t>
      </w:r>
      <w:r w:rsidR="00CC2FB5">
        <w:t>,</w:t>
      </w:r>
      <w:r w:rsidR="00EF5B7B">
        <w:t xml:space="preserve"> </w:t>
      </w:r>
      <w:r w:rsidR="00CC2FB5">
        <w:t xml:space="preserve">all over the threshold Doppler bins </w:t>
      </w:r>
      <w:r w:rsidR="00EF5B7B">
        <w:t>may</w:t>
      </w:r>
      <w:r w:rsidR="00CC2FB5">
        <w:t xml:space="preserve"> be </w:t>
      </w:r>
      <w:r w:rsidR="00EF5B7B">
        <w:t xml:space="preserve">combined for each range bin. Since its possible option, this approach results in </w:t>
      </w:r>
      <w:proofErr w:type="spellStart"/>
      <w:r w:rsidR="00EF5B7B">
        <w:t>Pfa</w:t>
      </w:r>
      <w:proofErr w:type="spellEnd"/>
      <w:r w:rsidR="00EF5B7B">
        <w:t xml:space="preserve"> increasing. We will consider alternative methods for target association in the ambiguous Doppler </w:t>
      </w:r>
      <w:r w:rsidR="00905B55">
        <w:t xml:space="preserve">scale to reduce the </w:t>
      </w:r>
      <w:proofErr w:type="spellStart"/>
      <w:r w:rsidR="00905B55">
        <w:t>Pfa</w:t>
      </w:r>
      <w:proofErr w:type="spellEnd"/>
      <w:r w:rsidR="00905B55">
        <w:t>.</w:t>
      </w:r>
      <w:r>
        <w:t xml:space="preserve"> </w:t>
      </w:r>
    </w:p>
    <w:p w14:paraId="6448FF49" w14:textId="33B1B726" w:rsidR="00AF1281" w:rsidRDefault="00AF1281" w:rsidP="00617F2D">
      <w:r w:rsidRPr="00AF1281">
        <w:rPr>
          <w:b/>
          <w:bCs/>
        </w:rPr>
        <w:t>Monopulse processing</w:t>
      </w:r>
      <w:r>
        <w:rPr>
          <w:b/>
          <w:bCs/>
        </w:rPr>
        <w:t xml:space="preserve"> </w:t>
      </w:r>
      <w:r w:rsidRPr="00AF1281">
        <w:t>for</w:t>
      </w:r>
      <w:r>
        <w:rPr>
          <w:b/>
          <w:bCs/>
        </w:rPr>
        <w:t xml:space="preserve"> </w:t>
      </w:r>
      <w:r w:rsidRPr="00AF1281">
        <w:t>TRASAT</w:t>
      </w:r>
      <w:r>
        <w:t xml:space="preserve"> system is alternative method of the target altitude determination. As the major approach for the altitude measurement is based on multilateration algorithm, the </w:t>
      </w:r>
      <w:r w:rsidR="00D75E84">
        <w:t>monopulse can provide higher accuracy for low altitudes of the target</w:t>
      </w:r>
      <w:r w:rsidR="00F1064D">
        <w:t xml:space="preserve"> while </w:t>
      </w:r>
      <w:r w:rsidR="00A063B9">
        <w:t>multilateration error is going up.</w:t>
      </w:r>
      <w:r w:rsidR="00C0148A">
        <w:t xml:space="preserve"> </w:t>
      </w:r>
      <w:r w:rsidR="001C7E08">
        <w:t xml:space="preserve">We </w:t>
      </w:r>
      <w:r w:rsidR="00A063B9">
        <w:t>plan</w:t>
      </w:r>
      <w:r w:rsidR="001C7E08">
        <w:t xml:space="preserve"> to compare accuracy of the methods for different radar configurations and target altitudes to get better understanding how the methods</w:t>
      </w:r>
      <w:r w:rsidR="00A063B9">
        <w:t xml:space="preserve"> combination</w:t>
      </w:r>
      <w:r w:rsidR="001C7E08">
        <w:t xml:space="preserve"> can improve the TRASAT system performance. </w:t>
      </w:r>
      <w:r w:rsidR="00A063B9">
        <w:t xml:space="preserve"> </w:t>
      </w:r>
    </w:p>
    <w:p w14:paraId="653C13CC" w14:textId="49335913" w:rsidR="00723CFD" w:rsidRDefault="00315C7D" w:rsidP="004A24A7">
      <w:r>
        <w:t>Phase d</w:t>
      </w:r>
      <w:r w:rsidR="00A063B9">
        <w:t>ifference</w:t>
      </w:r>
      <w:r>
        <w:t xml:space="preserve"> of the received signal in phase comparison monopulse antenna</w:t>
      </w:r>
      <w:r w:rsidR="00A063B9">
        <w:t xml:space="preserve"> </w:t>
      </w:r>
      <w:r w:rsidR="00BE6629">
        <w:t>is equal to ∆φ =</w:t>
      </w:r>
      <w:r w:rsidR="00FF5C4B">
        <w:t xml:space="preserve"> </w:t>
      </w:r>
      <w:r>
        <w:t>2π(d/λ)sinΘ, where d</w:t>
      </w:r>
      <w:r w:rsidR="00515A75">
        <w:t xml:space="preserve"> is</w:t>
      </w:r>
      <w:r>
        <w:t xml:space="preserve"> </w:t>
      </w:r>
      <w:r w:rsidR="00515A75">
        <w:t>distance between antenna sections phase centers and Θ is angle between incident angle and antenna boresight. If</w:t>
      </w:r>
      <w:r>
        <w:t xml:space="preserve"> </w:t>
      </w:r>
      <w:r w:rsidR="00515A75">
        <w:t>d =</w:t>
      </w:r>
      <w:r>
        <w:t xml:space="preserve"> 5λ</w:t>
      </w:r>
      <w:r w:rsidR="00515A75">
        <w:t>, as planned for TRASAT</w:t>
      </w:r>
      <w:r w:rsidR="00817F2F">
        <w:t xml:space="preserve">, the ∆φ = 10πsinΘ. </w:t>
      </w:r>
      <w:r w:rsidR="000E3933">
        <w:t xml:space="preserve">Large separation between antennas provides us high radar sensitivity to the incident angle, but with expense of ambiguous </w:t>
      </w:r>
      <w:r w:rsidR="00045990">
        <w:t xml:space="preserve">characteristic if the incident angle is varied in wide range. </w:t>
      </w:r>
      <w:r w:rsidR="00404931">
        <w:t xml:space="preserve">We plan to apply </w:t>
      </w:r>
      <w:r w:rsidR="00404931">
        <w:lastRenderedPageBreak/>
        <w:t xml:space="preserve">multilateration algorithm to resolve the monopulse ambiguity. </w:t>
      </w:r>
      <w:r w:rsidR="00045990">
        <w:t xml:space="preserve">Unambiguous incident angular range is laid between -0.1 rad and 0.1 rad, or approximately +/-6 degree. In the range, </w:t>
      </w:r>
    </w:p>
    <w:p w14:paraId="65247367" w14:textId="0307758F" w:rsidR="00723CFD" w:rsidRDefault="00045990" w:rsidP="004A24A7">
      <w:r>
        <w:t>Θ = sin</w:t>
      </w:r>
      <w:r w:rsidRPr="00045990">
        <w:rPr>
          <w:vertAlign w:val="superscript"/>
        </w:rPr>
        <w:t>-1</w:t>
      </w:r>
      <w:r>
        <w:t>(</w:t>
      </w:r>
      <w:r w:rsidR="00723CFD">
        <w:t xml:space="preserve">λ∆φ/2πd), </w:t>
      </w:r>
    </w:p>
    <w:p w14:paraId="7121ADE4" w14:textId="23027379" w:rsidR="00723CFD" w:rsidRDefault="00723CFD" w:rsidP="004A24A7">
      <w:r>
        <w:t xml:space="preserve">Target altitude (h) is equal to h = </w:t>
      </w:r>
      <w:proofErr w:type="spellStart"/>
      <w:r>
        <w:t>Rsin</w:t>
      </w:r>
      <w:proofErr w:type="spellEnd"/>
      <w:r>
        <w:t>(</w:t>
      </w:r>
      <w:r w:rsidR="0088221A">
        <w:t>Θ+</w:t>
      </w:r>
      <w:r w:rsidR="0088221A" w:rsidRPr="0088221A">
        <w:t xml:space="preserve"> </w:t>
      </w:r>
      <w:r w:rsidR="0088221A">
        <w:t>Θ</w:t>
      </w:r>
      <w:r w:rsidR="0088221A" w:rsidRPr="0088221A">
        <w:rPr>
          <w:vertAlign w:val="subscript"/>
        </w:rPr>
        <w:t>0</w:t>
      </w:r>
      <w:r w:rsidR="0088221A">
        <w:t xml:space="preserve">), where </w:t>
      </w:r>
      <w:r w:rsidR="0088221A">
        <w:rPr>
          <w:rFonts w:eastAsiaTheme="minorEastAsia"/>
        </w:rPr>
        <w:t xml:space="preserve">R is range to the target and </w:t>
      </w:r>
      <w:r w:rsidR="0088221A">
        <w:t>Θ</w:t>
      </w:r>
      <w:r w:rsidR="0088221A" w:rsidRPr="0088221A">
        <w:rPr>
          <w:vertAlign w:val="subscript"/>
        </w:rPr>
        <w:t>0</w:t>
      </w:r>
      <w:r w:rsidR="0088221A">
        <w:t xml:space="preserve"> is antenna boresight angle relatively to horizon. Since, the Θ</w:t>
      </w:r>
      <w:r w:rsidR="0088221A" w:rsidRPr="0088221A">
        <w:rPr>
          <w:vertAlign w:val="subscript"/>
        </w:rPr>
        <w:t>0</w:t>
      </w:r>
      <w:r w:rsidR="0088221A">
        <w:t xml:space="preserve"> value depends on USV platform roll position and antenna gimbal position, </w:t>
      </w:r>
      <w:r w:rsidR="00842BD5">
        <w:t>both angles</w:t>
      </w:r>
      <w:r w:rsidR="0088221A">
        <w:t xml:space="preserve"> (or its sum) should measured with high </w:t>
      </w:r>
      <w:r w:rsidR="00842BD5">
        <w:t xml:space="preserve">accuracy. We plan to provide </w:t>
      </w:r>
      <w:r w:rsidR="008E3D34">
        <w:t>0.1-degree</w:t>
      </w:r>
      <w:r w:rsidR="00842BD5">
        <w:t xml:space="preserve"> accuracy of angles determination by using high tilt sensors.</w:t>
      </w:r>
      <w:r w:rsidR="0088221A">
        <w:t xml:space="preserve">  </w:t>
      </w:r>
      <w:r w:rsidR="00045990">
        <w:t xml:space="preserve">  </w:t>
      </w:r>
    </w:p>
    <w:p w14:paraId="71AEB02E" w14:textId="77777777" w:rsidR="003A6DE7" w:rsidRDefault="003A6DE7" w:rsidP="003A6DE7">
      <w:pPr>
        <w:pStyle w:val="ListParagraph"/>
        <w:numPr>
          <w:ilvl w:val="0"/>
          <w:numId w:val="1"/>
        </w:numPr>
      </w:pPr>
      <w:r w:rsidRPr="00905B55">
        <w:rPr>
          <w:b/>
          <w:bCs/>
        </w:rPr>
        <w:t>Multistatic Radar Model</w:t>
      </w:r>
      <w:r>
        <w:t>.</w:t>
      </w:r>
    </w:p>
    <w:p w14:paraId="1DA2FF66" w14:textId="09AAA368" w:rsidR="0070002B" w:rsidRDefault="008E3D34" w:rsidP="008E3D34">
      <w:r>
        <w:t xml:space="preserve">Multistatic radar configurations for SEMTA </w:t>
      </w:r>
      <w:r w:rsidR="006F4A74">
        <w:t>and</w:t>
      </w:r>
      <w:r w:rsidR="006F4A74" w:rsidRPr="006F4A74">
        <w:t xml:space="preserve"> </w:t>
      </w:r>
      <w:r w:rsidR="006F4A74">
        <w:t xml:space="preserve">TRASAT </w:t>
      </w:r>
      <w:r>
        <w:t xml:space="preserve">are </w:t>
      </w:r>
      <w:r w:rsidR="00BA30CE">
        <w:t xml:space="preserve">illustrated on Figure 5 and Figure 6. </w:t>
      </w:r>
      <w:r w:rsidR="006F4A74">
        <w:t xml:space="preserve"> </w:t>
      </w:r>
    </w:p>
    <w:p w14:paraId="7C5D831F" w14:textId="3FDA8A95" w:rsidR="0070002B" w:rsidRDefault="00B55F0C" w:rsidP="008E3D34">
      <w:r>
        <w:t xml:space="preserve">Since, </w:t>
      </w:r>
      <w:r w:rsidR="00C87518">
        <w:t xml:space="preserve">sea-skimming target </w:t>
      </w:r>
      <w:r w:rsidR="0070002B">
        <w:t>tracking</w:t>
      </w:r>
      <w:r w:rsidR="00C87518">
        <w:t xml:space="preserve"> for SEMTA is not required the target altitude</w:t>
      </w:r>
      <w:r w:rsidR="0070002B">
        <w:t xml:space="preserve"> determination</w:t>
      </w:r>
      <w:r w:rsidR="00C87518">
        <w:t xml:space="preserve">, single row multistatic arrangement is applicable for the </w:t>
      </w:r>
      <w:r w:rsidR="0070002B">
        <w:t>2-D target positioning system.</w:t>
      </w:r>
      <w:r w:rsidR="00C87518">
        <w:t xml:space="preserve"> </w:t>
      </w:r>
      <w:r w:rsidR="0070002B">
        <w:t>A</w:t>
      </w:r>
      <w:r w:rsidR="00C87518">
        <w:t xml:space="preserve">lthough two-rows configuration may be </w:t>
      </w:r>
      <w:r w:rsidR="0070002B">
        <w:t>reason</w:t>
      </w:r>
      <w:r w:rsidR="00C87518">
        <w:t>able to make wider the test corridor</w:t>
      </w:r>
      <w:r w:rsidR="0070002B">
        <w:t xml:space="preserve"> for SEMTA application, doubling of the number of USV with the radar units doesn’t look as good excuse for this solution. </w:t>
      </w:r>
      <w:r w:rsidR="00764C74">
        <w:t xml:space="preserve">We </w:t>
      </w:r>
      <w:r w:rsidR="00AF4FD2">
        <w:t>consider</w:t>
      </w:r>
      <w:r w:rsidR="00764C74">
        <w:t xml:space="preserve"> </w:t>
      </w:r>
      <w:r w:rsidR="00AF4FD2">
        <w:t>applying</w:t>
      </w:r>
      <w:r w:rsidR="00764C74">
        <w:t xml:space="preserve"> single row radar unit array to minimize total system cost and complicity. </w:t>
      </w:r>
      <w:r w:rsidR="00AF4FD2">
        <w:t>With accordance of our preliminary</w:t>
      </w:r>
      <w:r w:rsidR="00764C74">
        <w:t xml:space="preserve"> </w:t>
      </w:r>
      <w:r w:rsidR="00AF4FD2">
        <w:t xml:space="preserve">estimations, the USV with radar units should be in 2nmi apart each other. </w:t>
      </w:r>
      <w:r w:rsidR="00E63443">
        <w:t>We will define other radar configuration parameters, such as min and max ranges for different target RCS, with the MATLAB simulation model.</w:t>
      </w:r>
      <w:r w:rsidR="00AF4FD2">
        <w:t xml:space="preserve"> </w:t>
      </w:r>
    </w:p>
    <w:p w14:paraId="215340EE" w14:textId="478954F5" w:rsidR="00E63443" w:rsidRDefault="0070002B" w:rsidP="008E3D34">
      <w:r>
        <w:t xml:space="preserve">In the </w:t>
      </w:r>
      <w:r w:rsidR="00764C74">
        <w:t>other side</w:t>
      </w:r>
      <w:r>
        <w:t xml:space="preserve">, TRASAT system must provide 3-D position determination for air vehicle </w:t>
      </w:r>
      <w:r w:rsidR="00764C74">
        <w:t xml:space="preserve">flying as high as 6,000 meters. Two-rows radar units’ arrangement for TRASAT allows the 3-D target positioning with radar and multilateral algorithm. </w:t>
      </w:r>
      <w:r w:rsidR="00AF4FD2">
        <w:t>To keep number of USV with the radar installed as low one unit per 2nmi of the test corridor length</w:t>
      </w:r>
      <w:r w:rsidR="00E63443">
        <w:t xml:space="preserve"> the distance between adjacent radar in each row will be 4nmi or about.</w:t>
      </w:r>
      <w:r w:rsidR="006F4A74">
        <w:t xml:space="preserve"> The test corridor width (difference between max and min ranges) should be about 4nmi. The MATLAB model allow us to optimize the radar configuration and confirm feasibility of the TRASAT approach.</w:t>
      </w:r>
    </w:p>
    <w:p w14:paraId="6E43135F" w14:textId="3B6DCD7E" w:rsidR="008A5653" w:rsidRDefault="00764C74" w:rsidP="00F079E6">
      <w:r>
        <w:t xml:space="preserve"> </w:t>
      </w:r>
      <w:r w:rsidR="0070002B">
        <w:t xml:space="preserve">   </w:t>
      </w:r>
      <w:r w:rsidR="00C87518">
        <w:t xml:space="preserve"> </w:t>
      </w:r>
      <w:r w:rsidR="001C11CB">
        <w:t xml:space="preserve">  </w:t>
      </w:r>
    </w:p>
    <w:p w14:paraId="4255A46F" w14:textId="77777777" w:rsidR="0086204D" w:rsidRDefault="0086204D" w:rsidP="0086204D">
      <w:pPr>
        <w:jc w:val="center"/>
      </w:pPr>
      <w:r>
        <w:rPr>
          <w:noProof/>
        </w:rPr>
        <w:drawing>
          <wp:inline distT="0" distB="0" distL="0" distR="0" wp14:anchorId="23ACE092" wp14:editId="0C35C5B3">
            <wp:extent cx="4075413" cy="1821309"/>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5278" cy="1843594"/>
                    </a:xfrm>
                    <a:prstGeom prst="rect">
                      <a:avLst/>
                    </a:prstGeom>
                  </pic:spPr>
                </pic:pic>
              </a:graphicData>
            </a:graphic>
          </wp:inline>
        </w:drawing>
      </w:r>
    </w:p>
    <w:p w14:paraId="6A920D17" w14:textId="7A367907" w:rsidR="0077189C" w:rsidRDefault="0077189C" w:rsidP="0077189C">
      <w:pPr>
        <w:jc w:val="center"/>
      </w:pPr>
      <w:r>
        <w:t xml:space="preserve">Figure </w:t>
      </w:r>
      <w:r w:rsidR="006F4A74">
        <w:t>5</w:t>
      </w:r>
      <w:r>
        <w:t>. SEMTA Multistatic Radar Configuration.</w:t>
      </w:r>
    </w:p>
    <w:p w14:paraId="000D123C" w14:textId="15265BD2" w:rsidR="0077189C" w:rsidRDefault="006F4A74" w:rsidP="0086204D">
      <w:pPr>
        <w:jc w:val="center"/>
      </w:pPr>
      <w:r>
        <w:rPr>
          <w:noProof/>
        </w:rPr>
        <w:lastRenderedPageBreak/>
        <w:drawing>
          <wp:inline distT="0" distB="0" distL="0" distR="0" wp14:anchorId="2F4E8CF3" wp14:editId="73821433">
            <wp:extent cx="5013599" cy="2825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746" cy="2841932"/>
                    </a:xfrm>
                    <a:prstGeom prst="rect">
                      <a:avLst/>
                    </a:prstGeom>
                  </pic:spPr>
                </pic:pic>
              </a:graphicData>
            </a:graphic>
          </wp:inline>
        </w:drawing>
      </w:r>
    </w:p>
    <w:p w14:paraId="022FEE01" w14:textId="766B3B07" w:rsidR="006F4A74" w:rsidRDefault="006F4A74" w:rsidP="006F4A74">
      <w:pPr>
        <w:jc w:val="center"/>
      </w:pPr>
      <w:r>
        <w:t>Figure 6. TRASAT Multistatic Radar Configuration.</w:t>
      </w:r>
    </w:p>
    <w:p w14:paraId="0AC460C6" w14:textId="77777777" w:rsidR="000806DA" w:rsidRDefault="000806DA" w:rsidP="006F4A74">
      <w:pPr>
        <w:jc w:val="center"/>
      </w:pPr>
    </w:p>
    <w:p w14:paraId="63F0CFA4" w14:textId="3F5D542B" w:rsidR="00410AB6" w:rsidRDefault="00E74519" w:rsidP="00E74519">
      <w:pPr>
        <w:pStyle w:val="ListParagraph"/>
        <w:numPr>
          <w:ilvl w:val="0"/>
          <w:numId w:val="1"/>
        </w:numPr>
        <w:rPr>
          <w:b/>
        </w:rPr>
      </w:pPr>
      <w:r w:rsidRPr="00E74519">
        <w:rPr>
          <w:b/>
        </w:rPr>
        <w:t>Multilateration Localizer</w:t>
      </w:r>
    </w:p>
    <w:p w14:paraId="150A9410" w14:textId="1F025D8C" w:rsidR="00A17DDE" w:rsidRDefault="006B0CAE" w:rsidP="00E74519">
      <w:pPr>
        <w:rPr>
          <w:b/>
        </w:rPr>
      </w:pPr>
      <w:r w:rsidRPr="006B0CAE">
        <w:t>For</w:t>
      </w:r>
      <w:r>
        <w:rPr>
          <w:b/>
        </w:rPr>
        <w:t xml:space="preserve"> </w:t>
      </w:r>
      <w:r w:rsidR="0096095F" w:rsidRPr="0096095F">
        <w:rPr>
          <w:b/>
        </w:rPr>
        <w:t>2-D Multilateration (SEMTA)</w:t>
      </w:r>
      <w:r>
        <w:rPr>
          <w:b/>
        </w:rPr>
        <w:t xml:space="preserve"> </w:t>
      </w:r>
      <w:r w:rsidRPr="006B0CAE">
        <w:t>radar array</w:t>
      </w:r>
      <w:r>
        <w:t>,</w:t>
      </w:r>
      <w:r>
        <w:rPr>
          <w:b/>
        </w:rPr>
        <w:t xml:space="preserve"> </w:t>
      </w:r>
      <w:r>
        <w:t>the following approach allow to determine target position in general case:</w:t>
      </w:r>
    </w:p>
    <w:p w14:paraId="0942525E" w14:textId="2978FF3F" w:rsidR="0096095F" w:rsidRDefault="00A17DDE" w:rsidP="00A17DDE">
      <w:pPr>
        <w:jc w:val="center"/>
      </w:pPr>
      <w:r>
        <w:rPr>
          <w:noProof/>
        </w:rPr>
        <w:drawing>
          <wp:inline distT="0" distB="0" distL="0" distR="0" wp14:anchorId="7E5AE319" wp14:editId="5AC9B989">
            <wp:extent cx="4246831" cy="2743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416" cy="2759726"/>
                    </a:xfrm>
                    <a:prstGeom prst="rect">
                      <a:avLst/>
                    </a:prstGeom>
                  </pic:spPr>
                </pic:pic>
              </a:graphicData>
            </a:graphic>
          </wp:inline>
        </w:drawing>
      </w:r>
    </w:p>
    <w:p w14:paraId="21E4EA5B" w14:textId="38CB7A7C" w:rsidR="006B0CAE" w:rsidRDefault="006B0CAE" w:rsidP="00A17DDE">
      <w:pPr>
        <w:jc w:val="center"/>
      </w:pPr>
      <w:r>
        <w:rPr>
          <w:noProof/>
        </w:rPr>
        <w:lastRenderedPageBreak/>
        <w:drawing>
          <wp:inline distT="0" distB="0" distL="0" distR="0" wp14:anchorId="30B669A0" wp14:editId="7CBECFCF">
            <wp:extent cx="4244340" cy="263185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5634" cy="2657460"/>
                    </a:xfrm>
                    <a:prstGeom prst="rect">
                      <a:avLst/>
                    </a:prstGeom>
                  </pic:spPr>
                </pic:pic>
              </a:graphicData>
            </a:graphic>
          </wp:inline>
        </w:drawing>
      </w:r>
    </w:p>
    <w:p w14:paraId="7126AA7B" w14:textId="692C584C" w:rsidR="006B0CAE" w:rsidRDefault="006B0CAE" w:rsidP="006B0CAE">
      <w:r>
        <w:t xml:space="preserve">The expressions may be simplified with assumption that max </w:t>
      </w:r>
      <w:r w:rsidR="00423243">
        <w:t>2</w:t>
      </w:r>
      <w:r>
        <w:t xml:space="preserve"> radar</w:t>
      </w:r>
      <w:r w:rsidR="00423243">
        <w:t>s</w:t>
      </w:r>
      <w:r>
        <w:t xml:space="preserve"> units </w:t>
      </w:r>
      <w:r w:rsidR="00423243">
        <w:t>can obtain target range information. In this case, only one solution for target coordinates can be calculated and least square method for position estimation is not required. We can use this assumption in our model. If more than two radars can detect target and measure the range, only two results</w:t>
      </w:r>
      <w:r w:rsidR="000806DA">
        <w:t xml:space="preserve"> can be selected based on max SNR basis.</w:t>
      </w:r>
      <w:r w:rsidR="00423243">
        <w:t xml:space="preserve">  </w:t>
      </w:r>
    </w:p>
    <w:p w14:paraId="654438AB" w14:textId="1322874E" w:rsidR="000806DA" w:rsidRDefault="000806DA" w:rsidP="006B0CAE">
      <w:r>
        <w:t>Similar formulas as above may be applied f</w:t>
      </w:r>
      <w:r w:rsidRPr="006B0CAE">
        <w:t>or</w:t>
      </w:r>
      <w:r>
        <w:rPr>
          <w:b/>
        </w:rPr>
        <w:t xml:space="preserve"> 3</w:t>
      </w:r>
      <w:r w:rsidRPr="0096095F">
        <w:rPr>
          <w:b/>
        </w:rPr>
        <w:t>-D Multilateration (</w:t>
      </w:r>
      <w:r>
        <w:rPr>
          <w:b/>
        </w:rPr>
        <w:t>TRASAT</w:t>
      </w:r>
      <w:r w:rsidRPr="0096095F">
        <w:rPr>
          <w:b/>
        </w:rPr>
        <w:t>)</w:t>
      </w:r>
      <w:r w:rsidRPr="000806DA">
        <w:t>.</w:t>
      </w:r>
      <w:r>
        <w:t xml:space="preserve"> Only third, z-coordinate should be added to the expression. The similar simplification as for 2-D can be applied for 3-D system. It’s required limitation of the number of resulted radars by number</w:t>
      </w:r>
      <w:r w:rsidR="009B7054">
        <w:t xml:space="preserve"> of</w:t>
      </w:r>
      <w:r>
        <w:t xml:space="preserve"> 3</w:t>
      </w:r>
      <w:r w:rsidR="009B7054">
        <w:t xml:space="preserve">, with at least one of the radar unit on </w:t>
      </w:r>
      <w:r w:rsidR="004548ED">
        <w:t>each multistatic</w:t>
      </w:r>
      <w:r w:rsidR="009B7054">
        <w:t xml:space="preserve"> row.</w:t>
      </w:r>
      <w:r>
        <w:t xml:space="preserve"> </w:t>
      </w:r>
    </w:p>
    <w:p w14:paraId="100CFCFC" w14:textId="72A9A7FD" w:rsidR="004548ED" w:rsidRDefault="004548ED" w:rsidP="004548ED">
      <w:pPr>
        <w:pStyle w:val="ListParagraph"/>
        <w:numPr>
          <w:ilvl w:val="0"/>
          <w:numId w:val="1"/>
        </w:numPr>
        <w:rPr>
          <w:b/>
        </w:rPr>
      </w:pPr>
      <w:r w:rsidRPr="004548ED">
        <w:rPr>
          <w:b/>
        </w:rPr>
        <w:t>Tracking Algorithm</w:t>
      </w:r>
    </w:p>
    <w:p w14:paraId="2E5D404F" w14:textId="77777777" w:rsidR="00201D34" w:rsidRDefault="00F079E6" w:rsidP="00F079E6">
      <w:r>
        <w:t xml:space="preserve">The calculated target coordinates and velocity data will be used for single target tracking algorithm. The tracking </w:t>
      </w:r>
      <w:r w:rsidR="00201D34">
        <w:t>will be</w:t>
      </w:r>
      <w:r>
        <w:t xml:space="preserve"> based on predictor-corrector algorithm of the Kalman filter</w:t>
      </w:r>
      <w:r w:rsidR="00201D34">
        <w:t>. Nearly constant velocity target motion model will be considered. The Kalman filter parameters will be determine during simulation.</w:t>
      </w:r>
    </w:p>
    <w:p w14:paraId="719E9BC7" w14:textId="77777777" w:rsidR="004548ED" w:rsidRPr="004548ED" w:rsidRDefault="004548ED" w:rsidP="004548ED">
      <w:pPr>
        <w:jc w:val="both"/>
      </w:pPr>
    </w:p>
    <w:sectPr w:rsidR="004548ED" w:rsidRPr="0045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247D"/>
    <w:multiLevelType w:val="hybridMultilevel"/>
    <w:tmpl w:val="01E05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949"/>
    <w:multiLevelType w:val="hybridMultilevel"/>
    <w:tmpl w:val="01E05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16728"/>
    <w:multiLevelType w:val="hybridMultilevel"/>
    <w:tmpl w:val="1B889A48"/>
    <w:lvl w:ilvl="0" w:tplc="67246148">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61E3B"/>
    <w:multiLevelType w:val="hybridMultilevel"/>
    <w:tmpl w:val="01E05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C4B44"/>
    <w:multiLevelType w:val="hybridMultilevel"/>
    <w:tmpl w:val="01E05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28"/>
    <w:rsid w:val="00024F5E"/>
    <w:rsid w:val="00045990"/>
    <w:rsid w:val="00046127"/>
    <w:rsid w:val="00054C54"/>
    <w:rsid w:val="00054CBD"/>
    <w:rsid w:val="000806DA"/>
    <w:rsid w:val="000A3AF1"/>
    <w:rsid w:val="000E3933"/>
    <w:rsid w:val="000E7AFB"/>
    <w:rsid w:val="000F5208"/>
    <w:rsid w:val="001156DC"/>
    <w:rsid w:val="00187F72"/>
    <w:rsid w:val="00190012"/>
    <w:rsid w:val="001C11CB"/>
    <w:rsid w:val="001C7E08"/>
    <w:rsid w:val="001E7976"/>
    <w:rsid w:val="001F3920"/>
    <w:rsid w:val="001F58D7"/>
    <w:rsid w:val="00201D34"/>
    <w:rsid w:val="00232A59"/>
    <w:rsid w:val="00241804"/>
    <w:rsid w:val="002636E2"/>
    <w:rsid w:val="002963C8"/>
    <w:rsid w:val="00302CED"/>
    <w:rsid w:val="00315C7D"/>
    <w:rsid w:val="003253F8"/>
    <w:rsid w:val="00336145"/>
    <w:rsid w:val="00366310"/>
    <w:rsid w:val="00382994"/>
    <w:rsid w:val="003A6DE7"/>
    <w:rsid w:val="003D07DB"/>
    <w:rsid w:val="003E486D"/>
    <w:rsid w:val="004023AF"/>
    <w:rsid w:val="00404931"/>
    <w:rsid w:val="00410AB6"/>
    <w:rsid w:val="00423243"/>
    <w:rsid w:val="004548ED"/>
    <w:rsid w:val="004726AE"/>
    <w:rsid w:val="00476D21"/>
    <w:rsid w:val="004A24A7"/>
    <w:rsid w:val="004C344B"/>
    <w:rsid w:val="004C469B"/>
    <w:rsid w:val="004D6DBE"/>
    <w:rsid w:val="00515A75"/>
    <w:rsid w:val="005833E8"/>
    <w:rsid w:val="005A24B5"/>
    <w:rsid w:val="005D3DB5"/>
    <w:rsid w:val="006001DA"/>
    <w:rsid w:val="00617F2D"/>
    <w:rsid w:val="0062397B"/>
    <w:rsid w:val="006A53EA"/>
    <w:rsid w:val="006B0CAE"/>
    <w:rsid w:val="006B327D"/>
    <w:rsid w:val="006B3FA5"/>
    <w:rsid w:val="006C5E31"/>
    <w:rsid w:val="006D57DF"/>
    <w:rsid w:val="006E35B4"/>
    <w:rsid w:val="006E6DC0"/>
    <w:rsid w:val="006F3922"/>
    <w:rsid w:val="006F4A74"/>
    <w:rsid w:val="0070002B"/>
    <w:rsid w:val="00723CFD"/>
    <w:rsid w:val="00764C74"/>
    <w:rsid w:val="00770153"/>
    <w:rsid w:val="0077189C"/>
    <w:rsid w:val="00790D92"/>
    <w:rsid w:val="007A065F"/>
    <w:rsid w:val="007D4B29"/>
    <w:rsid w:val="007D6D38"/>
    <w:rsid w:val="00817F2F"/>
    <w:rsid w:val="008213CA"/>
    <w:rsid w:val="00842BD5"/>
    <w:rsid w:val="00856597"/>
    <w:rsid w:val="0086204D"/>
    <w:rsid w:val="008669F7"/>
    <w:rsid w:val="0088221A"/>
    <w:rsid w:val="008A5653"/>
    <w:rsid w:val="008E106C"/>
    <w:rsid w:val="008E3D34"/>
    <w:rsid w:val="00905B55"/>
    <w:rsid w:val="009155D1"/>
    <w:rsid w:val="00925CF6"/>
    <w:rsid w:val="00926AB4"/>
    <w:rsid w:val="00930016"/>
    <w:rsid w:val="00930697"/>
    <w:rsid w:val="0096095F"/>
    <w:rsid w:val="009A039E"/>
    <w:rsid w:val="009B0119"/>
    <w:rsid w:val="009B2ED3"/>
    <w:rsid w:val="009B7054"/>
    <w:rsid w:val="009F3F49"/>
    <w:rsid w:val="00A063B9"/>
    <w:rsid w:val="00A06FFD"/>
    <w:rsid w:val="00A17DDE"/>
    <w:rsid w:val="00A223B9"/>
    <w:rsid w:val="00A26668"/>
    <w:rsid w:val="00A42E9E"/>
    <w:rsid w:val="00A432A0"/>
    <w:rsid w:val="00A455D6"/>
    <w:rsid w:val="00A7586C"/>
    <w:rsid w:val="00A863EF"/>
    <w:rsid w:val="00AD3E1D"/>
    <w:rsid w:val="00AE15D2"/>
    <w:rsid w:val="00AF0E95"/>
    <w:rsid w:val="00AF1281"/>
    <w:rsid w:val="00AF4FD2"/>
    <w:rsid w:val="00B23F9A"/>
    <w:rsid w:val="00B55F0C"/>
    <w:rsid w:val="00B93099"/>
    <w:rsid w:val="00BA30CE"/>
    <w:rsid w:val="00BA3A4B"/>
    <w:rsid w:val="00BD304A"/>
    <w:rsid w:val="00BD5FC0"/>
    <w:rsid w:val="00BE6629"/>
    <w:rsid w:val="00BE66FC"/>
    <w:rsid w:val="00BF76D0"/>
    <w:rsid w:val="00C0148A"/>
    <w:rsid w:val="00C04ED2"/>
    <w:rsid w:val="00C15029"/>
    <w:rsid w:val="00C277C7"/>
    <w:rsid w:val="00C30E66"/>
    <w:rsid w:val="00C40B91"/>
    <w:rsid w:val="00C470AB"/>
    <w:rsid w:val="00C6666B"/>
    <w:rsid w:val="00C726CE"/>
    <w:rsid w:val="00C84D8E"/>
    <w:rsid w:val="00C87518"/>
    <w:rsid w:val="00CB6911"/>
    <w:rsid w:val="00CC2FB5"/>
    <w:rsid w:val="00CC4EF2"/>
    <w:rsid w:val="00CD2374"/>
    <w:rsid w:val="00D75E84"/>
    <w:rsid w:val="00DB70FC"/>
    <w:rsid w:val="00E07760"/>
    <w:rsid w:val="00E25C68"/>
    <w:rsid w:val="00E63443"/>
    <w:rsid w:val="00E70028"/>
    <w:rsid w:val="00E74519"/>
    <w:rsid w:val="00E833E9"/>
    <w:rsid w:val="00EA007C"/>
    <w:rsid w:val="00EC40FF"/>
    <w:rsid w:val="00ED4537"/>
    <w:rsid w:val="00EE19A9"/>
    <w:rsid w:val="00EF5B7B"/>
    <w:rsid w:val="00F079E6"/>
    <w:rsid w:val="00F1064D"/>
    <w:rsid w:val="00F408DE"/>
    <w:rsid w:val="00F7303A"/>
    <w:rsid w:val="00FA4C94"/>
    <w:rsid w:val="00FC0308"/>
    <w:rsid w:val="00FC6487"/>
    <w:rsid w:val="00FE4C79"/>
    <w:rsid w:val="00FF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FD93"/>
  <w15:chartTrackingRefBased/>
  <w15:docId w15:val="{6BE4EF1C-42C9-47B0-B9D8-1E9317CE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028"/>
    <w:rPr>
      <w:rFonts w:ascii="Segoe UI" w:hAnsi="Segoe UI" w:cs="Segoe UI"/>
      <w:sz w:val="18"/>
      <w:szCs w:val="18"/>
    </w:rPr>
  </w:style>
  <w:style w:type="paragraph" w:styleId="ListParagraph">
    <w:name w:val="List Paragraph"/>
    <w:basedOn w:val="Normal"/>
    <w:uiPriority w:val="34"/>
    <w:qFormat/>
    <w:rsid w:val="00A863EF"/>
    <w:pPr>
      <w:ind w:left="720"/>
      <w:contextualSpacing/>
    </w:pPr>
  </w:style>
  <w:style w:type="character" w:styleId="PlaceholderText">
    <w:name w:val="Placeholder Text"/>
    <w:basedOn w:val="DefaultParagraphFont"/>
    <w:uiPriority w:val="99"/>
    <w:semiHidden/>
    <w:rsid w:val="00F408DE"/>
    <w:rPr>
      <w:color w:val="808080"/>
    </w:rPr>
  </w:style>
  <w:style w:type="table" w:styleId="TableGrid">
    <w:name w:val="Table Grid"/>
    <w:basedOn w:val="TableNormal"/>
    <w:uiPriority w:val="39"/>
    <w:rsid w:val="00382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Khodos</dc:creator>
  <cp:keywords/>
  <dc:description/>
  <cp:lastModifiedBy>Sean Holloway</cp:lastModifiedBy>
  <cp:revision>2</cp:revision>
  <dcterms:created xsi:type="dcterms:W3CDTF">2020-03-07T01:11:00Z</dcterms:created>
  <dcterms:modified xsi:type="dcterms:W3CDTF">2020-03-07T01:11:00Z</dcterms:modified>
</cp:coreProperties>
</file>