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before="360" w:line="360"/>
      </w:pPr>
      <w:r>
        <w:rPr>
          <w:rFonts w:ascii="Times New Roman" w:cs="Times New Roman" w:eastAsia="Times New Roman" w:hAnsi="Times New Roman"/>
          <w:b/>
          <w:bCs/>
          <w:sz w:val="28"/>
          <w:szCs w:val="28"/>
        </w:rPr>
        <w:t xml:space="preserve">Trazabilidad y reanálisis de las mediciones</w:t>
      </w:r>
    </w:p>
    <w:p>
      <w:pPr>
        <w:spacing w:after="120" w:line="360"/>
        <w:ind w:firstLine="720"/>
        <w:jc w:val="both"/>
      </w:pPr>
      <w:r>
        <w:rPr>
          <w:rFonts w:ascii="Times New Roman" w:cs="Times New Roman" w:eastAsia="Times New Roman" w:hAnsi="Times New Roman"/>
          <w:sz w:val="24"/>
          <w:szCs w:val="24"/>
        </w:rPr>
        <w:t xml:space="preserve">El requerimiento RF-08 estableció que los umbrales biomecánicos debían constituir datos versionados y no constantes del código fuente. La sección anterior documenta esa implementación y la propiedad que garantiza: el historial es auditable, puesto que cada medición conserva la referencia a la versión de umbral con la que fue evaluada y siempre resulta posible determinar qué criterio regía en el momento de su registro.</w:t>
      </w:r>
    </w:p>
    <w:p>
      <w:pPr>
        <w:spacing w:after="120" w:line="360"/>
        <w:ind w:firstLine="720"/>
        <w:jc w:val="both"/>
      </w:pPr>
      <w:r>
        <w:rPr>
          <w:rFonts w:ascii="Times New Roman" w:cs="Times New Roman" w:eastAsia="Times New Roman" w:hAnsi="Times New Roman"/>
          <w:sz w:val="24"/>
          <w:szCs w:val="24"/>
        </w:rPr>
        <w:t xml:space="preserve">Durante la preparación de la fase de recolección de datos en campo se identificó que la auditabilidad, siendo necesaria, no era suficiente. Los rangos articulares del Kokutsu Dachi que gobiernan actualmente el clasificador fueron derivados del principio biomecánico de distribución de peso sobre la pierna posterior y permanecen pendientes de confirmación por parte del cuerpo técnico de la asociación. La pregunta que dicha situación plantea no es con qué criterio se evaluó una medición —eso ya estaba resuelto— sino qué ocurriría con las mediciones ya registradas en caso de que ese criterio se corrigiera.</w:t>
      </w:r>
    </w:p>
    <w:p>
      <w:pPr>
        <w:spacing w:after="120" w:line="360"/>
        <w:ind w:firstLine="720"/>
        <w:jc w:val="both"/>
      </w:pPr>
      <w:r>
        <w:rPr>
          <w:rFonts w:ascii="Times New Roman" w:cs="Times New Roman" w:eastAsia="Times New Roman" w:hAnsi="Times New Roman"/>
          <w:sz w:val="24"/>
          <w:szCs w:val="24"/>
        </w:rPr>
        <w:t xml:space="preserve">La presente sección documenta las decisiones de diseño e implementación adoptadas para responder esa pregunta sin repetir la toma de datos, dado que una sesión de medición en el dojo depende de la disponibilidad de los deportistas y del instructor, y una ejecución perdida no se recupera repitiéndola: constituiría una ejecución distinta, realizada en otra fecha y bajo otras condiciones de fatiga.</w:t>
      </w:r>
    </w:p>
    <w:p>
      <w:pPr>
        <w:pStyle w:val="Heading3"/>
        <w:spacing w:after="140" w:before="280" w:line="360"/>
      </w:pPr>
      <w:r>
        <w:rPr>
          <w:rFonts w:ascii="Times New Roman" w:cs="Times New Roman" w:eastAsia="Times New Roman" w:hAnsi="Times New Roman"/>
          <w:b/>
          <w:bCs/>
          <w:sz w:val="24"/>
          <w:szCs w:val="24"/>
        </w:rPr>
        <w:t xml:space="preserve">4.8.1 Distinción entre la medición y el veredicto</w:t>
      </w:r>
    </w:p>
    <w:p>
      <w:pPr>
        <w:spacing w:after="120" w:line="360"/>
        <w:ind w:firstLine="720"/>
        <w:jc w:val="both"/>
      </w:pPr>
      <w:r>
        <w:rPr>
          <w:rFonts w:ascii="Times New Roman" w:cs="Times New Roman" w:eastAsia="Times New Roman" w:hAnsi="Times New Roman"/>
          <w:sz w:val="24"/>
          <w:szCs w:val="24"/>
        </w:rPr>
        <w:t xml:space="preserve">Toda evaluación emitida por el sistema contiene dos elementos de naturaleza epistemológica distinta. El primero es una magnitud cinemática medida: la rodilla posterior describió un ángulo de 105 grados. El segundo es un juicio sobre esa magnitud: 105 grados se encuentra comprendido dentro del rango de ejecución correcta, en consecuencia la ejecución es correcta.</w:t>
      </w:r>
    </w:p>
    <w:p>
      <w:pPr>
        <w:spacing w:after="120" w:line="360"/>
        <w:ind w:firstLine="720"/>
        <w:jc w:val="both"/>
      </w:pPr>
      <w:r>
        <w:rPr>
          <w:rFonts w:ascii="Times New Roman" w:cs="Times New Roman" w:eastAsia="Times New Roman" w:hAnsi="Times New Roman"/>
          <w:sz w:val="24"/>
          <w:szCs w:val="24"/>
        </w:rPr>
        <w:t xml:space="preserve">La magnitud constituye un hecho registrado por el instrumento y no admite revisión posterior. El juicio, en cambio, es una función de dos argumentos —la magnitud y el umbral vigente— de modo que una modificación del umbral produce necesariamente un juicio distinto sobre la misma magnitud. La consecuencia práctica es que corregir un umbral no altera absolutamente nada de lo medido, pero reinterpreta la totalidad del historial: el porcentaje de precisión del deportista, la composición de sus errores frecuentes y la pendiente de su gráfica de evolución.</w:t>
      </w:r>
    </w:p>
    <w:p>
      <w:pPr>
        <w:spacing w:after="120" w:line="360"/>
        <w:ind w:firstLine="720"/>
        <w:jc w:val="both"/>
      </w:pPr>
      <w:r>
        <w:rPr>
          <w:rFonts w:ascii="Times New Roman" w:cs="Times New Roman" w:eastAsia="Times New Roman" w:hAnsi="Times New Roman"/>
          <w:sz w:val="24"/>
          <w:szCs w:val="24"/>
        </w:rPr>
        <w:t xml:space="preserve">La magnitud de esa reinterpretación no es marginal. Sobre un conjunto de cinco ejecuciones de Kokutsu Dachi registradas como correctas bajo el rango vigente de 90 a 120 grados para la rodilla posterior, la corrección de dicho rango a un intervalo de 90 a 100 grados traslada tres de las cinco evaluaciones a la categoría de incorrectas, con lo que la precisión atribuida al deportista desciende del 100 % al 40 % sin que se haya vuelto a medir.</w:t>
      </w:r>
    </w:p>
    <w:p>
      <w:pPr>
        <w:spacing w:after="120" w:line="360"/>
        <w:ind w:firstLine="720"/>
        <w:jc w:val="both"/>
      </w:pPr>
      <w:r>
        <w:rPr>
          <w:rFonts w:ascii="Times New Roman" w:cs="Times New Roman" w:eastAsia="Times New Roman" w:hAnsi="Times New Roman"/>
          <w:b/>
          <w:bCs/>
          <w:sz w:val="24"/>
          <w:szCs w:val="24"/>
        </w:rPr>
        <w:t xml:space="preserve">El problema identificado.</w:t>
      </w:r>
      <w:r>
        <w:rPr>
          <w:rFonts w:ascii="Times New Roman" w:cs="Times New Roman" w:eastAsia="Times New Roman" w:hAnsi="Times New Roman"/>
          <w:sz w:val="24"/>
          <w:szCs w:val="24"/>
        </w:rPr>
        <w:t xml:space="preserve"> El modelo de datos vigente hasta esta fase no permitía efectuar ese recálculo. La fila de cada evaluación conservaba un único ángulo promedio, el texto del diagnóstico y la referencia al umbral aplicado, pero no registraba qué postura había reconocido el clasificador ni, en las posturas evaluadas contra dos articulaciones, cuál era el segundo ángulo considerado. En la base de datos de desarrollo, las setenta y tres evaluaciones de miembro inferior acumuladas hasta esa fecha figuraban bajo la denominación única «Postura de piernas», indistinguibles entre Zenkutsu Dachi, Kiba Dachi, Kokutsu Dachi y postura natural.</w:t>
      </w:r>
    </w:p>
    <w:p>
      <w:pPr>
        <w:spacing w:after="120" w:line="360"/>
        <w:ind w:firstLine="720"/>
        <w:jc w:val="both"/>
      </w:pPr>
      <w:r>
        <w:rPr>
          <w:rFonts w:ascii="Times New Roman" w:cs="Times New Roman" w:eastAsia="Times New Roman" w:hAnsi="Times New Roman"/>
          <w:sz w:val="24"/>
          <w:szCs w:val="24"/>
        </w:rPr>
        <w:t xml:space="preserve">Se identificó además una inconsistencia de mayor alcance en el ángulo conservado. El valor almacenado correspondía siempre a la rodilla izquierda, por ser el número que la interfaz dibuja junto a esa articulación, mientras que las reglas de evaluación consumen sus argumentos en el orden de rodilla frontal y rodilla posterior, determinado por la guardia del practicante. En consecuencia, las ejecuciones realizadas con guardia derecha conservaban en el registro la rodilla posterior en la posición correspondiente a la frontal, de modo que el dato almacenado no solo era insuficiente sino que podía inducir a error.</w:t>
      </w:r>
    </w:p>
    <w:p>
      <w:pPr>
        <w:pStyle w:val="Heading3"/>
        <w:spacing w:after="140" w:before="280" w:line="360"/>
      </w:pPr>
      <w:r>
        <w:rPr>
          <w:rFonts w:ascii="Times New Roman" w:cs="Times New Roman" w:eastAsia="Times New Roman" w:hAnsi="Times New Roman"/>
          <w:b/>
          <w:bCs/>
          <w:sz w:val="24"/>
          <w:szCs w:val="24"/>
        </w:rPr>
        <w:t xml:space="preserve">4.8.2 Registro de las magnitudes que fundamentan el veredicto</w:t>
      </w:r>
    </w:p>
    <w:p>
      <w:pPr>
        <w:spacing w:after="120" w:line="360"/>
        <w:ind w:firstLine="720"/>
        <w:jc w:val="both"/>
      </w:pPr>
      <w:r>
        <w:rPr>
          <w:rFonts w:ascii="Times New Roman" w:cs="Times New Roman" w:eastAsia="Times New Roman" w:hAnsi="Times New Roman"/>
          <w:sz w:val="24"/>
          <w:szCs w:val="24"/>
        </w:rPr>
        <w:t xml:space="preserve">Se estableció como criterio que una medición debe conservar los mismos argumentos con los que la regla la evaluó, y no únicamente el resultado de esa evaluación. Bajo ese criterio, volver a juzgar una medición consiste en invocar la misma función con umbrales distintos, operación determinista y verificable.</w:t>
      </w:r>
    </w:p>
    <w:p>
      <w:pPr>
        <w:spacing w:after="120" w:line="360"/>
        <w:ind w:firstLine="720"/>
        <w:jc w:val="both"/>
      </w:pPr>
      <w:r>
        <w:rPr>
          <w:rFonts w:ascii="Times New Roman" w:cs="Times New Roman" w:eastAsia="Times New Roman" w:hAnsi="Times New Roman"/>
          <w:sz w:val="24"/>
          <w:szCs w:val="24"/>
        </w:rPr>
        <w:t xml:space="preserve">Se incorporaron tres columnas a la tabla de evaluaciones, cuyo contenido se detalla en la tabla siguiente.</w:t>
      </w:r>
    </w:p>
    <w:p>
      <w:pPr>
        <w:spacing w:after="120" w:before="200" w:line="360"/>
      </w:pPr>
      <w:r>
        <w:rPr>
          <w:rFonts w:ascii="Times New Roman" w:cs="Times New Roman" w:eastAsia="Times New Roman" w:hAnsi="Times New Roman"/>
          <w:b/>
          <w:bCs/>
          <w:sz w:val="24"/>
          <w:szCs w:val="24"/>
        </w:rPr>
        <w:t xml:space="preserve">Tabla 4.X — Columnas incorporadas para la trazabilidad del veredicto</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1200"/>
        <w:gridCol w:w="5860"/>
      </w:tblGrid>
      <w:tr>
        <w:trPr>
          <w:tblHeader/>
        </w:trPr>
        <w:tc>
          <w:tcPr>
            <w:tcW w:type="dxa" w:w="230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Columna</w:t>
            </w:r>
          </w:p>
        </w:tc>
        <w:tc>
          <w:tcPr>
            <w:tcW w:type="dxa" w:w="120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Tipo</w:t>
            </w:r>
          </w:p>
        </w:tc>
        <w:tc>
          <w:tcPr>
            <w:tcW w:type="dxa" w:w="586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Contenido y justificación</w:t>
            </w:r>
          </w:p>
        </w:tc>
      </w:tr>
      <w:tr>
        <w:tc>
          <w:tcPr>
            <w:tcW w:type="dxa" w:w="2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tecnica_clave</w:t>
            </w:r>
          </w:p>
        </w:tc>
        <w:tc>
          <w:tcPr>
            <w:tcW w:type="dxa" w:w="12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Texto</w:t>
            </w:r>
          </w:p>
        </w:tc>
        <w:tc>
          <w:tcPr>
            <w:tcW w:type="dxa" w:w="58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Identificador interno de la técnica reconocida por el clasificador (zenkutsu_dachi, kokutsu_dachi, tsuki, entre otros). Su ausencia es significativa: una postura en transición no se evalúa contra ningún umbral y se registra sin clave.</w:t>
            </w:r>
          </w:p>
        </w:tc>
      </w:tr>
      <w:tr>
        <w:tc>
          <w:tcPr>
            <w:tcW w:type="dxa" w:w="2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angulo_regla_1</w:t>
            </w:r>
          </w:p>
        </w:tc>
        <w:tc>
          <w:tcPr>
            <w:tcW w:type="dxa" w:w="12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Real</w:t>
            </w:r>
          </w:p>
        </w:tc>
        <w:tc>
          <w:tcPr>
            <w:tcW w:type="dxa" w:w="58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Primer argumento consumido por la regla. En las posturas asimétricas corresponde a la rodilla frontal según la guardia detectada, y no al lado izquierdo de la pantalla.</w:t>
            </w:r>
          </w:p>
        </w:tc>
      </w:tr>
      <w:tr>
        <w:tc>
          <w:tcPr>
            <w:tcW w:type="dxa" w:w="2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angulo_regla_2</w:t>
            </w:r>
          </w:p>
        </w:tc>
        <w:tc>
          <w:tcPr>
            <w:tcW w:type="dxa" w:w="12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Real</w:t>
            </w:r>
          </w:p>
        </w:tc>
        <w:tc>
          <w:tcPr>
            <w:tcW w:type="dxa" w:w="58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Segundo argumento, presente únicamente en las técnicas evaluadas contra dos articulaciones. Permanece vacío —y no en cero— cuando la regla consume un solo ángulo, puesto que un cero constituiría una medición angular válida y no una ausencia.</w:t>
            </w:r>
          </w:p>
        </w:tc>
      </w:tr>
    </w:tbl>
    <w:p>
      <w:pPr>
        <w:spacing w:after="240" w:before="80" w:line="240"/>
      </w:pPr>
      <w:r>
        <w:rPr>
          <w:rFonts w:ascii="Times New Roman" w:cs="Times New Roman" w:eastAsia="Times New Roman" w:hAnsi="Times New Roman"/>
          <w:i/>
          <w:iCs/>
          <w:sz w:val="20"/>
          <w:szCs w:val="20"/>
        </w:rPr>
        <w:t xml:space="preserve">Fuente: Elaboración propia.</w:t>
      </w:r>
    </w:p>
    <w:p>
      <w:pPr>
        <w:spacing w:after="120" w:line="360"/>
        <w:ind w:firstLine="720"/>
        <w:jc w:val="both"/>
      </w:pPr>
      <w:r>
        <w:rPr>
          <w:rFonts w:ascii="Times New Roman" w:cs="Times New Roman" w:eastAsia="Times New Roman" w:hAnsi="Times New Roman"/>
          <w:b/>
          <w:bCs/>
          <w:sz w:val="24"/>
          <w:szCs w:val="24"/>
        </w:rPr>
        <w:t xml:space="preserve">Separación respecto del ángulo de presentación.</w:t>
      </w:r>
      <w:r>
        <w:rPr>
          <w:rFonts w:ascii="Times New Roman" w:cs="Times New Roman" w:eastAsia="Times New Roman" w:hAnsi="Times New Roman"/>
          <w:sz w:val="24"/>
          <w:szCs w:val="24"/>
        </w:rPr>
        <w:t xml:space="preserve"> Las columnas incorporadas no sustituyen al ángulo promedio ya existente, sino que coexisten con él. La decisión responde a que ambos valores responden a preguntas distintas: el ángulo promedio es el número que se rotula sobre la articulación izquierda en la imagen, mientras que los argumentos de regla siguen el orden que el evaluador consume. Unificarlos habría obligado a sacrificar una de las dos funciones, y fue precisamente su confusión la que originó la inconsistencia descrita en el apartado anterior.</w:t>
      </w:r>
    </w:p>
    <w:p>
      <w:pPr>
        <w:spacing w:after="120" w:line="360"/>
        <w:ind w:firstLine="720"/>
        <w:jc w:val="both"/>
      </w:pPr>
      <w:r>
        <w:rPr>
          <w:rFonts w:ascii="Times New Roman" w:cs="Times New Roman" w:eastAsia="Times New Roman" w:hAnsi="Times New Roman"/>
          <w:b/>
          <w:bCs/>
          <w:sz w:val="24"/>
          <w:szCs w:val="24"/>
        </w:rPr>
        <w:t xml:space="preserve">Migración sobre bases de datos con información registrada.</w:t>
      </w:r>
      <w:r>
        <w:rPr>
          <w:rFonts w:ascii="Times New Roman" w:cs="Times New Roman" w:eastAsia="Times New Roman" w:hAnsi="Times New Roman"/>
          <w:sz w:val="24"/>
          <w:szCs w:val="24"/>
        </w:rPr>
        <w:t xml:space="preserve"> La incorporación se realizó mediante el mismo mecanismo de migración idempotente documentado en la sección 4.5, que consulta la estructura de la tabla y ejecuta la alteración únicamente si la columna no se encuentra presente. La migración se verificó sobre una copia de la base de datos de desarrollo, conservando las 267 evaluaciones y las 19 sesiones previamente registradas.</w:t>
      </w:r>
    </w:p>
    <w:p>
      <w:pPr>
        <w:spacing w:after="120" w:line="360"/>
        <w:ind w:firstLine="720"/>
        <w:jc w:val="both"/>
      </w:pPr>
      <w:r>
        <w:rPr>
          <w:rFonts w:ascii="Times New Roman" w:cs="Times New Roman" w:eastAsia="Times New Roman" w:hAnsi="Times New Roman"/>
          <w:sz w:val="24"/>
          <w:szCs w:val="24"/>
        </w:rPr>
        <w:t xml:space="preserve">Las mediciones anteriores a esta fase conservan las columnas nuevas vacías, condición que se consideró correcta y no un defecto susceptible de reparación: no es posible deducir retroactivamente qué postura reconoció el clasificador ni cuál era el ángulo de la articulación no registrada. Atribuirles un valor estimado habría introducido en la evidencia un dato que ningún instrumento produjo.</w:t>
      </w:r>
    </w:p>
    <w:p>
      <w:pPr>
        <w:pStyle w:val="Heading3"/>
        <w:spacing w:after="140" w:before="280" w:line="360"/>
      </w:pPr>
      <w:r>
        <w:rPr>
          <w:rFonts w:ascii="Times New Roman" w:cs="Times New Roman" w:eastAsia="Times New Roman" w:hAnsi="Times New Roman"/>
          <w:b/>
          <w:bCs/>
          <w:sz w:val="24"/>
          <w:szCs w:val="24"/>
        </w:rPr>
        <w:t xml:space="preserve">4.8.3 Reevaluación de mediciones históricas</w:t>
      </w:r>
    </w:p>
    <w:p>
      <w:pPr>
        <w:spacing w:after="120" w:line="360"/>
        <w:ind w:firstLine="720"/>
        <w:jc w:val="both"/>
      </w:pPr>
      <w:r>
        <w:rPr>
          <w:rFonts w:ascii="Times New Roman" w:cs="Times New Roman" w:eastAsia="Times New Roman" w:hAnsi="Times New Roman"/>
          <w:sz w:val="24"/>
          <w:szCs w:val="24"/>
        </w:rPr>
        <w:t xml:space="preserve">Se construyó el módulo de reevaluación en el paquete del sistema experto, que recibe una medición almacenada y un conjunto de umbrales, invoca la regla correspondiente con los argumentos conservados y devuelve el veredicto que esa regla emitiría bajo el criterio suministrado. El módulo no depende de la base de datos ni de la capa de visión, condición que permite su verificación en el entorno de integración continua.</w:t>
      </w:r>
    </w:p>
    <w:p>
      <w:pPr>
        <w:spacing w:after="120" w:line="360"/>
        <w:ind w:firstLine="720"/>
        <w:jc w:val="both"/>
      </w:pPr>
      <w:r>
        <w:rPr>
          <w:rFonts w:ascii="Times New Roman" w:cs="Times New Roman" w:eastAsia="Times New Roman" w:hAnsi="Times New Roman"/>
          <w:b/>
          <w:bCs/>
          <w:sz w:val="24"/>
          <w:szCs w:val="24"/>
        </w:rPr>
        <w:t xml:space="preserve">El módulo no realiza operaciones de escritura.</w:t>
      </w:r>
      <w:r>
        <w:rPr>
          <w:rFonts w:ascii="Times New Roman" w:cs="Times New Roman" w:eastAsia="Times New Roman" w:hAnsi="Times New Roman"/>
          <w:sz w:val="24"/>
          <w:szCs w:val="24"/>
        </w:rPr>
        <w:t xml:space="preserve"> Se estableció explícitamente que la reevaluación no sobrescribe el veredicto registrado. La justificación es la misma que sustenta el versionado de umbrales descrito en la sección 4.5: el veredicto almacenado constituye la evidencia de qué criterio regía en el momento de la medición, y sustituirlo por un juicio posterior eliminaría precisamente el registro que permite verificar la evolución del criterio. La salida del módulo es, en consecuencia, un informe comparativo y no una modificación del historial.</w:t>
      </w:r>
    </w:p>
    <w:p>
      <w:pPr>
        <w:spacing w:after="120" w:line="360"/>
        <w:ind w:firstLine="720"/>
        <w:jc w:val="both"/>
      </w:pPr>
      <w:r>
        <w:rPr>
          <w:rFonts w:ascii="Times New Roman" w:cs="Times New Roman" w:eastAsia="Times New Roman" w:hAnsi="Times New Roman"/>
          <w:b/>
          <w:bCs/>
          <w:sz w:val="24"/>
          <w:szCs w:val="24"/>
        </w:rPr>
        <w:t xml:space="preserve">Exclusión deliberada de la patada frontal.</w:t>
      </w:r>
      <w:r>
        <w:rPr>
          <w:rFonts w:ascii="Times New Roman" w:cs="Times New Roman" w:eastAsia="Times New Roman" w:hAnsi="Times New Roman"/>
          <w:sz w:val="24"/>
          <w:szCs w:val="24"/>
        </w:rPr>
        <w:t xml:space="preserve"> El Mae Geri se declaró no reevaluable. Su veredicto no depende exclusivamente del ángulo de extensión sino también de la velocidad angular máxima alcanzada, magnitud que la máquina de estados observa a lo largo de varios fotogramas consecutivos y que el registro individual no conserva. Recalcular ese veredicto a partir de un solo ángulo habría producido una calificación que ningún instrumento midió. Se consideró preferible declarar la medición como no reevaluable antes que emitir un veredicto construido sobre información ausente, criterio coherente con el principio de presentación adoptado para la totalidad de la interfaz.</w:t>
      </w:r>
    </w:p>
    <w:p>
      <w:pPr>
        <w:spacing w:after="120" w:line="360"/>
        <w:ind w:firstLine="720"/>
        <w:jc w:val="both"/>
      </w:pPr>
      <w:r>
        <w:rPr>
          <w:rFonts w:ascii="Times New Roman" w:cs="Times New Roman" w:eastAsia="Times New Roman" w:hAnsi="Times New Roman"/>
          <w:b/>
          <w:bCs/>
          <w:sz w:val="24"/>
          <w:szCs w:val="24"/>
        </w:rPr>
        <w:t xml:space="preserve">Declaración de la cobertura del informe.</w:t>
      </w:r>
      <w:r>
        <w:rPr>
          <w:rFonts w:ascii="Times New Roman" w:cs="Times New Roman" w:eastAsia="Times New Roman" w:hAnsi="Times New Roman"/>
          <w:sz w:val="24"/>
          <w:szCs w:val="24"/>
        </w:rPr>
        <w:t xml:space="preserve"> Se incorporó una consulta que reporta cuántas de las mediciones con veredicto concluyente resultan efectivamente reevaluables. Su función es impedir una lectura errónea del resultado: la afirmación de que ninguna medición cambia de veredicto posee un significado radicalmente distinto según se haya podido contrastar el noventa por ciento del historial o únicamente el cuatro por ciento. Sin el dato de cobertura, una conclusión sobre la muestra podría interpretarse como una conclusión sobre el historial completo.</w:t>
      </w:r>
    </w:p>
    <w:p>
      <w:pPr>
        <w:pStyle w:val="Heading3"/>
        <w:spacing w:after="140" w:before="280" w:line="360"/>
      </w:pPr>
      <w:r>
        <w:rPr>
          <w:rFonts w:ascii="Times New Roman" w:cs="Times New Roman" w:eastAsia="Times New Roman" w:hAnsi="Times New Roman"/>
          <w:b/>
          <w:bCs/>
          <w:sz w:val="24"/>
          <w:szCs w:val="24"/>
        </w:rPr>
        <w:t xml:space="preserve">4.8.4 Presentación del impacto de una recalibración</w:t>
      </w:r>
    </w:p>
    <w:p>
      <w:pPr>
        <w:spacing w:after="120" w:line="360"/>
        <w:ind w:firstLine="720"/>
        <w:jc w:val="both"/>
      </w:pPr>
      <w:r>
        <w:rPr>
          <w:rFonts w:ascii="Times New Roman" w:cs="Times New Roman" w:eastAsia="Times New Roman" w:hAnsi="Times New Roman"/>
          <w:sz w:val="24"/>
          <w:szCs w:val="24"/>
        </w:rPr>
        <w:t xml:space="preserve">La capacidad descrita en el apartado anterior resultaba accesible únicamente mediante la invocación directa del módulo desde código fuente, condición que la colocaba fuera del alcance del instructor y, en la práctica, la dejaba sin uso. Se incorporó en consecuencia un control en la pantalla de calibración que ejecuta el contraste y presenta su resultado.</w:t>
      </w:r>
    </w:p>
    <w:p>
      <w:pPr>
        <w:spacing w:after="120" w:line="360"/>
        <w:ind w:firstLine="720"/>
        <w:jc w:val="both"/>
      </w:pPr>
      <w:r>
        <w:rPr>
          <w:rFonts w:ascii="Times New Roman" w:cs="Times New Roman" w:eastAsia="Times New Roman" w:hAnsi="Times New Roman"/>
          <w:b/>
          <w:bCs/>
          <w:sz w:val="24"/>
          <w:szCs w:val="24"/>
        </w:rPr>
        <w:t xml:space="preserve">Ubicación previa al guardado.</w:t>
      </w:r>
      <w:r>
        <w:rPr>
          <w:rFonts w:ascii="Times New Roman" w:cs="Times New Roman" w:eastAsia="Times New Roman" w:hAnsi="Times New Roman"/>
          <w:sz w:val="24"/>
          <w:szCs w:val="24"/>
        </w:rPr>
        <w:t xml:space="preserve"> El control se dispuso antes de la acción de guardar y no después. La secuencia no es accesoria: modificar un umbral equivale a modificar la vara con la que se evalúa a los deportistas, y la cantidad de veredictos que se desplazan constituye precisamente el indicador que permite al cuerpo técnico discernir si el ajuste describe con mayor fidelidad la postura o si resulta excesivamente restrictivo. Presentar esa información después de aplicado el cambio la habría convertido en una constatación en lugar de un insumo para la decisión.</w:t>
      </w:r>
    </w:p>
    <w:p>
      <w:pPr>
        <w:spacing w:after="120" w:line="360"/>
        <w:ind w:firstLine="720"/>
        <w:jc w:val="both"/>
      </w:pPr>
      <w:r>
        <w:rPr>
          <w:rFonts w:ascii="Times New Roman" w:cs="Times New Roman" w:eastAsia="Times New Roman" w:hAnsi="Times New Roman"/>
          <w:b/>
          <w:bCs/>
          <w:sz w:val="24"/>
          <w:szCs w:val="24"/>
        </w:rPr>
        <w:t xml:space="preserve">Contraste contra el criterio completo.</w:t>
      </w:r>
      <w:r>
        <w:rPr>
          <w:rFonts w:ascii="Times New Roman" w:cs="Times New Roman" w:eastAsia="Times New Roman" w:hAnsi="Times New Roman"/>
          <w:sz w:val="24"/>
          <w:szCs w:val="24"/>
        </w:rPr>
        <w:t xml:space="preserve"> El informe evalúa el conjunto de umbrales que resultaría de adoptar los valores escritos, y no únicamente el campo modificado. La distinción es determinante en las posturas evaluadas contra dos articulaciones: dado que el Kokutsu Dachi se juzga simultáneamente por la rodilla frontal y la posterior, un informe que considerara solo el campo editado devolvería un resultado tranquilizador y falso. Se estableció un caso de prueba que fija esta propiedad, verificando que el endurecimiento del rango de la rodilla frontal desplaza dos veredictos que un informe mal construido reportaría como cero.</w:t>
      </w:r>
    </w:p>
    <w:p>
      <w:pPr>
        <w:spacing w:after="120" w:line="360"/>
        <w:ind w:firstLine="720"/>
        <w:jc w:val="both"/>
      </w:pPr>
      <w:r>
        <w:rPr>
          <w:rFonts w:ascii="Times New Roman" w:cs="Times New Roman" w:eastAsia="Times New Roman" w:hAnsi="Times New Roman"/>
          <w:b/>
          <w:bCs/>
          <w:sz w:val="24"/>
          <w:szCs w:val="24"/>
        </w:rPr>
        <w:t xml:space="preserve">Distinción de la dirección del cambio.</w:t>
      </w:r>
      <w:r>
        <w:rPr>
          <w:rFonts w:ascii="Times New Roman" w:cs="Times New Roman" w:eastAsia="Times New Roman" w:hAnsi="Times New Roman"/>
          <w:sz w:val="24"/>
          <w:szCs w:val="24"/>
        </w:rPr>
        <w:t xml:space="preserve"> Los desplazamientos se contabilizan por separado según su sentido. Un conjunto de evaluaciones que pasa de correcta a incorrecta indica un criterio más exigente, mientras que el desplazamiento inverso indica uno más permisivo; consolidar ambos en una cifra única habría suprimido la información que sustenta la decisión. La tabla siguiente ilustra el informe producido para el escenario de corrección del Kokutsu Dachi.</w:t>
      </w:r>
    </w:p>
    <w:p>
      <w:pPr>
        <w:spacing w:after="120" w:before="200" w:line="360"/>
      </w:pPr>
      <w:r>
        <w:rPr>
          <w:rFonts w:ascii="Times New Roman" w:cs="Times New Roman" w:eastAsia="Times New Roman" w:hAnsi="Times New Roman"/>
          <w:b/>
          <w:bCs/>
          <w:sz w:val="24"/>
          <w:szCs w:val="24"/>
        </w:rPr>
        <w:t xml:space="preserve">Tabla 4.X — Informe de impacto ante la corrección del rango de rodilla posterior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1500"/>
        <w:gridCol w:w="1500"/>
        <w:gridCol w:w="4360"/>
      </w:tblGrid>
      <w:tr>
        <w:trPr>
          <w:tblHeader/>
        </w:trPr>
        <w:tc>
          <w:tcPr>
            <w:tcW w:type="dxa" w:w="200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Ejecución (frontal / posterior)</w:t>
            </w:r>
          </w:p>
        </w:tc>
        <w:tc>
          <w:tcPr>
            <w:tcW w:type="dxa" w:w="150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Veredicto registrado</w:t>
            </w:r>
          </w:p>
        </w:tc>
        <w:tc>
          <w:tcPr>
            <w:tcW w:type="dxa" w:w="150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Veredicto recalculado</w:t>
            </w:r>
          </w:p>
        </w:tc>
        <w:tc>
          <w:tcPr>
            <w:tcW w:type="dxa" w:w="436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Observación</w:t>
            </w:r>
          </w:p>
        </w:tc>
      </w:tr>
      <w:tr>
        <w:tc>
          <w:tcPr>
            <w:tcW w:type="dxa" w:w="20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162° / 118°</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Correcta</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Incorrecta</w:t>
            </w:r>
          </w:p>
        </w:tc>
        <w:tc>
          <w:tcPr>
            <w:tcW w:type="dxa" w:w="43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La rodilla posterior excede el límite superior corregido.</w:t>
            </w:r>
          </w:p>
        </w:tc>
      </w:tr>
      <w:tr>
        <w:tc>
          <w:tcPr>
            <w:tcW w:type="dxa" w:w="20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158° / 105°</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Correcta</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Incorrecta</w:t>
            </w:r>
          </w:p>
        </w:tc>
        <w:tc>
          <w:tcPr>
            <w:tcW w:type="dxa" w:w="43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La rodilla posterior excede el límite superior corregido.</w:t>
            </w:r>
          </w:p>
        </w:tc>
      </w:tr>
      <w:tr>
        <w:tc>
          <w:tcPr>
            <w:tcW w:type="dxa" w:w="20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165° / 96°</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Correcta</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Correcta</w:t>
            </w:r>
          </w:p>
        </w:tc>
        <w:tc>
          <w:tcPr>
            <w:tcW w:type="dxa" w:w="43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Sostiene su veredicto bajo ambos criterios.</w:t>
            </w:r>
          </w:p>
        </w:tc>
      </w:tr>
      <w:tr>
        <w:tc>
          <w:tcPr>
            <w:tcW w:type="dxa" w:w="20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160° / 112°</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Correcta</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Incorrecta</w:t>
            </w:r>
          </w:p>
        </w:tc>
        <w:tc>
          <w:tcPr>
            <w:tcW w:type="dxa" w:w="43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La rodilla posterior excede el límite superior corregido.</w:t>
            </w:r>
          </w:p>
        </w:tc>
      </w:tr>
      <w:tr>
        <w:tc>
          <w:tcPr>
            <w:tcW w:type="dxa" w:w="20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155° / 92°</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Correcta</w:t>
            </w:r>
          </w:p>
        </w:tc>
        <w:tc>
          <w:tcPr>
            <w:tcW w:type="dxa" w:w="15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Correcta</w:t>
            </w:r>
          </w:p>
        </w:tc>
        <w:tc>
          <w:tcPr>
            <w:tcW w:type="dxa" w:w="436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Sostiene su veredicto bajo ambos criterios.</w:t>
            </w:r>
          </w:p>
        </w:tc>
      </w:tr>
    </w:tbl>
    <w:p>
      <w:pPr>
        <w:spacing w:after="0" w:before="80" w:line="240"/>
      </w:pPr>
      <w:r>
        <w:rPr>
          <w:rFonts w:ascii="Times New Roman" w:cs="Times New Roman" w:eastAsia="Times New Roman" w:hAnsi="Times New Roman"/>
          <w:i/>
          <w:iCs/>
          <w:sz w:val="20"/>
          <w:szCs w:val="20"/>
        </w:rPr>
        <w:t xml:space="preserve">Nota: Umbral de rodilla posterior corregido de 90–120° a 90–100°. Tres de cinco evaluaciones se desplazan; la precisión atribuida desciende del 100 % al 40 % sin haberse repetido la medición.</w:t>
      </w:r>
    </w:p>
    <w:p>
      <w:pPr>
        <w:spacing w:after="240" w:before="80" w:line="240"/>
      </w:pPr>
      <w:r>
        <w:rPr>
          <w:rFonts w:ascii="Times New Roman" w:cs="Times New Roman" w:eastAsia="Times New Roman" w:hAnsi="Times New Roman"/>
          <w:i/>
          <w:iCs/>
          <w:sz w:val="20"/>
          <w:szCs w:val="20"/>
        </w:rPr>
        <w:t xml:space="preserve">Fuente: Elaboración propia.</w:t>
      </w:r>
    </w:p>
    <w:p>
      <w:pPr>
        <w:spacing w:after="120" w:line="360"/>
        <w:ind w:firstLine="720"/>
        <w:jc w:val="both"/>
      </w:pPr>
      <w:r>
        <w:rPr>
          <w:rFonts w:ascii="Times New Roman" w:cs="Times New Roman" w:eastAsia="Times New Roman" w:hAnsi="Times New Roman"/>
          <w:sz w:val="24"/>
          <w:szCs w:val="24"/>
        </w:rPr>
        <w:t xml:space="preserve">Las expresiones empleadas en el informe se redactaron de modo que ninguna afirme que el criterio propuesto sea el correcto. El sistema no se encuentra en posición de establecerlo: los umbrales los fija el cuerpo técnico y no el programa. Lo único que el sistema afirma —y la totalidad de lo que afirma— es cuántos veredictos se desplazarían. La lógica de redacción se aisló en un módulo independiente de la biblioteca gráfica, de modo que las reglas de presentación se verifican en integración continua.</w:t>
      </w:r>
    </w:p>
    <w:p>
      <w:pPr>
        <w:pStyle w:val="Heading3"/>
        <w:spacing w:after="140" w:before="280" w:line="360"/>
      </w:pPr>
      <w:r>
        <w:rPr>
          <w:rFonts w:ascii="Times New Roman" w:cs="Times New Roman" w:eastAsia="Times New Roman" w:hAnsi="Times New Roman"/>
          <w:b/>
          <w:bCs/>
          <w:sz w:val="24"/>
          <w:szCs w:val="24"/>
        </w:rPr>
        <w:t xml:space="preserve">4.8.5 Conservación del video de origen</w:t>
      </w:r>
    </w:p>
    <w:p>
      <w:pPr>
        <w:spacing w:after="120" w:line="360"/>
        <w:ind w:firstLine="720"/>
        <w:jc w:val="both"/>
      </w:pPr>
      <w:r>
        <w:rPr>
          <w:rFonts w:ascii="Times New Roman" w:cs="Times New Roman" w:eastAsia="Times New Roman" w:hAnsi="Times New Roman"/>
          <w:sz w:val="24"/>
          <w:szCs w:val="24"/>
        </w:rPr>
        <w:t xml:space="preserve">La reevaluación descrita opera sobre las magnitudes conservadas y resuelve, por tanto, el caso en que cambia el criterio de juicio. No resuelve el caso en que cambia aquello que se mide: la incorporación futura de una articulación adicional al análisis, o una corrección del clasificador de posturas, requeriría magnitudes que el registro no contiene. Se incorporó en consecuencia la grabación del video de cada sesión.</w:t>
      </w:r>
    </w:p>
    <w:p>
      <w:pPr>
        <w:spacing w:after="120" w:line="360"/>
        <w:ind w:firstLine="720"/>
        <w:jc w:val="both"/>
      </w:pPr>
      <w:r>
        <w:rPr>
          <w:rFonts w:ascii="Times New Roman" w:cs="Times New Roman" w:eastAsia="Times New Roman" w:hAnsi="Times New Roman"/>
          <w:b/>
          <w:bCs/>
          <w:sz w:val="24"/>
          <w:szCs w:val="24"/>
        </w:rPr>
        <w:t xml:space="preserve">Se conserva el fotograma sin anotaciones.</w:t>
      </w:r>
      <w:r>
        <w:rPr>
          <w:rFonts w:ascii="Times New Roman" w:cs="Times New Roman" w:eastAsia="Times New Roman" w:hAnsi="Times New Roman"/>
          <w:sz w:val="24"/>
          <w:szCs w:val="24"/>
        </w:rPr>
        <w:t xml:space="preserve"> La grabación captura la imagen antes del trazado del esqueleto y de los textos de diagnóstico. La decisión obedece a que el video anotado puede regenerarse en cualquier momento procesando nuevamente el material original, mientras que la operación inversa no existe; conservar el material anotado habría incorporado las conclusiones vigentes al interior de la evidencia, que es precisamente la situación que esta medida busca evitar.</w:t>
      </w:r>
    </w:p>
    <w:p>
      <w:pPr>
        <w:spacing w:after="120" w:line="360"/>
        <w:ind w:firstLine="720"/>
        <w:jc w:val="both"/>
      </w:pPr>
      <w:r>
        <w:rPr>
          <w:rFonts w:ascii="Times New Roman" w:cs="Times New Roman" w:eastAsia="Times New Roman" w:hAnsi="Times New Roman"/>
          <w:b/>
          <w:bCs/>
          <w:sz w:val="24"/>
          <w:szCs w:val="24"/>
        </w:rPr>
        <w:t xml:space="preserve">La velocidad de escritura se mide y no se presupone.</w:t>
      </w:r>
      <w:r>
        <w:rPr>
          <w:rFonts w:ascii="Times New Roman" w:cs="Times New Roman" w:eastAsia="Times New Roman" w:hAnsi="Times New Roman"/>
          <w:sz w:val="24"/>
          <w:szCs w:val="24"/>
        </w:rPr>
        <w:t xml:space="preserve"> El ciclo de análisis no opera a la velocidad de captura del dispositivo sino a la que permite la estimación de pose, sensiblemente inferior. Declarar una velocidad nominal de treinta fotogramas por segundo sobre un flujo real cercano a diez habría producido un archivo que se reproduce a velocidad triplicada y cuyos tiempos dejan de corresponder con los de las mediciones almacenadas. Se optó por retener los primeros doce fotogramas —aproximadamente un segundo de análisis— para medir el intervalo real antes de crear el archivo. Los fotogramas retenidos se escriben íntegramente: constituyen parte de la sesión y no un descarte.</w:t>
      </w:r>
    </w:p>
    <w:p>
      <w:pPr>
        <w:spacing w:after="120" w:line="360"/>
        <w:ind w:firstLine="720"/>
        <w:jc w:val="both"/>
      </w:pPr>
      <w:r>
        <w:rPr>
          <w:rFonts w:ascii="Times New Roman" w:cs="Times New Roman" w:eastAsia="Times New Roman" w:hAnsi="Times New Roman"/>
          <w:b/>
          <w:bCs/>
          <w:sz w:val="24"/>
          <w:szCs w:val="24"/>
        </w:rPr>
        <w:t xml:space="preserve">Un fallo de grabación no interrumpe la medición.</w:t>
      </w:r>
      <w:r>
        <w:rPr>
          <w:rFonts w:ascii="Times New Roman" w:cs="Times New Roman" w:eastAsia="Times New Roman" w:hAnsi="Times New Roman"/>
          <w:sz w:val="24"/>
          <w:szCs w:val="24"/>
        </w:rPr>
        <w:t xml:space="preserve"> El sistema opera sobre el equipo de un dojo y no sobre un servidor supervisado, de modo que la saturación del disco o la ausencia de un códec constituyen escenarios previsibles. Se estableció que ningún fallo de escritura se propague al ciclo de análisis: se registra su causa, se desactiva la grabación y la sesión continúa midiendo, informándose al instructor al término de la sesión tanto de la ausencia del video como de su motivo.</w:t>
      </w:r>
    </w:p>
    <w:p>
      <w:pPr>
        <w:spacing w:after="120" w:line="360"/>
        <w:ind w:firstLine="720"/>
        <w:jc w:val="both"/>
      </w:pPr>
      <w:r>
        <w:rPr>
          <w:rFonts w:ascii="Times New Roman" w:cs="Times New Roman" w:eastAsia="Times New Roman" w:hAnsi="Times New Roman"/>
          <w:b/>
          <w:bCs/>
          <w:sz w:val="24"/>
          <w:szCs w:val="24"/>
        </w:rPr>
        <w:t xml:space="preserve">La grabación es una decisión del instructor.</w:t>
      </w:r>
      <w:r>
        <w:rPr>
          <w:rFonts w:ascii="Times New Roman" w:cs="Times New Roman" w:eastAsia="Times New Roman" w:hAnsi="Times New Roman"/>
          <w:sz w:val="24"/>
          <w:szCs w:val="24"/>
        </w:rPr>
        <w:t xml:space="preserve"> Se incorporó un control que permite desactivarla por equipo. La medida responde a dos consideraciones ajenas al ámbito técnico. La primera es de orden ético y legal: en un dojo se entrena con personas menores de edad, y su grabación requiere el consentimiento de quien ejerce su representación; un sistema que grabara de manera predeterminada e inadvertida colocaría al instructor en incumplimiento sin su conocimiento. La segunda es de orden práctico: el archivo de una sesión ocupa un volumen considerable en el disco del equipo con el que el instructor imparte clase. Con la grabación desactivada, la sesión se mide y se registra de manera idéntica; únicamente se omite la conservación del video. El estado de grabación se muestra durante toda la sesión en la pantalla de análisis, de modo que la condición resulte verificable en el momento y no dependa de una configuración establecida con anterioridad.</w:t>
      </w:r>
    </w:p>
    <w:p>
      <w:pPr>
        <w:spacing w:after="120" w:line="360"/>
        <w:ind w:firstLine="720"/>
        <w:jc w:val="both"/>
      </w:pPr>
      <w:r>
        <w:rPr>
          <w:rFonts w:ascii="Times New Roman" w:cs="Times New Roman" w:eastAsia="Times New Roman" w:hAnsi="Times New Roman"/>
          <w:b/>
          <w:bCs/>
          <w:sz w:val="24"/>
          <w:szCs w:val="24"/>
        </w:rPr>
        <w:t xml:space="preserve">Reanálisis de una grabación.</w:t>
      </w:r>
      <w:r>
        <w:rPr>
          <w:rFonts w:ascii="Times New Roman" w:cs="Times New Roman" w:eastAsia="Times New Roman" w:hAnsi="Times New Roman"/>
          <w:sz w:val="24"/>
          <w:szCs w:val="24"/>
        </w:rPr>
        <w:t xml:space="preserve"> La capa de adquisición admitía desde fases anteriores la lectura de un archivo de video como fuente, condición documentada en la sección 4.1, pero no existía forma de seleccionarlo desde la interfaz. Se incorporó dicha opción en la pantalla de fuente de video, junto con una validación previa del archivo: el motor de captura responde de manera idéntica ante un archivo inexistente y ante un dispositivo ocupado por otra aplicación, de modo que inspeccionar el archivo antes de abrirlo permite informar la causa real del fallo.</w:t>
      </w:r>
    </w:p>
    <w:p>
      <w:pPr>
        <w:pStyle w:val="Heading3"/>
        <w:spacing w:after="140" w:before="280" w:line="360"/>
      </w:pPr>
      <w:r>
        <w:rPr>
          <w:rFonts w:ascii="Times New Roman" w:cs="Times New Roman" w:eastAsia="Times New Roman" w:hAnsi="Times New Roman"/>
          <w:b/>
          <w:bCs/>
          <w:sz w:val="24"/>
          <w:szCs w:val="24"/>
        </w:rPr>
        <w:t xml:space="preserve">4.8.6 Verificación automatizada de la sección</w:t>
      </w:r>
    </w:p>
    <w:p>
      <w:pPr>
        <w:spacing w:after="120" w:line="360"/>
        <w:ind w:firstLine="720"/>
        <w:jc w:val="both"/>
      </w:pPr>
      <w:r>
        <w:rPr>
          <w:rFonts w:ascii="Times New Roman" w:cs="Times New Roman" w:eastAsia="Times New Roman" w:hAnsi="Times New Roman"/>
          <w:sz w:val="24"/>
          <w:szCs w:val="24"/>
        </w:rPr>
        <w:t xml:space="preserve">Las capacidades descritas se incorporaron a la suite de pruebas automatizadas conforme al procedimiento establecido en la sección 4.7, documentándose cada caso formal mediante la ficha declarada junto al script que lo ejecuta. La tabla siguiente relaciona los casos incorporados.</w:t>
      </w:r>
    </w:p>
    <w:p>
      <w:pPr>
        <w:spacing w:after="120" w:before="200" w:line="360"/>
      </w:pPr>
      <w:r>
        <w:rPr>
          <w:rFonts w:ascii="Times New Roman" w:cs="Times New Roman" w:eastAsia="Times New Roman" w:hAnsi="Times New Roman"/>
          <w:b/>
          <w:bCs/>
          <w:sz w:val="24"/>
          <w:szCs w:val="24"/>
        </w:rPr>
        <w:t xml:space="preserve">Tabla 4.X — Casos de prueba incorporados para la trazabilidad y el reanálisis</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450"/>
        <w:gridCol w:w="1300"/>
        <w:gridCol w:w="6610"/>
      </w:tblGrid>
      <w:tr>
        <w:trPr>
          <w:tblHeader/>
        </w:trPr>
        <w:tc>
          <w:tcPr>
            <w:tcW w:type="dxa" w:w="145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Identificador</w:t>
            </w:r>
          </w:p>
        </w:tc>
        <w:tc>
          <w:tcPr>
            <w:tcW w:type="dxa" w:w="130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Nivel</w:t>
            </w:r>
          </w:p>
        </w:tc>
        <w:tc>
          <w:tcPr>
            <w:tcW w:type="dxa" w:w="6610"/>
            <w:shd w:fill="D9D9D9" w:val="clear"/>
            <w:tcMar>
              <w:top w:type="dxa" w:w="80"/>
              <w:left w:type="dxa" w:w="120"/>
              <w:bottom w:type="dxa" w:w="80"/>
              <w:right w:type="dxa" w:w="120"/>
            </w:tcMar>
          </w:tcPr>
          <w:p>
            <w:pPr>
              <w:spacing w:after="0" w:line="240"/>
              <w:jc w:val="left"/>
            </w:pPr>
            <w:r>
              <w:rPr>
                <w:rFonts w:ascii="Times New Roman" w:cs="Times New Roman" w:eastAsia="Times New Roman" w:hAnsi="Times New Roman"/>
                <w:b/>
                <w:bCs/>
                <w:sz w:val="20"/>
                <w:szCs w:val="20"/>
              </w:rPr>
              <w:t xml:space="preserve">Propiedad verificada</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TC-AUTO-039</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Unitaria</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Una medición de Kokutsu Dachi se vuelve a juzgar correctamente cuando se corrige el umbral de la rodilla posterior.</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TC-AUTO-040</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Integración</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La corrección de un umbral identifica qué mediciones del historial cambiarían de veredicto, sin repetir la toma de datos.</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TC-AUTO-041</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Unitaria</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La velocidad de grabación se deduce del intervalo real del análisis y no de la nominal del dispositivo.</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TC-AUTO-042</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Integración</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Una sesión analizada produce un archivo de video reproducible que conserva la totalidad de sus fotogramas.</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TC-AUTO-043</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Integración</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 fallo en la escritura del video no interrumpe la sesión de medición.</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TC-AUTO-044</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Extremo a extremo</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Una sesión de análisis en vivo deja un video vinculado a la sesión en la base de datos.</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TC-AUTO-045</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Extremo a extremo</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Una sesión grabada puede seleccionarse como fuente y queda configurada para volver a analizarse.</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TC-AUTO-046</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Extremo a extremo</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El instructor decide si las sesiones se graban, y la decisión persiste entre arranques del sistema.</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TC-AUTO-047</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Unitaria</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El impacto de una recalibración se expresa en veredictos desplazados y no en registros de base de datos.</w:t>
            </w:r>
          </w:p>
        </w:tc>
      </w:tr>
      <w:tr>
        <w:tc>
          <w:tcPr>
            <w:tcW w:type="dxa" w:w="145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TC-AUTO-048</w:t>
            </w:r>
          </w:p>
        </w:tc>
        <w:tc>
          <w:tcPr>
            <w:tcW w:type="dxa" w:w="130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Extremo a extremo</w:t>
            </w:r>
          </w:p>
        </w:tc>
        <w:tc>
          <w:tcPr>
            <w:tcW w:type="dxa" w:w="6610"/>
            <w:tcMar>
              <w:top w:type="dxa" w:w="80"/>
              <w:left w:type="dxa" w:w="120"/>
              <w:bottom w:type="dxa" w:w="80"/>
              <w:right w:type="dxa" w:w="120"/>
            </w:tcMar>
          </w:tcPr>
          <w:p>
            <w:pPr>
              <w:spacing w:after="0" w:line="240"/>
              <w:jc w:val="left"/>
            </w:pPr>
            <w:r>
              <w:rPr>
                <w:rFonts w:ascii="Times New Roman" w:cs="Times New Roman" w:eastAsia="Times New Roman" w:hAnsi="Times New Roman"/>
                <w:sz w:val="20"/>
                <w:szCs w:val="20"/>
              </w:rPr>
              <w:t xml:space="preserve">Antes de adoptar una recalibración, el sistema informa cuántas mediciones del historial cambiarían de veredicto.</w:t>
            </w:r>
          </w:p>
        </w:tc>
      </w:tr>
    </w:tbl>
    <w:p>
      <w:pPr>
        <w:spacing w:after="240" w:before="80" w:line="240"/>
      </w:pPr>
      <w:r>
        <w:rPr>
          <w:rFonts w:ascii="Times New Roman" w:cs="Times New Roman" w:eastAsia="Times New Roman" w:hAnsi="Times New Roman"/>
          <w:i/>
          <w:iCs/>
          <w:sz w:val="20"/>
          <w:szCs w:val="20"/>
        </w:rPr>
        <w:t xml:space="preserve">Fuente: Elaboración propia.</w:t>
      </w:r>
    </w:p>
    <w:p>
      <w:pPr>
        <w:spacing w:after="120" w:line="360"/>
        <w:ind w:firstLine="720"/>
        <w:jc w:val="both"/>
      </w:pPr>
      <w:r>
        <w:rPr>
          <w:rFonts w:ascii="Times New Roman" w:cs="Times New Roman" w:eastAsia="Times New Roman" w:hAnsi="Times New Roman"/>
          <w:sz w:val="24"/>
          <w:szCs w:val="24"/>
        </w:rPr>
        <w:t xml:space="preserve">La suite completa pasó de 565 a 692 casos ejecutados sin fallos, incremento que comprende tanto los casos formales relacionados como las pruebas de apoyo que verifican las condiciones de contorno de cada módulo. Se conservó el criterio de extraer a módulos sin dependencias gráficas toda regla susceptible de expresarse sin ellas, de modo que las reglas de presentación del informe de impacto y de la grabación se verifican también en el entorno de integración continua.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2026-09-20T05:30:09.187Z</dcterms:created>
  <dcterms:modified xsi:type="dcterms:W3CDTF">2026-09-20T05:30:09.189Z</dcterms:modified>
</cp:coreProperties>
</file>

<file path=docProps/custom.xml><?xml version="1.0" encoding="utf-8"?>
<Properties xmlns="http://schemas.openxmlformats.org/officeDocument/2006/custom-properties" xmlns:vt="http://schemas.openxmlformats.org/officeDocument/2006/docPropsVTypes"/>
</file>