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2937"/>
          <w:sz w:val="32"/>
          <w:szCs w:val="32"/>
        </w:rPr>
        <w:t xml:space="preserve">SPÉCIFICATIONS FONCTIONNELLES — PROJET MOBILIER SUR-MESURE</w:t>
      </w:r>
    </w:p>
    <w:p>
      <w:pPr>
        <w:spacing w:after="300"/>
      </w:pPr>
      <w:r>
        <w:rPr>
          <w:i/>
          <w:iCs/>
          <w:color w:val="6B7280"/>
          <w:sz w:val="20"/>
          <w:szCs w:val="20"/>
        </w:rPr>
        <w:t xml:space="preserve">Document de synthèse à valider avant le démarrage du développement</w:t>
      </w:r>
    </w:p>
    <w:p>
      <w:pPr>
        <w:pStyle w:val="Heading1"/>
        <w:pBdr>
          <w:bottom w:val="single" w:color="374151" w:sz="6" w:space="4"/>
        </w:pBdr>
        <w:spacing w:after="140" w:before="320"/>
      </w:pPr>
      <w:r>
        <w:rPr>
          <w:b/>
          <w:bCs/>
          <w:color w:val="1F2937"/>
          <w:sz w:val="26"/>
          <w:szCs w:val="26"/>
        </w:rPr>
        <w:t xml:space="preserve">1. Objectif du projet</w:t>
      </w:r>
    </w:p>
    <w:p>
      <w:pPr>
        <w:spacing w:after="120"/>
      </w:pPr>
      <w:r>
        <w:rPr>
          <w:color w:val="1F2937"/>
          <w:sz w:val="21"/>
          <w:szCs w:val="21"/>
        </w:rPr>
        <w:t xml:space="preserve">Créer un site web permettant de présenter les meubles, de les personnaliser (dimensions, couleur, options), de commander et de suivre l'avancement jusqu'à la livraison.</w:t>
      </w:r>
    </w:p>
    <w:p>
      <w:pPr>
        <w:spacing w:after="120"/>
      </w:pPr>
      <w:r>
        <w:rPr>
          <w:color w:val="1F2937"/>
          <w:sz w:val="21"/>
          <w:szCs w:val="21"/>
        </w:rPr>
        <w:t xml:space="preserve">Le site inclut un espace d'administration pour gérer les produits, les commandes, les paiements et les statuts de production/livraison.</w:t>
      </w:r>
    </w:p>
    <w:p>
      <w:pPr>
        <w:spacing w:after="120"/>
      </w:pPr>
      <w:r>
        <w:rPr>
          <w:color w:val="1F2937"/>
          <w:sz w:val="21"/>
          <w:szCs w:val="21"/>
        </w:rPr>
        <w:t xml:space="preserve">Le paiement se fait par virement bancaire (RIB fourni par l'entreprise), confirmé manuellement par l'administrateur après vérification.</w:t>
      </w:r>
    </w:p>
    <w:p>
      <w:pPr>
        <w:pStyle w:val="Heading1"/>
        <w:pBdr>
          <w:bottom w:val="single" w:color="374151" w:sz="6" w:space="4"/>
        </w:pBdr>
        <w:spacing w:after="140" w:before="320"/>
      </w:pPr>
      <w:r>
        <w:rPr>
          <w:b/>
          <w:bCs/>
          <w:color w:val="1F2937"/>
          <w:sz w:val="26"/>
          <w:szCs w:val="26"/>
        </w:rPr>
        <w:t xml:space="preserve">2. Parcours client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Consulter les meubles et ouvrir la fiche d'un modèle.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Personnaliser : dimensions, couleur, options, demandes particulières.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Voir le prix calculé automatiquement, puis envoyer la commande.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Suivre la commande et le paiement depuis son espace personnel.</w:t>
      </w:r>
    </w:p>
    <w:p>
      <w:pPr>
        <w:pStyle w:val="Heading1"/>
        <w:pBdr>
          <w:bottom w:val="single" w:color="374151" w:sz="6" w:space="4"/>
        </w:pBdr>
        <w:spacing w:after="140" w:before="320"/>
      </w:pPr>
      <w:r>
        <w:rPr>
          <w:b/>
          <w:bCs/>
          <w:color w:val="1F2937"/>
          <w:sz w:val="26"/>
          <w:szCs w:val="26"/>
        </w:rPr>
        <w:t xml:space="preserve">3. Personnalisation et calcul automatique du prix</w:t>
      </w:r>
    </w:p>
    <w:p>
      <w:pPr>
        <w:spacing w:after="120"/>
      </w:pPr>
      <w:r>
        <w:rPr>
          <w:color w:val="1F2937"/>
          <w:sz w:val="21"/>
          <w:szCs w:val="21"/>
        </w:rPr>
        <w:t xml:space="preserve">Chaque meuble a un prix de base, des dimensions de référence et ses propres règles tarifaires, définis par l'administrateur.</w:t>
      </w:r>
    </w:p>
    <w:p>
      <w:pPr>
        <w:spacing w:after="120"/>
      </w:pPr>
      <w:r>
        <w:rPr>
          <w:color w:val="1F2937"/>
          <w:sz w:val="21"/>
          <w:szCs w:val="21"/>
        </w:rPr>
        <w:t xml:space="preserve">Principe : si la configuration choisie reste égale ou inférieure au modèle de référence, le prix de base est conservé. Au-delà, un supplément s'applique (palier fixe ou tarif au mètre selon le meuble). Certaines options (ex. couleur) peuvent n'avoir aucun impact sur le prix.</w:t>
      </w:r>
    </w:p>
    <w:p>
      <w:pPr>
        <w:spacing w:after="80" w:before="80"/>
      </w:pPr>
      <w:r>
        <w:rPr>
          <w:b/>
          <w:bCs/>
          <w:color w:val="374151"/>
          <w:sz w:val="20"/>
          <w:szCs w:val="20"/>
        </w:rPr>
        <w:t xml:space="preserve">Prix final = Prix de base + Suppléments (dimensions + caractéristiques + éléments additionnels)</w:t>
      </w:r>
    </w:p>
    <w:p>
      <w:pPr>
        <w:spacing w:after="100" w:before="120"/>
        <w:jc w:val="center"/>
      </w:pPr>
      <w:r>
        <w:drawing>
          <wp:inline distT="0" distB="0" distL="0" distR="0">
            <wp:extent cx="4476750" cy="2409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Exemple illustratif : un canapé d'angle à 3 000 MAD (module 70 cm) peut passer à 3 500 MAD (80 cm) ou 4 000 MAD (90 cm) selon la dimension choisie — le prix évolue automatiquement selon la règle définie pour ce modèle.</w:t>
      </w:r>
    </w:p>
    <w:p>
      <w:pPr>
        <w:pStyle w:val="Heading1"/>
        <w:pBdr>
          <w:bottom w:val="single" w:color="374151" w:sz="6" w:space="4"/>
        </w:pBdr>
        <w:spacing w:after="140" w:before="320"/>
      </w:pPr>
      <w:r>
        <w:rPr>
          <w:b/>
          <w:bCs/>
          <w:color w:val="1F2937"/>
          <w:sz w:val="26"/>
          <w:szCs w:val="26"/>
        </w:rPr>
        <w:t xml:space="preserve">4. Commande, avance et paiement</w:t>
      </w:r>
    </w:p>
    <w:p>
      <w:pPr>
        <w:spacing w:after="120"/>
      </w:pPr>
      <w:r>
        <w:rPr>
          <w:color w:val="1F2937"/>
          <w:sz w:val="21"/>
          <w:szCs w:val="21"/>
        </w:rPr>
        <w:t xml:space="preserve">Après envoi de la commande, l'administrateur vérifie les informations avec le client avant de valider.</w:t>
      </w:r>
    </w:p>
    <w:p>
      <w:pPr>
        <w:spacing w:after="120"/>
      </w:pPr>
      <w:r>
        <w:rPr>
          <w:color w:val="1F2937"/>
          <w:sz w:val="21"/>
          <w:szCs w:val="21"/>
        </w:rPr>
        <w:t xml:space="preserve">Une avance (pourcentage à définir) est demandée avant fabrication ; le solde est payé avant expédition. Le paiement en ligne n'est pas inclus dans cette version (fonctionnalité future possible).</w:t>
      </w:r>
    </w:p>
    <w:p>
      <w:pPr>
        <w:pStyle w:val="Heading1"/>
        <w:pBdr>
          <w:bottom w:val="single" w:color="374151" w:sz="6" w:space="4"/>
        </w:pBdr>
        <w:spacing w:after="140" w:before="320"/>
      </w:pPr>
      <w:r>
        <w:rPr>
          <w:b/>
          <w:bCs/>
          <w:color w:val="1F2937"/>
          <w:sz w:val="26"/>
          <w:szCs w:val="26"/>
        </w:rPr>
        <w:t xml:space="preserve">5. Statuts de la commande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7200"/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Signification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PENDING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Commande créée, avance non encore validée.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WORKING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Avance confirmée, fabrication en cours.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WAITING FOR FINAL PAYMENT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Meuble terminé, solde à payer.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SHIPPING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Paiement complet, commande en expédition.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DELIVERED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Commande livrée.</w:t>
            </w:r>
          </w:p>
        </w:tc>
      </w:tr>
    </w:tbl>
    <w:p>
      <w:pPr>
        <w:pStyle w:val="Heading1"/>
        <w:pBdr>
          <w:bottom w:val="single" w:color="374151" w:sz="6" w:space="4"/>
        </w:pBdr>
        <w:spacing w:after="140" w:before="320"/>
      </w:pPr>
      <w:r>
        <w:rPr>
          <w:b/>
          <w:bCs/>
          <w:color w:val="1F2937"/>
          <w:sz w:val="26"/>
          <w:szCs w:val="26"/>
        </w:rPr>
        <w:t xml:space="preserve">6. Livraison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F2937"/>
          <w:sz w:val="21"/>
          <w:szCs w:val="21"/>
        </w:rPr>
        <w:t xml:space="preserve">Tanger : tarif de base 100 MAD, ajustable selon la taille du meuble.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F2937"/>
          <w:sz w:val="21"/>
          <w:szCs w:val="21"/>
        </w:rPr>
        <w:t xml:space="preserve">Reste du Maroc : base 200 MAD + (distance × coefficient), jusqu'à ~800 MAD.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F2937"/>
          <w:sz w:val="21"/>
          <w:szCs w:val="21"/>
        </w:rPr>
        <w:t xml:space="preserve">International : via transporteur externe, tarifs à définir.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F2937"/>
          <w:sz w:val="21"/>
          <w:szCs w:val="21"/>
        </w:rPr>
        <w:t xml:space="preserve">Retrait par le client : gratuit.</w:t>
      </w:r>
    </w:p>
    <w:p>
      <w:pPr>
        <w:pStyle w:val="Heading1"/>
        <w:pBdr>
          <w:bottom w:val="single" w:color="374151" w:sz="6" w:space="4"/>
        </w:pBdr>
        <w:spacing w:after="140" w:before="320"/>
      </w:pPr>
      <w:r>
        <w:rPr>
          <w:b/>
          <w:bCs/>
          <w:color w:val="1F2937"/>
          <w:sz w:val="26"/>
          <w:szCs w:val="26"/>
        </w:rPr>
        <w:t xml:space="preserve">7. Espaces client et administration</w:t>
      </w:r>
    </w:p>
    <w:p>
      <w:pPr>
        <w:pStyle w:val="Heading2"/>
        <w:spacing w:after="100" w:before="220"/>
      </w:pPr>
      <w:r>
        <w:rPr>
          <w:b/>
          <w:bCs/>
          <w:color w:val="374151"/>
          <w:sz w:val="22"/>
          <w:szCs w:val="22"/>
        </w:rPr>
        <w:t xml:space="preserve">Espace client</w:t>
      </w:r>
    </w:p>
    <w:p>
      <w:pPr>
        <w:spacing w:after="120"/>
      </w:pPr>
      <w:r>
        <w:rPr>
          <w:color w:val="1F2937"/>
          <w:sz w:val="21"/>
          <w:szCs w:val="21"/>
        </w:rPr>
        <w:t xml:space="preserve">Suivi des commandes, personnalisations choisies, prix, avance/solde, statut et informations de paiement.</w:t>
      </w:r>
    </w:p>
    <w:p>
      <w:pPr>
        <w:pStyle w:val="Heading2"/>
        <w:spacing w:after="100" w:before="220"/>
      </w:pPr>
      <w:r>
        <w:rPr>
          <w:b/>
          <w:bCs/>
          <w:color w:val="374151"/>
          <w:sz w:val="22"/>
          <w:szCs w:val="22"/>
        </w:rPr>
        <w:t xml:space="preserve">Espace administration</w:t>
      </w:r>
    </w:p>
    <w:p>
      <w:pPr>
        <w:spacing w:after="120"/>
      </w:pPr>
      <w:r>
        <w:rPr>
          <w:color w:val="1F2937"/>
          <w:sz w:val="21"/>
          <w:szCs w:val="21"/>
        </w:rPr>
        <w:t xml:space="preserve">Gestion des commandes, clients, produits, catégories, règles de tarification, livraison, et confirmation des paiements/statuts.</w:t>
      </w:r>
    </w:p>
    <w:p>
      <w:pPr>
        <w:pStyle w:val="Heading1"/>
        <w:pBdr>
          <w:bottom w:val="single" w:color="374151" w:sz="6" w:space="4"/>
        </w:pBdr>
        <w:spacing w:after="140" w:before="320"/>
      </w:pPr>
      <w:r>
        <w:rPr>
          <w:b/>
          <w:bCs/>
          <w:color w:val="1F2937"/>
          <w:sz w:val="26"/>
          <w:szCs w:val="26"/>
        </w:rPr>
        <w:t xml:space="preserve">8. Points à valider avant développement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F2937"/>
          <w:sz w:val="21"/>
          <w:szCs w:val="21"/>
        </w:rPr>
        <w:t xml:space="preserve">Tarification : variables et formules par produit, coefficients, pourcentage d'avance.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F2937"/>
          <w:sz w:val="21"/>
          <w:szCs w:val="21"/>
        </w:rPr>
        <w:t xml:space="preserve">Personnalisation : champs par type de meuble, limites, couleurs, matériaux.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F2937"/>
          <w:sz w:val="21"/>
          <w:szCs w:val="21"/>
        </w:rPr>
        <w:t xml:space="preserve">Livraison : coefficients définitifs, règles par ville, fonctionnement à l'international.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F2937"/>
          <w:sz w:val="21"/>
          <w:szCs w:val="21"/>
        </w:rPr>
        <w:t xml:space="preserve">Gestion des commandes : actions par statut, annulation/modification.</w:t>
      </w:r>
    </w:p>
    <w:p>
      <w:pPr>
        <w:pStyle w:val="Heading1"/>
        <w:pBdr>
          <w:bottom w:val="single" w:color="374151" w:sz="6" w:space="4"/>
        </w:pBdr>
        <w:spacing w:after="140" w:before="320"/>
      </w:pPr>
      <w:r>
        <w:rPr>
          <w:b/>
          <w:bCs/>
          <w:color w:val="1F2937"/>
          <w:sz w:val="26"/>
          <w:szCs w:val="26"/>
        </w:rPr>
        <w:t xml:space="preserve">9. Budget et coûts</w:t>
      </w:r>
    </w:p>
    <w:p>
      <w:pPr>
        <w:spacing w:after="120"/>
      </w:pPr>
      <w:r>
        <w:rPr>
          <w:color w:val="1F2937"/>
          <w:sz w:val="21"/>
          <w:szCs w:val="21"/>
        </w:rPr>
        <w:t xml:space="preserve">Coût de développement : à définir après validation finale des fonctionnalités ci-dessus.</w:t>
      </w:r>
    </w:p>
    <w:p>
      <w:pPr>
        <w:spacing w:after="120"/>
      </w:pPr>
      <w:r>
        <w:rPr>
          <w:color w:val="1F2937"/>
          <w:sz w:val="21"/>
          <w:szCs w:val="21"/>
        </w:rPr>
        <w:t xml:space="preserve">Hébergement, nom de domaine et services complémentaires (e-mail pro, stockage, sauvegardes) : coûts récurrents à confirmer séparément.</w:t>
      </w:r>
    </w:p>
    <w:p>
      <w:pPr>
        <w:spacing w:after="120"/>
      </w:pPr>
      <w:r>
        <w:rPr>
          <w:color w:val="1F2937"/>
          <w:sz w:val="21"/>
          <w:szCs w:val="21"/>
        </w:rPr>
        <w:t xml:space="preserve">Aucun coût supplémentaire ne sera engagé sans validation préalable.</w:t>
      </w:r>
    </w:p>
    <w:p>
      <w:pPr>
        <w:pStyle w:val="Heading1"/>
        <w:pBdr>
          <w:bottom w:val="single" w:color="374151" w:sz="6" w:space="4"/>
        </w:pBdr>
        <w:spacing w:after="140" w:before="320"/>
      </w:pPr>
      <w:r>
        <w:rPr>
          <w:b/>
          <w:bCs/>
          <w:color w:val="1F2937"/>
          <w:sz w:val="26"/>
          <w:szCs w:val="26"/>
        </w:rPr>
        <w:t xml:space="preserve">10. Validation</w:t>
      </w:r>
    </w:p>
    <w:p>
      <w:pPr>
        <w:spacing w:after="120"/>
      </w:pPr>
      <w:r>
        <w:rPr>
          <w:color w:val="1F2937"/>
          <w:sz w:val="21"/>
          <w:szCs w:val="21"/>
        </w:rPr>
        <w:t xml:space="preserve">Ce document présente la base fonctionnelle du projet. Merci de valider le contenu ci-dessus (ou d'indiquer vos remarques) afin de lancer le développement.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316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96f22be648a579844ca6005e5bfa2617c9279b2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2026-08-22T16:46:38.708Z</dcterms:created>
  <dcterms:modified xsi:type="dcterms:W3CDTF">2026-08-22T16:46:38.720Z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