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AA00C">
      <w:pPr>
        <w:spacing w:after="80"/>
      </w:pPr>
      <w:r>
        <w:rPr>
          <w:b/>
          <w:bCs/>
          <w:color w:val="2E4057"/>
          <w:sz w:val="30"/>
          <w:szCs w:val="30"/>
        </w:rPr>
        <w:t>SPÉCIFICATIONS FONCTIONNELLES — PROJET MOBILIER SUR-MESURE</w:t>
      </w:r>
    </w:p>
    <w:p w14:paraId="092A1A45">
      <w:pPr>
        <w:spacing w:after="300"/>
      </w:pPr>
      <w:r>
        <w:rPr>
          <w:i/>
          <w:iCs/>
          <w:color w:val="555555"/>
          <w:sz w:val="22"/>
          <w:szCs w:val="22"/>
        </w:rPr>
        <w:t>Document de synthèse à valider avant le démarrage du développement</w:t>
      </w:r>
    </w:p>
    <w:p w14:paraId="2927E368">
      <w:pPr>
        <w:pStyle w:val="2"/>
        <w:spacing w:before="320" w:after="140"/>
      </w:pPr>
      <w:r>
        <w:t>1. Objectif du projet</w:t>
      </w:r>
    </w:p>
    <w:p w14:paraId="3F276DF5">
      <w:pPr>
        <w:spacing w:after="120"/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Créer un site web permettant de présenter les meubles, de les personnaliser (dimensions, couleur, options), de commander et de suivre l'avancement jusqu'à la livraison.</w:t>
      </w:r>
    </w:p>
    <w:p w14:paraId="578F54C9">
      <w:pPr>
        <w:spacing w:after="120"/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Le site inclut un espace d'administration pour gérer les produits, les commandes, les paiements et les statuts de production/livraison.</w:t>
      </w:r>
    </w:p>
    <w:p w14:paraId="67BB356E">
      <w:pPr>
        <w:spacing w:after="120"/>
        <w:rPr>
          <w:rFonts w:hint="default" w:ascii="Arial Narrow" w:hAnsi="Arial Narrow" w:cs="Arial Narrow"/>
        </w:rPr>
      </w:pPr>
      <w:r>
        <w:rPr>
          <w:rFonts w:hint="default" w:ascii="Arial Narrow" w:hAnsi="Arial Narrow" w:cs="Arial Narrow"/>
        </w:rPr>
        <w:t>Le paiement se fait par virement bancaire (RIB fourni par l'entreprise), confirmé manuellement par l'administrateur après vérification.</w:t>
      </w:r>
    </w:p>
    <w:p w14:paraId="3AEB9BD9">
      <w:pPr>
        <w:pStyle w:val="2"/>
        <w:spacing w:before="320" w:after="140"/>
      </w:pPr>
      <w:r>
        <w:t>2. Parcours client</w:t>
      </w:r>
    </w:p>
    <w:p w14:paraId="4EC10591">
      <w:pPr>
        <w:pStyle w:val="18"/>
        <w:numPr>
          <w:ilvl w:val="0"/>
          <w:numId w:val="1"/>
        </w:numPr>
        <w:spacing w:after="60"/>
      </w:pPr>
      <w:r>
        <w:t>Consulter les meubles et ouvrir la fiche d'un modèle.</w:t>
      </w:r>
    </w:p>
    <w:p w14:paraId="5931B9EE">
      <w:pPr>
        <w:pStyle w:val="18"/>
        <w:numPr>
          <w:ilvl w:val="0"/>
          <w:numId w:val="1"/>
        </w:numPr>
        <w:spacing w:after="60"/>
      </w:pPr>
      <w:r>
        <w:t>Personnaliser : dimensions, couleur, options, demandes particulières.</w:t>
      </w:r>
    </w:p>
    <w:p w14:paraId="0858344E">
      <w:pPr>
        <w:pStyle w:val="18"/>
        <w:numPr>
          <w:ilvl w:val="0"/>
          <w:numId w:val="1"/>
        </w:numPr>
        <w:spacing w:after="60"/>
      </w:pPr>
      <w:r>
        <w:t>Voir le prix calculé automatiquement, puis envoyer la commande.</w:t>
      </w:r>
    </w:p>
    <w:p w14:paraId="19969652">
      <w:pPr>
        <w:pStyle w:val="18"/>
        <w:numPr>
          <w:ilvl w:val="0"/>
          <w:numId w:val="1"/>
        </w:numPr>
        <w:spacing w:after="60"/>
      </w:pPr>
      <w:r>
        <w:t>Suivre la commande et le paiement depuis son espace personnel.</w:t>
      </w:r>
    </w:p>
    <w:p w14:paraId="0613CE80">
      <w:pPr>
        <w:pStyle w:val="2"/>
        <w:spacing w:before="320" w:after="140"/>
      </w:pPr>
      <w:r>
        <w:t>3. Personnalisation et calcul automatique du prix</w:t>
      </w:r>
    </w:p>
    <w:p w14:paraId="546E8A6C">
      <w:pPr>
        <w:spacing w:after="120"/>
      </w:pPr>
      <w:r>
        <w:t>Chaque meuble a un prix de base, des dimensions de référence et ses propres règles tarifaires, définis par l'administrateur.</w:t>
      </w:r>
    </w:p>
    <w:p w14:paraId="42DF23F8">
      <w:pPr>
        <w:spacing w:after="120"/>
      </w:pPr>
      <w:r>
        <w:t>Principe : si la configuration choisie reste égale ou inférieure au modèle de référence, le prix de base est conservé. Au-delà, un supplément s'applique (palier fixe ou tarif au mètre selon le meuble). Certaines options (ex. couleur) peuvent n'avoir aucun impact sur le prix.</w:t>
      </w:r>
    </w:p>
    <w:p w14:paraId="0E51B7A9">
      <w:pPr>
        <w:spacing w:after="120"/>
      </w:pPr>
      <w:r>
        <w:rPr>
          <w:b/>
          <w:bCs/>
        </w:rPr>
        <w:t>Prix final = Prix de base + Suppléments (dimensions + caractéristiques + éléments additionnels)</w:t>
      </w:r>
    </w:p>
    <w:p w14:paraId="33FCE5AF">
      <w:pPr>
        <w:spacing w:before="100" w:after="100"/>
        <w:jc w:val="center"/>
      </w:pPr>
      <w:r>
        <w:drawing>
          <wp:inline distT="0" distB="0" distL="0" distR="0">
            <wp:extent cx="45720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F756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Exemple illustratif : un canapé d'angle à 3 000 MAD (module 70 cm) peut passer à 3 500 MAD (80 cm) ou 4 000 MAD (90 cm) selon la dimension choisie — le prix évolue automatiquement selon la règle définie pour ce modèle.</w:t>
      </w:r>
    </w:p>
    <w:p w14:paraId="23B7551D">
      <w:pPr>
        <w:pStyle w:val="2"/>
        <w:spacing w:before="320" w:after="140"/>
      </w:pPr>
      <w:r>
        <w:t>4. Commande, avance et paiement</w:t>
      </w:r>
    </w:p>
    <w:p w14:paraId="3CBF988A">
      <w:pPr>
        <w:spacing w:after="120"/>
      </w:pPr>
      <w:r>
        <w:t>Après envoi de la commande, l'administrateur vérifie les informations avec le client avant de valider.</w:t>
      </w:r>
    </w:p>
    <w:p w14:paraId="44E039D1">
      <w:pPr>
        <w:spacing w:after="120"/>
      </w:pPr>
      <w:r>
        <w:t>Une avance (pourcentage à définir) est demandée avant fabrication ; le solde est payé avant expédition. Le paiement en ligne n'est pas inclus dans cette version (fonctionnalité future possible).</w:t>
      </w:r>
    </w:p>
    <w:p w14:paraId="5F96392E">
      <w:pPr>
        <w:pStyle w:val="2"/>
        <w:spacing w:before="320" w:after="140"/>
      </w:pPr>
      <w:r>
        <w:t>5. Statuts de la commande</w:t>
      </w:r>
    </w:p>
    <w:tbl>
      <w:tblPr>
        <w:tblStyle w:val="9"/>
        <w:tblW w:w="94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49"/>
        <w:gridCol w:w="6070"/>
      </w:tblGrid>
      <w:tr w14:paraId="01A3C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4" w:hRule="atLeast"/>
        </w:trPr>
        <w:tc>
          <w:tcPr>
            <w:tcW w:w="3349" w:type="dxa"/>
            <w:shd w:val="clear" w:color="auto" w:fill="2E4057"/>
          </w:tcPr>
          <w:p w14:paraId="22897F71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6070" w:type="dxa"/>
            <w:shd w:val="clear" w:color="auto" w:fill="2E4057"/>
          </w:tcPr>
          <w:p w14:paraId="63699F01">
            <w:pPr>
              <w:jc w:val="center"/>
            </w:pPr>
            <w:r>
              <w:rPr>
                <w:b/>
                <w:bCs/>
                <w:color w:val="FFFFFF"/>
              </w:rPr>
              <w:t>Signification</w:t>
            </w:r>
          </w:p>
        </w:tc>
      </w:tr>
      <w:tr w14:paraId="2DE45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4" w:hRule="atLeast"/>
        </w:trPr>
        <w:tc>
          <w:tcPr>
            <w:tcW w:w="3349" w:type="dxa"/>
          </w:tcPr>
          <w:p w14:paraId="5031FBC3">
            <w:pPr>
              <w:jc w:val="center"/>
            </w:pPr>
            <w:r>
              <w:rPr>
                <w:b w:val="0"/>
                <w:bCs w:val="0"/>
                <w:color w:val="000000"/>
              </w:rPr>
              <w:t>PENDING</w:t>
            </w:r>
          </w:p>
        </w:tc>
        <w:tc>
          <w:tcPr>
            <w:tcW w:w="6070" w:type="dxa"/>
          </w:tcPr>
          <w:p w14:paraId="43CAE208">
            <w:pPr>
              <w:jc w:val="center"/>
            </w:pPr>
            <w:r>
              <w:rPr>
                <w:b w:val="0"/>
                <w:bCs w:val="0"/>
                <w:color w:val="000000"/>
              </w:rPr>
              <w:t>Commande créée, avance non encore validée.</w:t>
            </w:r>
          </w:p>
        </w:tc>
      </w:tr>
      <w:tr w14:paraId="4181D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4" w:hRule="atLeast"/>
        </w:trPr>
        <w:tc>
          <w:tcPr>
            <w:tcW w:w="3349" w:type="dxa"/>
          </w:tcPr>
          <w:p w14:paraId="2B1921AF">
            <w:pPr>
              <w:jc w:val="center"/>
            </w:pPr>
            <w:r>
              <w:rPr>
                <w:b w:val="0"/>
                <w:bCs w:val="0"/>
                <w:color w:val="000000"/>
              </w:rPr>
              <w:t>WORKING</w:t>
            </w:r>
          </w:p>
        </w:tc>
        <w:tc>
          <w:tcPr>
            <w:tcW w:w="6070" w:type="dxa"/>
          </w:tcPr>
          <w:p w14:paraId="23AF069F">
            <w:pPr>
              <w:jc w:val="center"/>
            </w:pPr>
            <w:r>
              <w:rPr>
                <w:b w:val="0"/>
                <w:bCs w:val="0"/>
                <w:color w:val="000000"/>
              </w:rPr>
              <w:t>Avance confirmée, fabrication en cours.</w:t>
            </w:r>
          </w:p>
        </w:tc>
      </w:tr>
      <w:tr w14:paraId="1DEE6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4" w:hRule="atLeast"/>
        </w:trPr>
        <w:tc>
          <w:tcPr>
            <w:tcW w:w="3349" w:type="dxa"/>
          </w:tcPr>
          <w:p w14:paraId="50B31A78">
            <w:pPr>
              <w:jc w:val="center"/>
            </w:pPr>
            <w:r>
              <w:rPr>
                <w:b w:val="0"/>
                <w:bCs w:val="0"/>
                <w:color w:val="000000"/>
              </w:rPr>
              <w:t>WAITING FOR FINAL PAYMENT</w:t>
            </w:r>
          </w:p>
        </w:tc>
        <w:tc>
          <w:tcPr>
            <w:tcW w:w="6070" w:type="dxa"/>
          </w:tcPr>
          <w:p w14:paraId="0CF6F41C">
            <w:pPr>
              <w:jc w:val="center"/>
            </w:pPr>
            <w:r>
              <w:rPr>
                <w:b w:val="0"/>
                <w:bCs w:val="0"/>
                <w:color w:val="000000"/>
              </w:rPr>
              <w:t>Meuble terminé, solde à payer.</w:t>
            </w:r>
          </w:p>
        </w:tc>
      </w:tr>
      <w:tr w14:paraId="4A122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4" w:hRule="atLeast"/>
        </w:trPr>
        <w:tc>
          <w:tcPr>
            <w:tcW w:w="3349" w:type="dxa"/>
          </w:tcPr>
          <w:p w14:paraId="484DB254">
            <w:pPr>
              <w:jc w:val="center"/>
            </w:pPr>
            <w:r>
              <w:rPr>
                <w:b w:val="0"/>
                <w:bCs w:val="0"/>
                <w:color w:val="000000"/>
              </w:rPr>
              <w:t>SHIPPING</w:t>
            </w:r>
          </w:p>
        </w:tc>
        <w:tc>
          <w:tcPr>
            <w:tcW w:w="6070" w:type="dxa"/>
          </w:tcPr>
          <w:p w14:paraId="4693CABF">
            <w:pPr>
              <w:jc w:val="center"/>
            </w:pPr>
            <w:r>
              <w:rPr>
                <w:b w:val="0"/>
                <w:bCs w:val="0"/>
                <w:color w:val="000000"/>
              </w:rPr>
              <w:t>Paiement complet, commande en expédition.</w:t>
            </w:r>
          </w:p>
        </w:tc>
      </w:tr>
      <w:tr w14:paraId="1D440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9" w:hRule="atLeast"/>
        </w:trPr>
        <w:tc>
          <w:tcPr>
            <w:tcW w:w="3349" w:type="dxa"/>
          </w:tcPr>
          <w:p w14:paraId="397583E7">
            <w:pPr>
              <w:jc w:val="center"/>
            </w:pPr>
            <w:r>
              <w:rPr>
                <w:b w:val="0"/>
                <w:bCs w:val="0"/>
                <w:color w:val="000000"/>
              </w:rPr>
              <w:t>DELIVERED</w:t>
            </w:r>
          </w:p>
        </w:tc>
        <w:tc>
          <w:tcPr>
            <w:tcW w:w="6070" w:type="dxa"/>
          </w:tcPr>
          <w:p w14:paraId="46D8EDFC">
            <w:pPr>
              <w:jc w:val="center"/>
            </w:pPr>
            <w:r>
              <w:rPr>
                <w:b w:val="0"/>
                <w:bCs w:val="0"/>
                <w:color w:val="000000"/>
              </w:rPr>
              <w:t>Commande livrée.</w:t>
            </w:r>
          </w:p>
        </w:tc>
      </w:tr>
    </w:tbl>
    <w:p w14:paraId="36024E04">
      <w:pPr>
        <w:spacing w:after="120"/>
      </w:pPr>
    </w:p>
    <w:p w14:paraId="1F1AF919">
      <w:pPr>
        <w:pStyle w:val="2"/>
        <w:spacing w:before="320" w:after="140"/>
      </w:pPr>
      <w:r>
        <w:t>6. Livraison</w:t>
      </w:r>
    </w:p>
    <w:p w14:paraId="19D86A9C">
      <w:pPr>
        <w:pStyle w:val="18"/>
        <w:numPr>
          <w:ilvl w:val="0"/>
          <w:numId w:val="1"/>
        </w:numPr>
        <w:spacing w:after="60"/>
      </w:pPr>
      <w:r>
        <w:t>Tanger : tarif de base 100 MAD, ajustable selon la taille du meuble.</w:t>
      </w:r>
    </w:p>
    <w:p w14:paraId="4C62C389">
      <w:pPr>
        <w:pStyle w:val="18"/>
        <w:numPr>
          <w:ilvl w:val="0"/>
          <w:numId w:val="1"/>
        </w:numPr>
        <w:spacing w:after="60"/>
      </w:pPr>
      <w:r>
        <w:t>Reste du Maroc : base 200 MAD + (distance × coefficient), jusqu'à ~800 MAD.</w:t>
      </w:r>
    </w:p>
    <w:p w14:paraId="2BD8FD2E">
      <w:pPr>
        <w:pStyle w:val="18"/>
        <w:numPr>
          <w:ilvl w:val="0"/>
          <w:numId w:val="1"/>
        </w:numPr>
        <w:spacing w:after="60"/>
      </w:pPr>
      <w:r>
        <w:t>International : via transporteur externe, tarifs à définir.</w:t>
      </w:r>
    </w:p>
    <w:p w14:paraId="0F6EBFB1">
      <w:pPr>
        <w:pStyle w:val="18"/>
        <w:numPr>
          <w:ilvl w:val="0"/>
          <w:numId w:val="1"/>
        </w:numPr>
        <w:spacing w:after="60"/>
      </w:pPr>
      <w:r>
        <w:t>Retrait par le client : gratuit.</w:t>
      </w:r>
    </w:p>
    <w:p w14:paraId="3874C981">
      <w:pPr>
        <w:pStyle w:val="2"/>
        <w:spacing w:before="320" w:after="140"/>
      </w:pPr>
      <w:r>
        <w:t>7. Espaces client et administration</w:t>
      </w:r>
    </w:p>
    <w:p w14:paraId="31101F55">
      <w:pPr>
        <w:pStyle w:val="3"/>
        <w:spacing w:before="220" w:after="100"/>
      </w:pPr>
      <w:r>
        <w:t>Espace client</w:t>
      </w:r>
    </w:p>
    <w:p w14:paraId="4ED3D4B3">
      <w:pPr>
        <w:spacing w:after="120"/>
      </w:pPr>
      <w:r>
        <w:t>Suivi des commandes, personnalisations choisies, prix, avance/solde, statut et informations de paiement.</w:t>
      </w:r>
    </w:p>
    <w:p w14:paraId="656E461A">
      <w:pPr>
        <w:pStyle w:val="3"/>
        <w:spacing w:before="220" w:after="100"/>
      </w:pPr>
      <w:r>
        <w:t>Espace administration</w:t>
      </w:r>
    </w:p>
    <w:p w14:paraId="77DDB5E8">
      <w:pPr>
        <w:spacing w:after="120"/>
      </w:pPr>
      <w:r>
        <w:t>Gestion des commandes, clients, produits, catégories, règles de tarification, livraison, et confirmation des paiements/statuts.</w:t>
      </w:r>
    </w:p>
    <w:p w14:paraId="5D810946">
      <w:pPr>
        <w:pStyle w:val="2"/>
        <w:spacing w:before="320" w:after="140"/>
      </w:pPr>
      <w:r>
        <w:t>8. Budget et modalités de paiement</w:t>
      </w:r>
    </w:p>
    <w:p w14:paraId="256925F0">
      <w:pPr>
        <w:spacing w:after="120"/>
      </w:pPr>
      <w:r>
        <w:t xml:space="preserve">Volume de travail estimé : </w:t>
      </w:r>
      <w:r>
        <w:rPr>
          <w:rFonts w:hint="default"/>
          <w:lang w:val="en-GB"/>
        </w:rPr>
        <w:t>12</w:t>
      </w:r>
      <w:r>
        <w:t xml:space="preserve">0 à </w:t>
      </w:r>
      <w:r>
        <w:rPr>
          <w:rFonts w:hint="default"/>
          <w:lang w:val="en-GB"/>
        </w:rPr>
        <w:t>16</w:t>
      </w:r>
      <w:r>
        <w:t>0 heures.</w:t>
      </w:r>
    </w:p>
    <w:p w14:paraId="48010922">
      <w:pPr>
        <w:spacing w:after="120"/>
      </w:pPr>
      <w:r>
        <w:t>Budget de développement :  1</w:t>
      </w:r>
      <w:r>
        <w:rPr>
          <w:rFonts w:hint="default"/>
          <w:lang w:val="en-GB"/>
        </w:rPr>
        <w:t>4</w:t>
      </w:r>
      <w:r>
        <w:t xml:space="preserve"> 000 MAD.</w:t>
      </w:r>
      <w:bookmarkStart w:id="0" w:name="_GoBack"/>
      <w:bookmarkEnd w:id="0"/>
    </w:p>
    <w:p w14:paraId="3C6C1CC4">
      <w:pPr>
        <w:pStyle w:val="15"/>
        <w:keepNext w:val="0"/>
        <w:keepLines w:val="0"/>
        <w:widowControl/>
        <w:suppressLineNumbers w:val="0"/>
        <w:bidi w:val="0"/>
      </w:pPr>
      <w:r>
        <w:t xml:space="preserve">Voici une comparaison réaliste — agence/entreprise vs freelance expert vs </w:t>
      </w:r>
      <w:r>
        <w:rPr>
          <w:rFonts w:hint="default"/>
          <w:lang w:val="en-GB"/>
        </w:rPr>
        <w:t>moi</w:t>
      </w:r>
      <w:r>
        <w:t>, pour chaque version :</w:t>
      </w:r>
    </w:p>
    <w:tbl>
      <w:tblPr>
        <w:tblW w:w="1017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72"/>
        <w:gridCol w:w="5007"/>
      </w:tblGrid>
      <w:tr w14:paraId="1FE01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9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80F3C5">
            <w:pPr>
              <w:jc w:val="center"/>
              <w:rPr>
                <w:rFonts w:hint="eastAsia" w:ascii="SimSu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E2C400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 2 (Standard)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~120-160h</w:t>
            </w:r>
          </w:p>
        </w:tc>
      </w:tr>
      <w:tr w14:paraId="04F22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E144C54">
            <w:pPr>
              <w:keepNext w:val="0"/>
              <w:keepLines w:val="0"/>
              <w:widowControl/>
              <w:suppressLineNumbers w:val="0"/>
              <w:bidi w:val="0"/>
              <w:jc w:val="center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Entreprise / agence web</w:t>
            </w:r>
          </w:p>
        </w:tc>
        <w:tc>
          <w:tcPr>
            <w:tcW w:w="0" w:type="auto"/>
            <w:shd w:val="clear"/>
            <w:vAlign w:val="center"/>
          </w:tcPr>
          <w:p w14:paraId="6BEAD6AF">
            <w:pPr>
              <w:keepNext w:val="0"/>
              <w:keepLines w:val="0"/>
              <w:widowControl/>
              <w:suppressLineNumbers w:val="0"/>
              <w:bidi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60 000 – 90 000 MAD</w:t>
            </w:r>
          </w:p>
        </w:tc>
      </w:tr>
      <w:tr w14:paraId="7FCCD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5D07532">
            <w:pPr>
              <w:keepNext w:val="0"/>
              <w:keepLines w:val="0"/>
              <w:widowControl/>
              <w:suppressLineNumbers w:val="0"/>
              <w:bidi w:val="0"/>
              <w:jc w:val="center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Freelance expert (5+ ans)</w:t>
            </w:r>
          </w:p>
        </w:tc>
        <w:tc>
          <w:tcPr>
            <w:tcW w:w="0" w:type="auto"/>
            <w:shd w:val="clear"/>
            <w:vAlign w:val="center"/>
          </w:tcPr>
          <w:p w14:paraId="390B452D">
            <w:pPr>
              <w:keepNext w:val="0"/>
              <w:keepLines w:val="0"/>
              <w:widowControl/>
              <w:suppressLineNumbers w:val="0"/>
              <w:bidi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28 000 – 45 000 MAD</w:t>
            </w:r>
          </w:p>
        </w:tc>
      </w:tr>
      <w:tr w14:paraId="55108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D5A453D">
            <w:pPr>
              <w:keepNext w:val="0"/>
              <w:keepLines w:val="0"/>
              <w:widowControl/>
              <w:suppressLineNumbers w:val="0"/>
              <w:bidi w:val="0"/>
              <w:jc w:val="center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Toi (freelance junior/étudiant)</w:t>
            </w:r>
          </w:p>
        </w:tc>
        <w:tc>
          <w:tcPr>
            <w:tcW w:w="0" w:type="auto"/>
            <w:shd w:val="clear"/>
            <w:vAlign w:val="center"/>
          </w:tcPr>
          <w:p w14:paraId="45A891ED">
            <w:pPr>
              <w:keepNext w:val="0"/>
              <w:keepLines w:val="0"/>
              <w:widowControl/>
              <w:suppressLineNumbers w:val="0"/>
              <w:bidi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14 000 – 20 000 MAD</w:t>
            </w:r>
          </w:p>
        </w:tc>
      </w:tr>
    </w:tbl>
    <w:p w14:paraId="5C4C4A7A">
      <w:pPr>
        <w:spacing w:after="120"/>
      </w:pPr>
    </w:p>
    <w:p w14:paraId="11D4E658">
      <w:pPr>
        <w:pStyle w:val="3"/>
        <w:spacing w:before="220" w:after="100"/>
      </w:pPr>
      <w:r>
        <w:t>8.1 Structure de paiement</w:t>
      </w:r>
    </w:p>
    <w:p w14:paraId="5E04702F">
      <w:pPr>
        <w:spacing w:after="120"/>
      </w:pPr>
      <w:r>
        <w:t>Le paiement du développement se fait en deux tranches égales, réparties entre le démarrage et la livraison du projet.</w:t>
      </w:r>
    </w:p>
    <w:tbl>
      <w:tblPr>
        <w:tblStyle w:val="9"/>
        <w:tblW w:w="99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2"/>
        <w:gridCol w:w="3770"/>
        <w:gridCol w:w="3326"/>
      </w:tblGrid>
      <w:tr w14:paraId="547AC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4" w:hRule="atLeast"/>
        </w:trPr>
        <w:tc>
          <w:tcPr>
            <w:tcW w:w="2882" w:type="dxa"/>
            <w:shd w:val="clear" w:color="auto" w:fill="2E4057"/>
          </w:tcPr>
          <w:p w14:paraId="786A5510">
            <w:pPr>
              <w:jc w:val="center"/>
            </w:pPr>
            <w:r>
              <w:rPr>
                <w:b/>
                <w:bCs/>
                <w:color w:val="FFFFFF"/>
              </w:rPr>
              <w:t>Tranche</w:t>
            </w:r>
          </w:p>
        </w:tc>
        <w:tc>
          <w:tcPr>
            <w:tcW w:w="3770" w:type="dxa"/>
            <w:shd w:val="clear" w:color="auto" w:fill="2E4057"/>
          </w:tcPr>
          <w:p w14:paraId="5C6D1DC2">
            <w:pPr>
              <w:jc w:val="center"/>
            </w:pPr>
            <w:r>
              <w:rPr>
                <w:b/>
                <w:bCs/>
                <w:color w:val="FFFFFF"/>
              </w:rPr>
              <w:t>Déclencheur</w:t>
            </w:r>
          </w:p>
        </w:tc>
        <w:tc>
          <w:tcPr>
            <w:tcW w:w="3326" w:type="dxa"/>
            <w:shd w:val="clear" w:color="auto" w:fill="2E4057"/>
          </w:tcPr>
          <w:p w14:paraId="1D4A459B">
            <w:pPr>
              <w:jc w:val="center"/>
            </w:pPr>
            <w:r>
              <w:rPr>
                <w:b/>
                <w:bCs/>
                <w:color w:val="FFFFFF"/>
              </w:rPr>
              <w:t>Moment</w:t>
            </w:r>
          </w:p>
        </w:tc>
      </w:tr>
      <w:tr w14:paraId="4B162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03" w:hRule="atLeast"/>
        </w:trPr>
        <w:tc>
          <w:tcPr>
            <w:tcW w:w="2882" w:type="dxa"/>
          </w:tcPr>
          <w:p w14:paraId="4D2EF11A">
            <w:pPr>
              <w:jc w:val="center"/>
            </w:pPr>
            <w:r>
              <w:rPr>
                <w:b w:val="0"/>
                <w:bCs w:val="0"/>
                <w:color w:val="000000"/>
              </w:rPr>
              <w:t>1ère tranche — 50%</w:t>
            </w:r>
          </w:p>
        </w:tc>
        <w:tc>
          <w:tcPr>
            <w:tcW w:w="3770" w:type="dxa"/>
          </w:tcPr>
          <w:p w14:paraId="47AA7659">
            <w:pPr>
              <w:jc w:val="center"/>
            </w:pPr>
            <w:r>
              <w:rPr>
                <w:b w:val="0"/>
                <w:bCs w:val="0"/>
                <w:color w:val="000000"/>
              </w:rPr>
              <w:t>À la signature / validation du cahier des charges</w:t>
            </w:r>
          </w:p>
        </w:tc>
        <w:tc>
          <w:tcPr>
            <w:tcW w:w="3326" w:type="dxa"/>
          </w:tcPr>
          <w:p w14:paraId="3BAA897B">
            <w:pPr>
              <w:jc w:val="center"/>
            </w:pPr>
            <w:r>
              <w:rPr>
                <w:b w:val="0"/>
                <w:bCs w:val="0"/>
                <w:color w:val="000000"/>
              </w:rPr>
              <w:t>Avant le démarrage du développement</w:t>
            </w:r>
          </w:p>
        </w:tc>
      </w:tr>
      <w:tr w14:paraId="1FD0E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29" w:hRule="atLeast"/>
        </w:trPr>
        <w:tc>
          <w:tcPr>
            <w:tcW w:w="2882" w:type="dxa"/>
          </w:tcPr>
          <w:p w14:paraId="46FBF5D9">
            <w:pPr>
              <w:jc w:val="center"/>
            </w:pPr>
            <w:r>
              <w:rPr>
                <w:b w:val="0"/>
                <w:bCs w:val="0"/>
                <w:color w:val="000000"/>
              </w:rPr>
              <w:t>2ème tranche — 50%</w:t>
            </w:r>
          </w:p>
        </w:tc>
        <w:tc>
          <w:tcPr>
            <w:tcW w:w="3770" w:type="dxa"/>
          </w:tcPr>
          <w:p w14:paraId="226F2F93">
            <w:pPr>
              <w:jc w:val="center"/>
            </w:pPr>
            <w:r>
              <w:rPr>
                <w:b w:val="0"/>
                <w:bCs w:val="0"/>
                <w:color w:val="000000"/>
              </w:rPr>
              <w:t>À la livraison finale</w:t>
            </w:r>
          </w:p>
        </w:tc>
        <w:tc>
          <w:tcPr>
            <w:tcW w:w="3326" w:type="dxa"/>
          </w:tcPr>
          <w:p w14:paraId="31871D4A">
            <w:pPr>
              <w:jc w:val="center"/>
            </w:pPr>
            <w:r>
              <w:rPr>
                <w:b w:val="0"/>
                <w:bCs w:val="0"/>
                <w:color w:val="000000"/>
              </w:rPr>
              <w:t>Avant le transfert du code source et le déploiement définitif</w:t>
            </w:r>
          </w:p>
        </w:tc>
      </w:tr>
    </w:tbl>
    <w:p w14:paraId="6EF137EE">
      <w:pPr>
        <w:spacing w:after="120"/>
      </w:pPr>
    </w:p>
    <w:p w14:paraId="7971C823">
      <w:pPr>
        <w:pStyle w:val="3"/>
        <w:spacing w:before="220" w:after="100"/>
      </w:pPr>
      <w:r>
        <w:t>8.2 Mode de paiement et délai</w:t>
      </w:r>
    </w:p>
    <w:p w14:paraId="26597A01">
      <w:pPr>
        <w:spacing w:after="120"/>
      </w:pPr>
      <w:r>
        <w:t>Paiement par virement bancaire, selon les coordonnées (RIB) qui seront communiquées au client. Le solde (2ème tranche) est à régler dans un délai de 5 jours ouvrés suivant la livraison finale du site.</w:t>
      </w:r>
    </w:p>
    <w:p w14:paraId="507BF45F">
      <w:pPr>
        <w:pStyle w:val="3"/>
        <w:spacing w:before="220" w:after="100"/>
      </w:pPr>
      <w:r>
        <w:t>8.3 Conditions de livraison</w:t>
      </w:r>
    </w:p>
    <w:p w14:paraId="122F98D3">
      <w:pPr>
        <w:pStyle w:val="18"/>
        <w:numPr>
          <w:ilvl w:val="0"/>
          <w:numId w:val="1"/>
        </w:numPr>
        <w:spacing w:after="60"/>
      </w:pPr>
      <w:r>
        <w:t>Le code source et l'accès complet à la plateforme (hébergement, base de données, panneau d'administration) sont transférés au client uniquement après réception du paiement complet.</w:t>
      </w:r>
    </w:p>
    <w:p w14:paraId="6EB6B4BC">
      <w:pPr>
        <w:pStyle w:val="18"/>
        <w:numPr>
          <w:ilvl w:val="0"/>
          <w:numId w:val="1"/>
        </w:numPr>
        <w:spacing w:after="60"/>
      </w:pPr>
      <w:r>
        <w:t>La "livraison finale" correspond à un site fonctionnel, testé, et conforme au cahier des charges validé.</w:t>
      </w:r>
    </w:p>
    <w:p w14:paraId="417F26EF">
      <w:pPr>
        <w:pStyle w:val="18"/>
        <w:numPr>
          <w:ilvl w:val="0"/>
          <w:numId w:val="1"/>
        </w:numPr>
        <w:spacing w:after="60"/>
      </w:pPr>
      <w:r>
        <w:t>Toute demande de modification en dehors du cahier des charges validé fera l'objet d'un devis complémentaire et n'est pas couverte par ce calendrier de paiement.</w:t>
      </w:r>
    </w:p>
    <w:p w14:paraId="5EEE3802">
      <w:pPr>
        <w:pStyle w:val="2"/>
        <w:spacing w:before="320" w:after="140"/>
      </w:pPr>
      <w:r>
        <w:t>9. Hébergement et coûts récurrents</w:t>
      </w:r>
    </w:p>
    <w:p w14:paraId="16592D1A">
      <w:pPr>
        <w:pStyle w:val="3"/>
        <w:spacing w:before="220" w:after="100"/>
      </w:pPr>
      <w:r>
        <w:t>9.1 Pourquoi un VPS</w:t>
      </w:r>
    </w:p>
    <w:p w14:paraId="01A9E331">
      <w:pPr>
        <w:spacing w:after="120"/>
      </w:pPr>
      <w:r>
        <w:t>La plateforme comprend un backend, une base de données et un espace d'administration — un hébergement mutualisé classique ne permet généralement pas de faire tourner ce type d'application en continu. Un VPS (serveur privé virtuel) est nécessaire.</w:t>
      </w:r>
    </w:p>
    <w:p w14:paraId="7BDB857C">
      <w:pPr>
        <w:pStyle w:val="3"/>
        <w:spacing w:before="220" w:after="100"/>
      </w:pPr>
      <w:r>
        <w:t>9.2 Estimation des coûts mensuels</w:t>
      </w:r>
    </w:p>
    <w:tbl>
      <w:tblPr>
        <w:tblStyle w:val="9"/>
        <w:tblW w:w="98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12"/>
        <w:gridCol w:w="3512"/>
        <w:gridCol w:w="2854"/>
      </w:tblGrid>
      <w:tr w14:paraId="24384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1" w:hRule="atLeast"/>
          <w:jc w:val="center"/>
        </w:trPr>
        <w:tc>
          <w:tcPr>
            <w:tcW w:w="3512" w:type="dxa"/>
            <w:shd w:val="clear" w:color="auto" w:fill="2E4057"/>
          </w:tcPr>
          <w:p w14:paraId="41ACCAA5">
            <w:pPr>
              <w:jc w:val="center"/>
            </w:pPr>
            <w:r>
              <w:rPr>
                <w:b/>
                <w:bCs/>
                <w:color w:val="FFFFFF"/>
              </w:rPr>
              <w:t>Niveau</w:t>
            </w:r>
          </w:p>
        </w:tc>
        <w:tc>
          <w:tcPr>
            <w:tcW w:w="3512" w:type="dxa"/>
            <w:shd w:val="clear" w:color="auto" w:fill="2E4057"/>
          </w:tcPr>
          <w:p w14:paraId="3396D16F">
            <w:pPr>
              <w:jc w:val="center"/>
            </w:pPr>
            <w:r>
              <w:rPr>
                <w:b/>
                <w:bCs/>
                <w:color w:val="FFFFFF"/>
              </w:rPr>
              <w:t>Specs nécessaires</w:t>
            </w:r>
          </w:p>
        </w:tc>
        <w:tc>
          <w:tcPr>
            <w:tcW w:w="2854" w:type="dxa"/>
            <w:shd w:val="clear" w:color="auto" w:fill="2E4057"/>
          </w:tcPr>
          <w:p w14:paraId="72C7BB46">
            <w:pPr>
              <w:jc w:val="center"/>
            </w:pPr>
            <w:r>
              <w:rPr>
                <w:b/>
                <w:bCs/>
                <w:color w:val="FFFFFF"/>
              </w:rPr>
              <w:t>Coût / mois</w:t>
            </w:r>
          </w:p>
        </w:tc>
      </w:tr>
      <w:tr w14:paraId="29077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1" w:hRule="atLeast"/>
          <w:jc w:val="center"/>
        </w:trPr>
        <w:tc>
          <w:tcPr>
            <w:tcW w:w="3512" w:type="dxa"/>
          </w:tcPr>
          <w:p w14:paraId="6941EC2B">
            <w:pPr>
              <w:jc w:val="center"/>
            </w:pPr>
            <w:r>
              <w:rPr>
                <w:b w:val="0"/>
                <w:bCs w:val="0"/>
                <w:color w:val="000000"/>
              </w:rPr>
              <w:t>Version 1 (MVP, faible trafic)</w:t>
            </w:r>
          </w:p>
        </w:tc>
        <w:tc>
          <w:tcPr>
            <w:tcW w:w="3512" w:type="dxa"/>
          </w:tcPr>
          <w:p w14:paraId="23387896">
            <w:pPr>
              <w:jc w:val="center"/>
            </w:pPr>
            <w:r>
              <w:rPr>
                <w:b w:val="0"/>
                <w:bCs w:val="0"/>
                <w:color w:val="000000"/>
              </w:rPr>
              <w:t>1-2 vCPU, 2 Go RAM</w:t>
            </w:r>
          </w:p>
        </w:tc>
        <w:tc>
          <w:tcPr>
            <w:tcW w:w="2854" w:type="dxa"/>
          </w:tcPr>
          <w:p w14:paraId="4DBA6733">
            <w:pPr>
              <w:jc w:val="center"/>
            </w:pPr>
            <w:r>
              <w:rPr>
                <w:b w:val="0"/>
                <w:bCs w:val="0"/>
                <w:color w:val="000000"/>
              </w:rPr>
              <w:t>30 – 60 MAD</w:t>
            </w:r>
          </w:p>
        </w:tc>
      </w:tr>
      <w:tr w14:paraId="00F59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1" w:hRule="atLeast"/>
          <w:jc w:val="center"/>
        </w:trPr>
        <w:tc>
          <w:tcPr>
            <w:tcW w:w="3512" w:type="dxa"/>
          </w:tcPr>
          <w:p w14:paraId="1E8F0219">
            <w:pPr>
              <w:jc w:val="center"/>
            </w:pPr>
            <w:r>
              <w:rPr>
                <w:b w:val="0"/>
                <w:bCs w:val="0"/>
                <w:color w:val="000000"/>
              </w:rPr>
              <w:t>Version 2 / 3 (trafic modéré)</w:t>
            </w:r>
          </w:p>
        </w:tc>
        <w:tc>
          <w:tcPr>
            <w:tcW w:w="3512" w:type="dxa"/>
          </w:tcPr>
          <w:p w14:paraId="38907AEE">
            <w:pPr>
              <w:jc w:val="center"/>
            </w:pPr>
            <w:r>
              <w:rPr>
                <w:b w:val="0"/>
                <w:bCs w:val="0"/>
                <w:color w:val="000000"/>
              </w:rPr>
              <w:t>2 vCPU, 4 Go RAM</w:t>
            </w:r>
          </w:p>
        </w:tc>
        <w:tc>
          <w:tcPr>
            <w:tcW w:w="2854" w:type="dxa"/>
          </w:tcPr>
          <w:p w14:paraId="05CA2FE0">
            <w:pPr>
              <w:jc w:val="center"/>
            </w:pPr>
            <w:r>
              <w:rPr>
                <w:b w:val="0"/>
                <w:bCs w:val="0"/>
                <w:color w:val="000000"/>
              </w:rPr>
              <w:t>60 – 120 MAD</w:t>
            </w:r>
          </w:p>
        </w:tc>
      </w:tr>
      <w:tr w14:paraId="7AEFD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5" w:hRule="atLeast"/>
          <w:jc w:val="center"/>
        </w:trPr>
        <w:tc>
          <w:tcPr>
            <w:tcW w:w="3512" w:type="dxa"/>
          </w:tcPr>
          <w:p w14:paraId="1CE9008C">
            <w:pPr>
              <w:jc w:val="center"/>
            </w:pPr>
            <w:r>
              <w:rPr>
                <w:b w:val="0"/>
                <w:bCs w:val="0"/>
                <w:color w:val="000000"/>
              </w:rPr>
              <w:t>Si trafic devient important</w:t>
            </w:r>
          </w:p>
        </w:tc>
        <w:tc>
          <w:tcPr>
            <w:tcW w:w="3512" w:type="dxa"/>
          </w:tcPr>
          <w:p w14:paraId="266A7327">
            <w:pPr>
              <w:jc w:val="center"/>
            </w:pPr>
            <w:r>
              <w:rPr>
                <w:b w:val="0"/>
                <w:bCs w:val="0"/>
                <w:color w:val="000000"/>
              </w:rPr>
              <w:t>4 vCPU, 8 Go RAM</w:t>
            </w:r>
          </w:p>
        </w:tc>
        <w:tc>
          <w:tcPr>
            <w:tcW w:w="2854" w:type="dxa"/>
          </w:tcPr>
          <w:p w14:paraId="0830E2CC">
            <w:pPr>
              <w:jc w:val="center"/>
            </w:pPr>
            <w:r>
              <w:rPr>
                <w:b w:val="0"/>
                <w:bCs w:val="0"/>
                <w:color w:val="000000"/>
              </w:rPr>
              <w:t>150 – 250 MAD</w:t>
            </w:r>
          </w:p>
        </w:tc>
      </w:tr>
    </w:tbl>
    <w:p w14:paraId="5D9A5CCB">
      <w:pPr>
        <w:spacing w:after="120"/>
      </w:pPr>
    </w:p>
    <w:p w14:paraId="1B1BB211">
      <w:pPr>
        <w:pStyle w:val="3"/>
        <w:spacing w:before="220" w:after="100"/>
      </w:pPr>
      <w:r>
        <w:t>9.3 Hébergeurs recommandés</w:t>
      </w:r>
    </w:p>
    <w:p w14:paraId="5CB6C437">
      <w:pPr>
        <w:spacing w:before="140" w:after="40"/>
      </w:pPr>
      <w:r>
        <w:rPr>
          <w:b/>
          <w:bCs/>
        </w:rPr>
        <w:t xml:space="preserve">Hetzner Cloud — </w:t>
      </w:r>
      <w:r>
        <w:rPr>
          <w:b/>
          <w:bCs/>
          <w:color w:val="2E4057"/>
        </w:rPr>
        <w:t>Recommandé</w:t>
      </w:r>
    </w:p>
    <w:p w14:paraId="6E276C7F">
      <w:pPr>
        <w:spacing w:after="120"/>
      </w:pPr>
      <w:r>
        <w:t>Meilleur rapport qualité/prix du marché. ~5-6 €/mois pour 2 vCPU / 4 Go. Datacenters en Allemagne/Finlande — légère latence pour le Maroc mais négligeable pour un e-commerce.</w:t>
      </w:r>
    </w:p>
    <w:p w14:paraId="1B3BC6B5">
      <w:pPr>
        <w:spacing w:before="140" w:after="40"/>
      </w:pPr>
      <w:r>
        <w:rPr>
          <w:b/>
          <w:bCs/>
        </w:rPr>
        <w:t xml:space="preserve">OVH — </w:t>
      </w:r>
      <w:r>
        <w:rPr>
          <w:b/>
          <w:bCs/>
          <w:color w:val="2E4057"/>
        </w:rPr>
        <w:t>Recommandé (alternative)</w:t>
      </w:r>
    </w:p>
    <w:p w14:paraId="60235026">
      <w:pPr>
        <w:spacing w:after="120"/>
      </w:pPr>
      <w:r>
        <w:t>Hébergeur français, datacenters en Europe, support francophone, bonne proximité de fuseau horaire avec le Maroc.</w:t>
      </w:r>
    </w:p>
    <w:p w14:paraId="3C9B7D2B">
      <w:pPr>
        <w:spacing w:before="140" w:after="40"/>
      </w:pPr>
      <w:r>
        <w:rPr>
          <w:b/>
          <w:bCs/>
        </w:rPr>
        <w:t xml:space="preserve">DigitalOcean — </w:t>
      </w:r>
      <w:r>
        <w:rPr>
          <w:b/>
          <w:bCs/>
          <w:color w:val="2E4057"/>
        </w:rPr>
        <w:t>Bonne option</w:t>
      </w:r>
    </w:p>
    <w:p w14:paraId="74C3E7E8">
      <w:pPr>
        <w:spacing w:after="120"/>
      </w:pPr>
      <w:r>
        <w:t>Interface très simple et bien documentée, prisé pour les débutants. ~12 $/mois pour un droplet équivalent — un peu plus cher que Hetzner.</w:t>
      </w:r>
    </w:p>
    <w:p w14:paraId="03F8EC7C">
      <w:pPr>
        <w:spacing w:before="140" w:after="40"/>
      </w:pPr>
      <w:r>
        <w:rPr>
          <w:b/>
          <w:bCs/>
        </w:rPr>
        <w:t xml:space="preserve">Contabo — </w:t>
      </w:r>
      <w:r>
        <w:rPr>
          <w:b/>
          <w:bCs/>
          <w:color w:val="2E4057"/>
        </w:rPr>
        <w:t>À éviter si fiabilité critique</w:t>
      </w:r>
    </w:p>
    <w:p w14:paraId="4533170C">
      <w:pPr>
        <w:spacing w:after="120"/>
      </w:pPr>
      <w:r>
        <w:t>Encore moins cher que Hetzner, mais support et fiabilité en retrait — à éviter si le client attend une disponibilité irréprochable.</w:t>
      </w:r>
    </w:p>
    <w:p w14:paraId="77E9F4DB">
      <w:pPr>
        <w:spacing w:after="120"/>
      </w:pPr>
      <w:r>
        <w:t>Recommandation : Hetzner Cloud (ou OVH pour un support en français) pour le VPS, avec Cloudflare gratuit devant le site pour le cache et la protection contre les attaques DDoS.</w:t>
      </w:r>
    </w:p>
    <w:p w14:paraId="34D0049A">
      <w:pPr>
        <w:pStyle w:val="3"/>
        <w:spacing w:before="220" w:after="100"/>
      </w:pPr>
      <w:r>
        <w:t>9.4 Autres coûts récurrents</w:t>
      </w:r>
    </w:p>
    <w:p w14:paraId="059E3825">
      <w:pPr>
        <w:pStyle w:val="18"/>
        <w:numPr>
          <w:ilvl w:val="0"/>
          <w:numId w:val="1"/>
        </w:numPr>
        <w:spacing w:after="60"/>
      </w:pPr>
      <w:r>
        <w:t>Nom de domaine : 100 – 150 MAD/an (un .ma coûte plus cher, souvent 200 – 300 MAD/an chez un registrar marocain).</w:t>
      </w:r>
    </w:p>
    <w:p w14:paraId="4001A1B1">
      <w:pPr>
        <w:pStyle w:val="18"/>
        <w:numPr>
          <w:ilvl w:val="0"/>
          <w:numId w:val="1"/>
        </w:numPr>
        <w:spacing w:after="60"/>
      </w:pPr>
      <w:r>
        <w:t>Sauvegardes automatiques : souvent en option chez l'hébergeur, environ +20-30% du prix du VPS.</w:t>
      </w:r>
    </w:p>
    <w:p w14:paraId="1AF6175A">
      <w:pPr>
        <w:pStyle w:val="18"/>
        <w:numPr>
          <w:ilvl w:val="0"/>
          <w:numId w:val="1"/>
        </w:numPr>
        <w:spacing w:after="60"/>
      </w:pPr>
      <w:r>
        <w:t>E-mail professionnel : gratuit via Zoho Mail (jusqu'à 5 comptes) ou 30 – 50 MAD/mois via Google Workspace.</w:t>
      </w:r>
    </w:p>
    <w:p w14:paraId="43E616E0">
      <w:pPr>
        <w:spacing w:after="120"/>
      </w:pPr>
      <w:r>
        <w:rPr>
          <w:i/>
          <w:iCs/>
          <w:color w:val="555555"/>
        </w:rPr>
        <w:t>Ces tarifs sont indicatifs et à reconfirmer au moment de la mise en production.</w:t>
      </w:r>
    </w:p>
    <w:p w14:paraId="2BEAA415">
      <w:pPr>
        <w:pStyle w:val="2"/>
        <w:spacing w:before="320" w:after="140"/>
      </w:pPr>
      <w:r>
        <w:t>10. Points à valider avant développement</w:t>
      </w:r>
    </w:p>
    <w:p w14:paraId="7E97C676">
      <w:pPr>
        <w:pStyle w:val="18"/>
        <w:numPr>
          <w:ilvl w:val="0"/>
          <w:numId w:val="1"/>
        </w:numPr>
        <w:spacing w:after="60"/>
      </w:pPr>
      <w:r>
        <w:t>Tarification : variables et formules par produit, coefficients, pourcentage d'avance.</w:t>
      </w:r>
    </w:p>
    <w:p w14:paraId="0EC8F2F2">
      <w:pPr>
        <w:pStyle w:val="18"/>
        <w:numPr>
          <w:ilvl w:val="0"/>
          <w:numId w:val="1"/>
        </w:numPr>
        <w:spacing w:after="60"/>
      </w:pPr>
      <w:r>
        <w:t>Personnalisation : champs par type de meuble, limites, couleurs, matériaux.</w:t>
      </w:r>
    </w:p>
    <w:p w14:paraId="73588D9A">
      <w:pPr>
        <w:pStyle w:val="18"/>
        <w:numPr>
          <w:ilvl w:val="0"/>
          <w:numId w:val="1"/>
        </w:numPr>
        <w:spacing w:after="60"/>
      </w:pPr>
      <w:r>
        <w:t>Livraison : coefficients définitifs, règles par ville, fonctionnement à l'international.</w:t>
      </w:r>
    </w:p>
    <w:p w14:paraId="391BD243">
      <w:pPr>
        <w:pStyle w:val="18"/>
        <w:numPr>
          <w:ilvl w:val="0"/>
          <w:numId w:val="1"/>
        </w:numPr>
        <w:spacing w:after="60"/>
      </w:pPr>
      <w:r>
        <w:t>Gestion des commandes : actions par statut, annulation/modification.</w:t>
      </w:r>
    </w:p>
    <w:p w14:paraId="39323705">
      <w:pPr>
        <w:pStyle w:val="2"/>
        <w:spacing w:before="320" w:after="140"/>
      </w:pPr>
      <w:r>
        <w:t>11. Validation</w:t>
      </w:r>
    </w:p>
    <w:p w14:paraId="2FF86236">
      <w:pPr>
        <w:spacing w:after="120"/>
      </w:pPr>
      <w:r>
        <w:t>Ce document présente la base fonctionnelle du projet ainsi que les modalités de paiement et d'hébergement associées. Merci de valider le contenu ci-dessus (ou d'indiquer vos remarques) afin de lancer le développement.</w:t>
      </w:r>
    </w:p>
    <w:sectPr>
      <w:pgSz w:w="11906" w:h="16838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BA6B53"/>
    <w:multiLevelType w:val="singleLevel"/>
    <w:tmpl w:val="DCBA6B53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0D05588"/>
    <w:rsid w:val="36C824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9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8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Office_12.9.0.21549_F1E327BC-269C-435d-A152-05C5408002CA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2026-08-22T23:02:00Z</dcterms:created>
  <dc:creator>Un-named</dc:creator>
  <cp:lastModifiedBy>houss</cp:lastModifiedBy>
  <dcterms:modified xsi:type="dcterms:W3CDTF">2026-08-23T12:33:39Z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2057-12.9.0.21549</vt:lpwstr>
  </property>
  <property fmtid="{D5CDD505-2E9C-101B-9397-08002B2CF9AE}" pid="3" name="ICV">
    <vt:lpwstr>C33D0F1CF41D438192D97A41141B2C3E_12</vt:lpwstr>
  </property>
</Properties>
</file>