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BC1" w:rsidRDefault="00D13BC1" w:rsidP="00446D0A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D13BC1" w:rsidRDefault="00D13BC1" w:rsidP="00446D0A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2A3B24">
        <w:t>33</w:t>
      </w:r>
    </w:p>
    <w:p w:rsidR="00D13BC1" w:rsidRDefault="00D13BC1" w:rsidP="00D13BC1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D13BC1" w:rsidRDefault="00D13BC1" w:rsidP="00D13BC1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13BC1" w:rsidTr="0084677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D13BC1" w:rsidRPr="00462883" w:rsidRDefault="002A3B24" w:rsidP="0084677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D13BC1" w:rsidRPr="00015293" w:rsidRDefault="00150027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</w:t>
            </w:r>
            <w:r>
              <w:rPr>
                <w:lang w:val="en-US"/>
              </w:rPr>
              <w:t>A</w:t>
            </w:r>
            <w:r w:rsidR="00015293">
              <w:rPr>
                <w:lang w:val="en-US"/>
              </w:rPr>
              <w:t xml:space="preserve">. </w:t>
            </w:r>
            <w:proofErr w:type="spellStart"/>
            <w:r w:rsidR="00015293">
              <w:t>Рындюк</w:t>
            </w:r>
            <w:proofErr w:type="spellEnd"/>
          </w:p>
        </w:tc>
      </w:tr>
      <w:tr w:rsidR="00D13BC1" w:rsidTr="0084677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D13BC1" w:rsidRDefault="00D13BC1" w:rsidP="00D13BC1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13BC1" w:rsidRPr="00573720" w:rsidTr="008467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13BC1" w:rsidRPr="00573720" w:rsidRDefault="00D13BC1" w:rsidP="00573720">
            <w:pPr>
              <w:pStyle w:val="BodyText"/>
              <w:spacing w:before="960"/>
              <w:ind w:left="-357"/>
            </w:pPr>
            <w:r w:rsidRPr="00573720">
              <w:t xml:space="preserve">ОТЧЕТ О ЛАБОРАТОРНОЙ РАБОТЕ № </w:t>
            </w:r>
            <w:r w:rsidR="007943F7" w:rsidRPr="00573720">
              <w:t>1</w:t>
            </w:r>
          </w:p>
        </w:tc>
      </w:tr>
      <w:tr w:rsidR="00D13BC1" w:rsidRPr="00573720" w:rsidTr="008467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13BC1" w:rsidRPr="00573720" w:rsidRDefault="00F4309C" w:rsidP="00573720">
            <w:pPr>
              <w:pStyle w:val="Heading1"/>
              <w:spacing w:before="720" w:after="720"/>
              <w:ind w:left="-357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7372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ЗАКОНОДАТЕЛЬСТВО В ОБЛАСТИ</w:t>
            </w:r>
            <w:r w:rsidR="00015293" w:rsidRPr="0057372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ИБ РФ</w:t>
            </w:r>
          </w:p>
        </w:tc>
      </w:tr>
      <w:tr w:rsidR="00D13BC1" w:rsidRPr="00573720" w:rsidTr="008467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13BC1" w:rsidRPr="00573720" w:rsidRDefault="00D13BC1" w:rsidP="00573720">
            <w:pPr>
              <w:pStyle w:val="Heading3"/>
              <w:spacing w:before="120"/>
              <w:ind w:left="-35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73720">
              <w:rPr>
                <w:rFonts w:ascii="Times New Roman" w:hAnsi="Times New Roman" w:cs="Times New Roman"/>
                <w:color w:val="000000" w:themeColor="text1"/>
              </w:rPr>
              <w:t xml:space="preserve">по курсу: </w:t>
            </w:r>
            <w:r w:rsidR="00F56C71" w:rsidRPr="00573720">
              <w:rPr>
                <w:rFonts w:ascii="Times New Roman" w:hAnsi="Times New Roman" w:cs="Times New Roman"/>
                <w:color w:val="000000" w:themeColor="text1"/>
              </w:rPr>
              <w:t>ЗАЩИТА ИНФОРМАЦИИ</w:t>
            </w:r>
          </w:p>
        </w:tc>
      </w:tr>
      <w:tr w:rsidR="00D13BC1" w:rsidTr="008467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13BC1" w:rsidRDefault="00D13BC1" w:rsidP="00846776">
            <w:pPr>
              <w:pStyle w:val="Heading3"/>
              <w:spacing w:before="240"/>
            </w:pPr>
          </w:p>
        </w:tc>
      </w:tr>
      <w:tr w:rsidR="00D13BC1" w:rsidTr="0084677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D13BC1" w:rsidRPr="00F57E13" w:rsidRDefault="00446D0A" w:rsidP="00D13BC1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 xml:space="preserve">  </w:t>
      </w:r>
      <w:r w:rsidR="00D13BC1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13BC1" w:rsidTr="0084677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13BC1" w:rsidRPr="00824D2D" w:rsidRDefault="002A3B24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13BC1" w:rsidRDefault="002F3916" w:rsidP="0084677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4309C">
              <w:rPr>
                <w:color w:val="000000"/>
                <w:szCs w:val="36"/>
              </w:rPr>
              <w:t>Е.П. Березин</w:t>
            </w:r>
          </w:p>
        </w:tc>
      </w:tr>
      <w:tr w:rsidR="00D13BC1" w:rsidTr="0084677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BC1" w:rsidRDefault="00D13BC1" w:rsidP="0084677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D13BC1" w:rsidRDefault="00D13BC1" w:rsidP="00D13BC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D13BC1" w:rsidRDefault="00D13BC1" w:rsidP="00446D0A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7943F7">
        <w:t>6</w:t>
      </w:r>
    </w:p>
    <w:p w:rsidR="0085359F" w:rsidRDefault="0085359F" w:rsidP="0085359F">
      <w:pPr>
        <w:spacing w:line="360" w:lineRule="auto"/>
        <w:jc w:val="both"/>
        <w:rPr>
          <w:sz w:val="28"/>
          <w:szCs w:val="28"/>
        </w:rPr>
      </w:pPr>
    </w:p>
    <w:p w:rsidR="002154BF" w:rsidRDefault="002154BF" w:rsidP="00D47829">
      <w:pPr>
        <w:keepNext/>
        <w:keepLines/>
        <w:spacing w:line="360" w:lineRule="auto"/>
        <w:ind w:firstLine="709"/>
        <w:contextualSpacing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Введение</w:t>
      </w:r>
    </w:p>
    <w:p w:rsidR="002154BF" w:rsidRDefault="002154BF" w:rsidP="00D47829">
      <w:pPr>
        <w:keepNext/>
        <w:keepLines/>
        <w:spacing w:line="360" w:lineRule="auto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2154BF">
        <w:rPr>
          <w:bCs/>
          <w:color w:val="000000"/>
          <w:sz w:val="28"/>
          <w:szCs w:val="28"/>
        </w:rPr>
        <w:t xml:space="preserve">Формирование законодательства Российской Федерации в области информационной безопасности берет свое начало в 1990-х годах. В советский период акцент делался исключительно на защите государственной тайны, но с процессами информатизации общества и появлением новых технологий возникла необходимость в создании полноценной правовой базы. Ответом на эти вызовы стала разработка </w:t>
      </w:r>
      <w:r>
        <w:rPr>
          <w:bCs/>
          <w:color w:val="000000"/>
          <w:sz w:val="28"/>
          <w:szCs w:val="28"/>
        </w:rPr>
        <w:t xml:space="preserve">таких </w:t>
      </w:r>
      <w:r w:rsidRPr="002154BF">
        <w:rPr>
          <w:bCs/>
          <w:color w:val="000000"/>
          <w:sz w:val="28"/>
          <w:szCs w:val="28"/>
        </w:rPr>
        <w:t>концептуальных документов стратегического уровня</w:t>
      </w:r>
      <w:r>
        <w:rPr>
          <w:bCs/>
          <w:color w:val="000000"/>
          <w:sz w:val="28"/>
          <w:szCs w:val="28"/>
        </w:rPr>
        <w:t>, как доктрины</w:t>
      </w:r>
      <w:r w:rsidRPr="002154BF">
        <w:rPr>
          <w:bCs/>
          <w:color w:val="000000"/>
          <w:sz w:val="28"/>
          <w:szCs w:val="28"/>
        </w:rPr>
        <w:t xml:space="preserve">. </w:t>
      </w:r>
    </w:p>
    <w:p w:rsidR="002154BF" w:rsidRPr="002154BF" w:rsidRDefault="002154BF" w:rsidP="00D47829">
      <w:pPr>
        <w:keepNext/>
        <w:keepLines/>
        <w:spacing w:line="360" w:lineRule="auto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2154BF">
        <w:rPr>
          <w:bCs/>
          <w:color w:val="000000"/>
          <w:sz w:val="28"/>
          <w:szCs w:val="28"/>
        </w:rPr>
        <w:t>Цель данной работы</w:t>
      </w:r>
      <w:r w:rsidR="00354FF0">
        <w:rPr>
          <w:bCs/>
          <w:color w:val="000000"/>
          <w:sz w:val="28"/>
          <w:szCs w:val="28"/>
        </w:rPr>
        <w:t xml:space="preserve"> –</w:t>
      </w:r>
      <w:r w:rsidRPr="002154BF">
        <w:rPr>
          <w:bCs/>
          <w:color w:val="000000"/>
          <w:sz w:val="28"/>
          <w:szCs w:val="28"/>
        </w:rPr>
        <w:t xml:space="preserve"> провести сравнительный анализ двух ключевых документов в этой сфере: Доктрины информационной безопасности РФ, утвержденной в 2000 году, и действующей Доктрины от 2016 года, чтобы проследить, как эволюционировали цели, интересы, угрозы и методы защиты за 16 лет.</w:t>
      </w:r>
    </w:p>
    <w:p w:rsidR="002154BF" w:rsidRPr="002154BF" w:rsidRDefault="002154BF" w:rsidP="00D47829">
      <w:pPr>
        <w:keepNext/>
        <w:keepLines/>
        <w:spacing w:line="360" w:lineRule="auto"/>
        <w:ind w:firstLine="709"/>
        <w:contextualSpacing/>
        <w:jc w:val="both"/>
        <w:rPr>
          <w:b/>
          <w:color w:val="000000"/>
          <w:sz w:val="28"/>
          <w:szCs w:val="28"/>
        </w:rPr>
      </w:pPr>
    </w:p>
    <w:p w:rsidR="002C4CCC" w:rsidRPr="00F4309C" w:rsidRDefault="002154BF" w:rsidP="00D47829">
      <w:pPr>
        <w:keepNext/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1. </w:t>
      </w:r>
      <w:r w:rsidR="00F4309C">
        <w:rPr>
          <w:b/>
          <w:color w:val="000000"/>
          <w:sz w:val="28"/>
          <w:szCs w:val="28"/>
        </w:rPr>
        <w:t>Назначение и цель доктрины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 xml:space="preserve">Доктрина 2000 года закрепляет систему официальных представлений о задачах, принципах и направлениях обеспечения информационной безопасности. Документ конкретизирует применительно к информационной сфере положения действовавшей </w:t>
      </w:r>
      <w:r w:rsidR="00F43B91">
        <w:rPr>
          <w:color w:val="000000"/>
          <w:sz w:val="28"/>
          <w:szCs w:val="28"/>
        </w:rPr>
        <w:t>к</w:t>
      </w:r>
      <w:r w:rsidRPr="00F4309C">
        <w:rPr>
          <w:color w:val="000000"/>
          <w:sz w:val="28"/>
          <w:szCs w:val="28"/>
        </w:rPr>
        <w:t>онцепции национальной безопасности</w:t>
      </w:r>
      <w:r w:rsidR="00F4309C">
        <w:rPr>
          <w:color w:val="000000"/>
          <w:sz w:val="28"/>
          <w:szCs w:val="28"/>
        </w:rPr>
        <w:t>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На Доктрину возлагались три основные функции: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задать ориентиры государственной политики в сфере информационной безопасности;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обосновать совершенствование правовых норм, методик, научно-технических решений и организационных механизмов;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служить основанием для подготовки целевых программ федерального и регионального уровня.</w:t>
      </w:r>
    </w:p>
    <w:p w:rsidR="002C4CCC" w:rsidRPr="002154BF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Итоговой целью выступала защищенность национальных интересов. Она достигалась через соблюдение информационных прав граждан, достоверное освещение государственной политики, развитие российской информационной индустрии и обеспечение безопасности ресурсов и систем.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lastRenderedPageBreak/>
        <w:t>Доктрина 2016 года определяет официальные взгляды на национальную безопасность в информационной сфере и имеет статус документа стратегического планирования. В ней установлены стратегические цели и направления работы с учетом национальных приоритетов.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Документ применяется при формировании государственной политики, развитии общественных отношений и совершенствовании системы информационной безопасности. Результатом ее функционирования должна быть защищенность личности, общества и государства, при которой сохраняются права граждан, суверенитет и территориальная целостность России, устойчивость экономики, оборона и безопасность страны.</w:t>
      </w:r>
    </w:p>
    <w:p w:rsidR="002C4CCC" w:rsidRDefault="00000000" w:rsidP="00F4309C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F4309C">
        <w:rPr>
          <w:color w:val="000000"/>
          <w:sz w:val="28"/>
          <w:szCs w:val="28"/>
        </w:rPr>
        <w:t>Версия 2000 года создавала общую политико-правовую основу и определяла, как должна строиться система защиты. Версия 2016 года рассматривает эту систему как часть стратегического управления национальной безопасностью в глобальной цифровой среде.</w:t>
      </w:r>
    </w:p>
    <w:p w:rsidR="00573720" w:rsidRPr="00F4309C" w:rsidRDefault="0057372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C4CCC" w:rsidRPr="00F4309C" w:rsidRDefault="002154BF" w:rsidP="00F4309C">
      <w:pPr>
        <w:keepNext/>
        <w:keepLines/>
        <w:spacing w:line="360" w:lineRule="auto"/>
        <w:ind w:firstLine="709"/>
        <w:contextualSpacing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 </w:t>
      </w:r>
      <w:r w:rsidR="00F4309C">
        <w:rPr>
          <w:b/>
          <w:color w:val="000000"/>
          <w:sz w:val="28"/>
          <w:szCs w:val="28"/>
        </w:rPr>
        <w:t>Чьи интересы прописаны в доктрине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В Доктрине 2000 года информационная безопасность основана на согласовании интересов личности, общества и государства</w:t>
      </w:r>
      <w:r w:rsidR="00F4309C">
        <w:rPr>
          <w:color w:val="000000"/>
          <w:sz w:val="28"/>
          <w:szCs w:val="28"/>
        </w:rPr>
        <w:t>.</w:t>
      </w:r>
      <w:r w:rsidRPr="00F4309C">
        <w:rPr>
          <w:color w:val="000000"/>
          <w:sz w:val="28"/>
          <w:szCs w:val="28"/>
        </w:rPr>
        <w:t xml:space="preserve"> Каждая группа интересов получает самостоятельное содержание.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Для личности важны доступ к информации и возможность законно использовать ее для развития и иной разрешенной деятельности. Одновременно требуется охрана частной жизни, переписки, семейной и личной тайны, чести, доброго имени и сведений, от которых зависит личная безопасность.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Общественные интересы связаны с реализацией прав человека, укреплением демократии и правового социального государства, сохранением согласия, нравственных ориентиров, культуры и научного потенциала России.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lastRenderedPageBreak/>
        <w:t>Государственные интересы включают развитие информационной инфраструктуры и создание условий для осуществления прав граждан. Эти задачи должны решаться без ущерба конституционному строю, суверенитету, территориальной целостности, стабильности, законности и правопорядку.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Национальные интересы дополнительно раскрыты через четыре блока: информационные права и духовные ценности; официальное информирование общества; отечественные информационные технологии, телекоммуникации и связь; безопасность ресурсов и информационно-телекоммуникационных систем.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Новая Доктрина также исходит из потребностей личности, общества и государства в защищенности и устойчивом развитии. Однако перечень национальных интересов организован по пяти направлениям: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информационных прав, охрана частной жизни, поддержка институтов демократии и сохранение культурных и духовно-нравственных ценностей;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надежная работа информационной инфраструктуры, включая критическую информационную инфраструктуру и единую сеть электросвязи;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развитие российской ИТ-отрасли, электронной промышленности, науки, производства средств защиты и профильных услуг;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предоставление российской и зарубежной аудитории достоверных сведений о государственной политике и официальной позиции страны;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участие в создании международной системы информационной безопасности и защита государственного суверенитета в информационном пространстве.</w:t>
      </w:r>
    </w:p>
    <w:p w:rsidR="002C4CCC" w:rsidRPr="002154BF" w:rsidRDefault="00000000" w:rsidP="00F4309C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F4309C">
        <w:rPr>
          <w:color w:val="000000"/>
          <w:sz w:val="28"/>
          <w:szCs w:val="28"/>
        </w:rPr>
        <w:t>Состав субъектов не изменился: обе Доктрины защищают личность, общество и государство. В 2016 году интересы конкретизированы применительно к критической инфраструктуре, технологической самостоятельности и международной безопасности.</w:t>
      </w:r>
    </w:p>
    <w:p w:rsidR="00F4309C" w:rsidRPr="002154BF" w:rsidRDefault="00F4309C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C4CCC" w:rsidRPr="00F4309C" w:rsidRDefault="002154BF" w:rsidP="002154BF">
      <w:pPr>
        <w:keepNext/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3. </w:t>
      </w:r>
      <w:r w:rsidR="00F4309C">
        <w:rPr>
          <w:b/>
          <w:color w:val="000000"/>
          <w:sz w:val="28"/>
          <w:szCs w:val="28"/>
        </w:rPr>
        <w:t>Угрозы информационной безопасности для Российской Федерации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Доктрина 2000 года группирует угрозы двумя способами. Первый отражает объект ущерба: права человека, информационное обеспечение политики, отечественная информационная индустрия либо ресурсы и системы. Второй способ разделяет источники на внешние и внутренние</w:t>
      </w:r>
      <w:r w:rsidR="00F4309C">
        <w:rPr>
          <w:color w:val="000000"/>
          <w:sz w:val="28"/>
          <w:szCs w:val="28"/>
        </w:rPr>
        <w:t>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Внешняя группа охватывает: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действия зарубежных политических, военных, экономических, разведывательных и информационных структур, направленные против российских интересов;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попытки занять доминирующее положение в мировом информационном пространстве и ограничить присутствие России на информационных рынках;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конкуренцию за технологии и информационные ресурсы, сопровождаемую увеличением технологического разрыва;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международный терроризм и применение иностранными государствами технических средств разведки;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концепций информационной войны и инструментов нарушения работы систем, хищения либо повреждения ресурсов.</w:t>
      </w:r>
    </w:p>
    <w:p w:rsidR="002C4CCC" w:rsidRPr="00F4309C" w:rsidRDefault="00000000" w:rsidP="00D47829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Внутренняя группа включает: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слабость отдельных отраслей российской промышленности и отставание в сфере технологий;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рост преступности в информационной сфере и получение криминальными структурами доступа к закрытым сведениям;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несогласованность действий органов власти, пробелы нормативного регулирования и недостатки правоприменения;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нехватку финансирования и подготовленных специалистов, ослабление системы образования и профессиональной подготовки;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недостаточную открытость государственных ресурсов и слабое развитие механизмов взаимодействия власти и гражданского общества.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lastRenderedPageBreak/>
        <w:t>Практические формы реализации угроз охватывают ограничение законного доступа к сведениям, распространение дезинформации, воздействие на общественное сознание, нарушение частной жизни, утечки по техническим каналам, вредоносные программы, перехват и подмену данных, повреждение систем и несанкционированный доступ к базам.</w:t>
      </w:r>
    </w:p>
    <w:p w:rsidR="002C4CCC" w:rsidRDefault="00000000" w:rsidP="00F4309C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F4309C">
        <w:rPr>
          <w:color w:val="000000"/>
          <w:sz w:val="28"/>
          <w:szCs w:val="28"/>
        </w:rPr>
        <w:t>Доктрина 2016 года описывает не столько формальный перечень источников, сколько тенденции, действия и факторы, наносящие ущерб национальным интересам. Оценка проводится применительно к обороне, общественной и государственной безопасности, экономике, науке и международной стабильности</w:t>
      </w:r>
      <w:r w:rsidR="00F4309C">
        <w:rPr>
          <w:color w:val="000000"/>
          <w:sz w:val="28"/>
          <w:szCs w:val="28"/>
        </w:rPr>
        <w:t>.</w:t>
      </w:r>
    </w:p>
    <w:p w:rsidR="006437BF" w:rsidRPr="00F4309C" w:rsidRDefault="006437BF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Угрозы информационной безопасности, в соответствии с Доктриной 2016 года: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расширение возможностей иностранных государств по информационно-техническому воздействию на российскую инфраструктуру и ведению технической разведки;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информационно-психологических методов для вмешательства во внутренние процессы, дестабилизации общества и ослабления суверенитета;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сетевых технологий террористическими и экстремистскими организациями для агитации, вербовки и провоцирования конфликтов;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увеличение компьютерной преступности, включая посягательства на финансовые организации, частную жизнь и иные конституционные права;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рост количества и технической сложности атак на критическую </w:t>
      </w:r>
      <w:r w:rsidR="002A3B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информационную </w:t>
      </w: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инфраструктуру, государственные информационные системы и организации;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зависимость от зарубежных технологий и электронной компонентной базы при недостаточной конкурентоспособности отечественных решений;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ограничение работы российских СМИ за рубежом и искаженное представление официальной позиции России иностранной аудитории;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недостаточную результативность исследований и внедрения разработок, нехватку кадров и слабое взаимодействие участников системы безопасности;</w:t>
      </w:r>
    </w:p>
    <w:p w:rsidR="002C4CCC" w:rsidRPr="002A3B24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информационных технологий в военно-политических целях при недостаточной разработанности международных правил предотвращения конфликтов.</w:t>
      </w:r>
    </w:p>
    <w:p w:rsidR="002A3B24" w:rsidRDefault="002A3B24" w:rsidP="002A3B2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 «Критическая информационная инфраструктура» появляется на доктринальном уровне именно в Доктрине 2016 года, где и становится центральным объектом защиты. Однако само понятие КИИ определено 187-ФЗ «О безопасности критической информационной инфраструктуры Российской Федерации».</w:t>
      </w:r>
    </w:p>
    <w:p w:rsidR="00354690" w:rsidRPr="00354690" w:rsidRDefault="002A3B24" w:rsidP="00354690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КИИ – это и</w:t>
      </w:r>
      <w:r w:rsidRPr="002A3B24">
        <w:rPr>
          <w:rFonts w:ascii="Times New Roman" w:hAnsi="Times New Roman" w:cs="Times New Roman"/>
          <w:sz w:val="28"/>
          <w:szCs w:val="28"/>
        </w:rPr>
        <w:t>нформационные системы, сети и базы данных, нарушение работы которых угрожает безопасности государства, экономике или гражданам.</w:t>
      </w:r>
      <w:r w:rsidR="00354690">
        <w:rPr>
          <w:rFonts w:ascii="Times New Roman" w:hAnsi="Times New Roman" w:cs="Times New Roman"/>
          <w:sz w:val="28"/>
          <w:szCs w:val="28"/>
        </w:rPr>
        <w:t xml:space="preserve"> </w:t>
      </w:r>
      <w:r w:rsidR="00354690" w:rsidRPr="00354690">
        <w:rPr>
          <w:rFonts w:ascii="Times New Roman" w:hAnsi="Times New Roman" w:cs="Times New Roman"/>
          <w:sz w:val="28"/>
          <w:szCs w:val="28"/>
        </w:rPr>
        <w:t>Фактически, к КИИ относятся системы и сети, функционирующие в стратегически важных отраслях. В первую очередь это: здравоохранение, наука, транспорт, связь, энергетика, банковская и финансовая сфера, а также оборонная, топливная и атомная промышленность.</w:t>
      </w:r>
    </w:p>
    <w:p w:rsidR="002A3B24" w:rsidRPr="00F4309C" w:rsidRDefault="00354690" w:rsidP="00354690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690">
        <w:rPr>
          <w:rFonts w:ascii="Times New Roman" w:hAnsi="Times New Roman" w:cs="Times New Roman"/>
          <w:sz w:val="28"/>
          <w:szCs w:val="28"/>
        </w:rPr>
        <w:t xml:space="preserve">Для защиты этих объектов ФЗ-187 обязал владельцев проводить их категорирование (оценку значимости) и закрепил работу </w:t>
      </w:r>
      <w:proofErr w:type="spellStart"/>
      <w:r w:rsidRPr="00354690">
        <w:rPr>
          <w:rFonts w:ascii="Times New Roman" w:hAnsi="Times New Roman" w:cs="Times New Roman"/>
          <w:sz w:val="28"/>
          <w:szCs w:val="28"/>
        </w:rPr>
        <w:t>ГосСОПКА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54690">
        <w:rPr>
          <w:rFonts w:ascii="Times New Roman" w:hAnsi="Times New Roman" w:cs="Times New Roman"/>
          <w:sz w:val="28"/>
          <w:szCs w:val="28"/>
        </w:rPr>
        <w:t xml:space="preserve"> государственной системы обнаружения, предупреждения и ликвидации последствий компьютерных атак. Это кардинально отличает новый подход от Доктрины 2000 года: если раньше защищали в основном секретную информацию от утечек, то теперь приоритетом стало обеспечение бесперебойной работы инфраструктуры, от которой зависит жизнеобеспечение страны.</w:t>
      </w:r>
    </w:p>
    <w:p w:rsidR="002C4CCC" w:rsidRDefault="00000000" w:rsidP="002A3B24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F4309C">
        <w:rPr>
          <w:color w:val="000000"/>
          <w:sz w:val="28"/>
          <w:szCs w:val="28"/>
        </w:rPr>
        <w:lastRenderedPageBreak/>
        <w:t>В 2000 году классификация строится вокруг объектов защиты и происхождения угроз. В 2016 году основное значение имеют масштабы последствий для стратегических сфер. Отдельно выделяются компьютерные атаки, критическая инфраструктура, психологическое воздействие и технологическая зависимость.</w:t>
      </w:r>
    </w:p>
    <w:p w:rsidR="00F4309C" w:rsidRPr="00F4309C" w:rsidRDefault="00F4309C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C4CCC" w:rsidRPr="00F4309C" w:rsidRDefault="002154BF" w:rsidP="00F4309C">
      <w:pPr>
        <w:keepNext/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 </w:t>
      </w:r>
      <w:r w:rsidR="00F4309C">
        <w:rPr>
          <w:b/>
          <w:color w:val="000000"/>
          <w:sz w:val="28"/>
          <w:szCs w:val="28"/>
        </w:rPr>
        <w:t>Методы и средства борьбы с угрозами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Документ 2000 года объединяет общие методы обеспечения информационной безопасности в три группы</w:t>
      </w:r>
      <w:r w:rsidR="00F4309C">
        <w:rPr>
          <w:color w:val="000000"/>
          <w:sz w:val="28"/>
          <w:szCs w:val="28"/>
        </w:rPr>
        <w:t>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Правовая группа охватывает принятие нормативных актов и методических документов, установление ответственности, обеспечение прав граждан и упорядочение отношений, возникающих при создании и использовании информации.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К организационно-технической группе относятся развитие системы информационной безопасности, лицензирование и сертификация, государственный контроль, защита ресурсов, мониторинг, повышение устойчивости систем, производство российских средств защиты и подготовка работников.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Экономическая группа включает планирование и финансирование программ, материальное обеспечение правовых и организационно-технических мероприятий, а также формирование механизмов страхования информационных рисков.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В редакции 2016 года перечень способов расширен. Обеспечение информационной безопасности включает правовые, организационные, оперативно-разыскные, разведывательные, контрразведывательные, научно-технические, аналитические, кадровые и экономические меры. Их применяют для прогнозирования, выявления, сдерживания и отражения угроз, устранения причиненного ущерба</w:t>
      </w:r>
      <w:r w:rsidR="00F4309C">
        <w:rPr>
          <w:color w:val="000000"/>
          <w:sz w:val="28"/>
          <w:szCs w:val="28"/>
        </w:rPr>
        <w:t>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Приоритетными направлениями выступают: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предупреждение военных конфликтов, стратегическое сдерживание и совершенствование защиты Вооруженных Сил и союзников России;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постоянная оценка обстановки, раннее обнаружение угроз, предотвращение компьютерных атак и восстановление после инцидентов;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защищенности критической инфраструктуры, систем связи и государственных информационных ресурсов;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пресечение противоправного информационно-психологического воздействия, террористической и экстремистской деятельности, борьба с компьютерными преступлениями;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отечественной электронной промышленности и средств защиты, сокращение критической зависимости от иностранных решений;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развитие научной базы, практическое внедрение результатов исследований и подготовка квалифицированных кадров;</w:t>
      </w:r>
    </w:p>
    <w:p w:rsidR="002C4CCC" w:rsidRPr="00F4309C" w:rsidRDefault="00000000" w:rsidP="00D47829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09C">
        <w:rPr>
          <w:rFonts w:ascii="Times New Roman" w:eastAsia="Times New Roman" w:hAnsi="Times New Roman" w:cs="Times New Roman"/>
          <w:color w:val="000000"/>
          <w:sz w:val="28"/>
          <w:szCs w:val="28"/>
        </w:rPr>
        <w:t>координация государственных органов и организаций, проведение учений, мониторинг реализации Доктрины и международное сотрудничество.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В качестве средств Доктрина называет правовые, организационные, технические и иные инструменты, которыми пользуются уполномоченные органы власти, местного самоуправления и организации.</w:t>
      </w:r>
    </w:p>
    <w:p w:rsidR="002C4CCC" w:rsidRPr="002154BF" w:rsidRDefault="00000000" w:rsidP="00F4309C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F4309C">
        <w:rPr>
          <w:color w:val="000000"/>
          <w:sz w:val="28"/>
          <w:szCs w:val="28"/>
        </w:rPr>
        <w:t>Модель 2000 года содержит три укрупненные группы методов. В 2016 году к ним прямо добавлены оперативная, разведывательная, научно-техническая, аналитическая и кадровая составляющие. Общим остается комплексный характер защиты, сочетающий нормы права, управление, технологии, финансирование и подготовку специалистов.</w:t>
      </w:r>
    </w:p>
    <w:p w:rsidR="00F4309C" w:rsidRPr="002154BF" w:rsidRDefault="00F4309C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C4CCC" w:rsidRPr="00F4309C" w:rsidRDefault="00000000" w:rsidP="00F4309C">
      <w:pPr>
        <w:keepNext/>
        <w:keepLines/>
        <w:spacing w:line="360" w:lineRule="auto"/>
        <w:ind w:firstLine="709"/>
        <w:contextualSpacing/>
        <w:rPr>
          <w:sz w:val="28"/>
          <w:szCs w:val="28"/>
        </w:rPr>
      </w:pPr>
      <w:r w:rsidRPr="00F4309C">
        <w:rPr>
          <w:b/>
          <w:color w:val="000000"/>
          <w:sz w:val="28"/>
          <w:szCs w:val="28"/>
        </w:rPr>
        <w:lastRenderedPageBreak/>
        <w:t>5 Сводные результаты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600"/>
        <w:gridCol w:w="3600"/>
      </w:tblGrid>
      <w:tr w:rsidR="002C4CCC" w:rsidRPr="00F4309C">
        <w:trPr>
          <w:cantSplit/>
          <w:tblHeader/>
          <w:jc w:val="center"/>
        </w:trPr>
        <w:tc>
          <w:tcPr>
            <w:tcW w:w="3118" w:type="dxa"/>
            <w:shd w:val="clear" w:color="auto" w:fill="4F4F4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FFFFFF"/>
                <w:sz w:val="28"/>
                <w:szCs w:val="28"/>
              </w:rPr>
              <w:t>Критерий</w:t>
            </w:r>
          </w:p>
        </w:tc>
        <w:tc>
          <w:tcPr>
            <w:tcW w:w="3118" w:type="dxa"/>
            <w:shd w:val="clear" w:color="auto" w:fill="4F4F4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FFFFFF"/>
                <w:sz w:val="28"/>
                <w:szCs w:val="28"/>
              </w:rPr>
              <w:t>Редакция 2000 года</w:t>
            </w:r>
          </w:p>
        </w:tc>
        <w:tc>
          <w:tcPr>
            <w:tcW w:w="3118" w:type="dxa"/>
            <w:shd w:val="clear" w:color="auto" w:fill="4F4F4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FFFFFF"/>
                <w:sz w:val="28"/>
                <w:szCs w:val="28"/>
              </w:rPr>
              <w:t>Редакция 2016 года</w:t>
            </w:r>
          </w:p>
        </w:tc>
      </w:tr>
      <w:tr w:rsidR="002C4CCC" w:rsidRPr="00F4309C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000000"/>
                <w:sz w:val="28"/>
                <w:szCs w:val="28"/>
              </w:rPr>
              <w:t>Целевая роль</w:t>
            </w:r>
          </w:p>
        </w:tc>
        <w:tc>
          <w:tcPr>
            <w:tcW w:w="360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Основа политики, регулирования и программ обеспечения ИБ.</w:t>
            </w:r>
          </w:p>
        </w:tc>
        <w:tc>
          <w:tcPr>
            <w:tcW w:w="360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Стратегическое управление национальной безопасностью в информационной сфере.</w:t>
            </w:r>
          </w:p>
        </w:tc>
      </w:tr>
      <w:tr w:rsidR="002C4CCC" w:rsidRPr="00F4309C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000000"/>
                <w:sz w:val="28"/>
                <w:szCs w:val="28"/>
              </w:rPr>
              <w:t>Интересы</w:t>
            </w:r>
          </w:p>
        </w:tc>
        <w:tc>
          <w:tcPr>
            <w:tcW w:w="3600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Права личности, общественное согласие, государственная устойчивость, технологии и ресурсы.</w:t>
            </w:r>
          </w:p>
        </w:tc>
        <w:tc>
          <w:tcPr>
            <w:tcW w:w="3600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Права и устойчивое развитие; КИИ, отечественные технологии, суверенитет и международная ИБ.</w:t>
            </w:r>
          </w:p>
        </w:tc>
      </w:tr>
      <w:tr w:rsidR="002C4CCC" w:rsidRPr="00F4309C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000000"/>
                <w:sz w:val="28"/>
                <w:szCs w:val="28"/>
              </w:rPr>
              <w:t>Модель угроз</w:t>
            </w:r>
          </w:p>
        </w:tc>
        <w:tc>
          <w:tcPr>
            <w:tcW w:w="360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Угрозы четырем блокам интересов; внешние и внутренние источники.</w:t>
            </w:r>
          </w:p>
        </w:tc>
        <w:tc>
          <w:tcPr>
            <w:tcW w:w="360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Последствия для стратегических сфер, инфраструктуры, общества и технологической независимости.</w:t>
            </w:r>
          </w:p>
        </w:tc>
      </w:tr>
      <w:tr w:rsidR="002C4CCC" w:rsidRPr="00F4309C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>
            <w:pPr>
              <w:jc w:val="center"/>
              <w:rPr>
                <w:sz w:val="28"/>
                <w:szCs w:val="28"/>
              </w:rPr>
            </w:pPr>
            <w:r w:rsidRPr="00F4309C">
              <w:rPr>
                <w:b/>
                <w:color w:val="000000"/>
                <w:sz w:val="28"/>
                <w:szCs w:val="28"/>
              </w:rPr>
              <w:t>Противодействие</w:t>
            </w:r>
          </w:p>
        </w:tc>
        <w:tc>
          <w:tcPr>
            <w:tcW w:w="3600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Правовые, организационно-технические и экономические методы.</w:t>
            </w:r>
          </w:p>
        </w:tc>
        <w:tc>
          <w:tcPr>
            <w:tcW w:w="3600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2C4CCC" w:rsidRPr="00F4309C" w:rsidRDefault="00000000" w:rsidP="00D47829">
            <w:pPr>
              <w:jc w:val="both"/>
              <w:rPr>
                <w:sz w:val="28"/>
                <w:szCs w:val="28"/>
              </w:rPr>
            </w:pPr>
            <w:r w:rsidRPr="00F4309C">
              <w:rPr>
                <w:color w:val="000000"/>
                <w:sz w:val="28"/>
                <w:szCs w:val="28"/>
              </w:rPr>
              <w:t>Расширенный комплекс правовых, организационных, оперативных, технических, кадровых и экономических мер.</w:t>
            </w:r>
          </w:p>
        </w:tc>
      </w:tr>
    </w:tbl>
    <w:p w:rsidR="00F4309C" w:rsidRDefault="00F4309C" w:rsidP="00F4309C">
      <w:pPr>
        <w:keepNext/>
        <w:keepLines/>
        <w:spacing w:line="360" w:lineRule="auto"/>
        <w:ind w:firstLine="709"/>
        <w:contextualSpacing/>
        <w:rPr>
          <w:b/>
          <w:color w:val="000000"/>
          <w:sz w:val="28"/>
          <w:szCs w:val="28"/>
        </w:rPr>
      </w:pPr>
    </w:p>
    <w:p w:rsidR="002C4CCC" w:rsidRPr="00D47829" w:rsidRDefault="00000000" w:rsidP="00F4309C">
      <w:pPr>
        <w:keepNext/>
        <w:keepLines/>
        <w:spacing w:line="360" w:lineRule="auto"/>
        <w:ind w:firstLine="709"/>
        <w:contextualSpacing/>
        <w:rPr>
          <w:sz w:val="28"/>
          <w:szCs w:val="28"/>
        </w:rPr>
      </w:pPr>
      <w:r w:rsidRPr="00F4309C">
        <w:rPr>
          <w:b/>
          <w:color w:val="000000"/>
          <w:sz w:val="28"/>
          <w:szCs w:val="28"/>
        </w:rPr>
        <w:t>Вывод</w:t>
      </w:r>
      <w:r w:rsidR="00F4309C">
        <w:rPr>
          <w:b/>
          <w:color w:val="000000"/>
          <w:sz w:val="28"/>
          <w:szCs w:val="28"/>
        </w:rPr>
        <w:t>ы</w:t>
      </w:r>
    </w:p>
    <w:p w:rsidR="002C4CCC" w:rsidRPr="00F4309C" w:rsidRDefault="00000000" w:rsidP="00F4309C">
      <w:pPr>
        <w:keepLines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4309C">
        <w:rPr>
          <w:color w:val="000000"/>
          <w:sz w:val="28"/>
          <w:szCs w:val="28"/>
        </w:rPr>
        <w:t>Доктрина 2000 года сформировала исходную модель информационной безопасности России: определила баланс интересов, классифицировала угрозы и установила базовые группы методов защиты. Доктрина 2016 года использует тот же круг защищаемых субъектов, но оценивает информационную сферу как самостоятельное пространство национальной безопасности.</w:t>
      </w:r>
    </w:p>
    <w:p w:rsidR="00007C50" w:rsidRDefault="00000000" w:rsidP="00896A16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F4309C">
        <w:rPr>
          <w:color w:val="000000"/>
          <w:sz w:val="28"/>
          <w:szCs w:val="28"/>
        </w:rPr>
        <w:lastRenderedPageBreak/>
        <w:t>Основное изменение состоит в переходе от преимущественной защиты прав, информации и отдельных систем к обеспечению устойчивости инфраструктуры и государственных процессов. Поэтому в новой Доктрине заметнее роль противодействия компьютерным атакам, информационно-психологическим операциям и зависимости от иностранных технологий.</w:t>
      </w:r>
    </w:p>
    <w:p w:rsidR="00007C50" w:rsidRDefault="00007C50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2C4CCC" w:rsidRDefault="00007C50" w:rsidP="00007C50">
      <w:pPr>
        <w:keepLines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Список использованных источников</w:t>
      </w:r>
    </w:p>
    <w:p w:rsidR="00007C50" w:rsidRPr="00007C50" w:rsidRDefault="00007C50" w:rsidP="00007C50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007C50">
        <w:rPr>
          <w:color w:val="000000"/>
          <w:sz w:val="28"/>
          <w:szCs w:val="28"/>
        </w:rPr>
        <w:t xml:space="preserve">Доктрина информационной безопасности Российской Федерации: утв. Президентом Российской Федерации 9 сентября 2000 г. № Пр-1895 (утратила силу) [Электронный ресурс] // </w:t>
      </w:r>
      <w:proofErr w:type="spellStart"/>
      <w:r w:rsidRPr="00007C50">
        <w:rPr>
          <w:color w:val="000000"/>
          <w:sz w:val="28"/>
          <w:szCs w:val="28"/>
        </w:rPr>
        <w:t>Контур.Норматив</w:t>
      </w:r>
      <w:proofErr w:type="spellEnd"/>
      <w:r w:rsidRPr="00007C50">
        <w:rPr>
          <w:color w:val="000000"/>
          <w:sz w:val="28"/>
          <w:szCs w:val="28"/>
        </w:rPr>
        <w:t xml:space="preserve">. URL: </w:t>
      </w:r>
      <w:hyperlink r:id="rId7" w:history="1">
        <w:r w:rsidR="008B19A8" w:rsidRPr="005A4139">
          <w:rPr>
            <w:rStyle w:val="Hyperlink"/>
            <w:sz w:val="28"/>
            <w:szCs w:val="28"/>
          </w:rPr>
          <w:t>https://www</w:t>
        </w:r>
        <w:r w:rsidR="008B19A8" w:rsidRPr="005A4139">
          <w:rPr>
            <w:rStyle w:val="Hyperlink"/>
            <w:sz w:val="28"/>
            <w:szCs w:val="28"/>
          </w:rPr>
          <w:t>.</w:t>
        </w:r>
        <w:r w:rsidR="008B19A8" w:rsidRPr="005A4139">
          <w:rPr>
            <w:rStyle w:val="Hyperlink"/>
            <w:sz w:val="28"/>
            <w:szCs w:val="28"/>
          </w:rPr>
          <w:t>kontur-extern.ru/info/normativ/document/1/40613-doktrina-informatsionnoy-bezopasnosti-rossiyskoy-federatsii</w:t>
        </w:r>
      </w:hyperlink>
      <w:r w:rsidR="008B19A8">
        <w:rPr>
          <w:color w:val="000000"/>
          <w:sz w:val="28"/>
          <w:szCs w:val="28"/>
        </w:rPr>
        <w:t xml:space="preserve"> </w:t>
      </w:r>
      <w:r w:rsidRPr="00007C50">
        <w:rPr>
          <w:color w:val="000000"/>
          <w:sz w:val="28"/>
          <w:szCs w:val="28"/>
        </w:rPr>
        <w:t>(дата обращения: 1</w:t>
      </w:r>
      <w:r>
        <w:rPr>
          <w:color w:val="000000"/>
          <w:sz w:val="28"/>
          <w:szCs w:val="28"/>
        </w:rPr>
        <w:t>6</w:t>
      </w:r>
      <w:r w:rsidRPr="00007C50">
        <w:rPr>
          <w:color w:val="000000"/>
          <w:sz w:val="28"/>
          <w:szCs w:val="28"/>
        </w:rPr>
        <w:t>.09.2026).</w:t>
      </w:r>
    </w:p>
    <w:p w:rsidR="00007C50" w:rsidRDefault="00007C50" w:rsidP="00007C50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007C50">
        <w:rPr>
          <w:color w:val="000000"/>
          <w:sz w:val="28"/>
          <w:szCs w:val="28"/>
        </w:rPr>
        <w:t xml:space="preserve">Доктрина информационной безопасности Российской Федерации: утв. Указом Президента Российской Федерации от 5 декабря 2016 г. № 646 [Электронный ресурс] // Президент России: официальный сайт. URL: </w:t>
      </w:r>
      <w:hyperlink r:id="rId8" w:history="1">
        <w:r w:rsidR="008B19A8" w:rsidRPr="005A4139">
          <w:rPr>
            <w:rStyle w:val="Hyperlink"/>
            <w:sz w:val="28"/>
            <w:szCs w:val="28"/>
          </w:rPr>
          <w:t>http://static.kremlin.ru/media/acts/files/0001201612060002.pdf</w:t>
        </w:r>
      </w:hyperlink>
      <w:r w:rsidR="008B19A8">
        <w:rPr>
          <w:color w:val="000000"/>
          <w:sz w:val="28"/>
          <w:szCs w:val="28"/>
        </w:rPr>
        <w:t xml:space="preserve"> </w:t>
      </w:r>
      <w:r w:rsidRPr="00007C50">
        <w:rPr>
          <w:color w:val="000000"/>
          <w:sz w:val="28"/>
          <w:szCs w:val="28"/>
        </w:rPr>
        <w:t>(дата обращения: 1</w:t>
      </w:r>
      <w:r>
        <w:rPr>
          <w:color w:val="000000"/>
          <w:sz w:val="28"/>
          <w:szCs w:val="28"/>
        </w:rPr>
        <w:t>6</w:t>
      </w:r>
      <w:r w:rsidRPr="00007C50">
        <w:rPr>
          <w:color w:val="000000"/>
          <w:sz w:val="28"/>
          <w:szCs w:val="28"/>
        </w:rPr>
        <w:t>.09.2026).</w:t>
      </w:r>
    </w:p>
    <w:p w:rsidR="00411317" w:rsidRPr="00007C50" w:rsidRDefault="00411317" w:rsidP="00007C50">
      <w:pPr>
        <w:keepLines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411317">
        <w:rPr>
          <w:color w:val="000000"/>
          <w:sz w:val="28"/>
          <w:szCs w:val="28"/>
        </w:rPr>
        <w:t xml:space="preserve">О безопасности критической информационной инфраструктуры Российской Федерации: Федеральный закон от 26 июля 2017 г. № 187-ФЗ [Электронный ресурс] // Официальный интернет-портал правовой информации. URL: </w:t>
      </w:r>
      <w:hyperlink r:id="rId9" w:history="1">
        <w:r w:rsidR="008B19A8" w:rsidRPr="005A4139">
          <w:rPr>
            <w:rStyle w:val="Hyperlink"/>
            <w:sz w:val="28"/>
            <w:szCs w:val="28"/>
          </w:rPr>
          <w:t>http://pravo.gov.ru/proxy/ips/?docbody=&amp;nd=102439340</w:t>
        </w:r>
      </w:hyperlink>
      <w:r w:rsidR="008B19A8">
        <w:rPr>
          <w:color w:val="000000"/>
          <w:sz w:val="28"/>
          <w:szCs w:val="28"/>
        </w:rPr>
        <w:t xml:space="preserve"> </w:t>
      </w:r>
      <w:r w:rsidRPr="00411317">
        <w:rPr>
          <w:color w:val="000000"/>
          <w:sz w:val="28"/>
          <w:szCs w:val="28"/>
        </w:rPr>
        <w:t>(дата обращения: 1</w:t>
      </w:r>
      <w:r>
        <w:rPr>
          <w:color w:val="000000"/>
          <w:sz w:val="28"/>
          <w:szCs w:val="28"/>
        </w:rPr>
        <w:t>6</w:t>
      </w:r>
      <w:r w:rsidRPr="00411317">
        <w:rPr>
          <w:color w:val="000000"/>
          <w:sz w:val="28"/>
          <w:szCs w:val="28"/>
        </w:rPr>
        <w:t>.09.2026).</w:t>
      </w:r>
    </w:p>
    <w:sectPr w:rsidR="00411317" w:rsidRPr="00007C50" w:rsidSect="00F4309C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684C" w:rsidRDefault="005E684C" w:rsidP="00F4309C">
      <w:r>
        <w:separator/>
      </w:r>
    </w:p>
  </w:endnote>
  <w:endnote w:type="continuationSeparator" w:id="0">
    <w:p w:rsidR="005E684C" w:rsidRDefault="005E684C" w:rsidP="00F4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61467710"/>
      <w:docPartObj>
        <w:docPartGallery w:val="Page Numbers (Bottom of Page)"/>
        <w:docPartUnique/>
      </w:docPartObj>
    </w:sdtPr>
    <w:sdtContent>
      <w:p w:rsidR="00F4309C" w:rsidRDefault="00F4309C" w:rsidP="00356BC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4309C" w:rsidRDefault="00F43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8"/>
        <w:szCs w:val="28"/>
      </w:rPr>
      <w:id w:val="-1903370480"/>
      <w:docPartObj>
        <w:docPartGallery w:val="Page Numbers (Bottom of Page)"/>
        <w:docPartUnique/>
      </w:docPartObj>
    </w:sdtPr>
    <w:sdtContent>
      <w:p w:rsidR="00F4309C" w:rsidRPr="00F4309C" w:rsidRDefault="00F4309C" w:rsidP="00F4309C">
        <w:pPr>
          <w:pStyle w:val="Footer"/>
          <w:framePr w:wrap="none" w:vAnchor="text" w:hAnchor="margin" w:xAlign="center" w:y="1"/>
          <w:jc w:val="center"/>
          <w:rPr>
            <w:rStyle w:val="PageNumber"/>
            <w:sz w:val="28"/>
            <w:szCs w:val="28"/>
          </w:rPr>
        </w:pPr>
        <w:r w:rsidRPr="00F4309C">
          <w:rPr>
            <w:rStyle w:val="PageNumber"/>
            <w:sz w:val="28"/>
            <w:szCs w:val="28"/>
          </w:rPr>
          <w:fldChar w:fldCharType="begin"/>
        </w:r>
        <w:r w:rsidRPr="00F4309C">
          <w:rPr>
            <w:rStyle w:val="PageNumber"/>
            <w:sz w:val="28"/>
            <w:szCs w:val="28"/>
          </w:rPr>
          <w:instrText xml:space="preserve"> PAGE </w:instrText>
        </w:r>
        <w:r w:rsidRPr="00F4309C">
          <w:rPr>
            <w:rStyle w:val="PageNumber"/>
            <w:sz w:val="28"/>
            <w:szCs w:val="28"/>
          </w:rPr>
          <w:fldChar w:fldCharType="separate"/>
        </w:r>
        <w:r w:rsidRPr="00F4309C">
          <w:rPr>
            <w:rStyle w:val="PageNumber"/>
            <w:noProof/>
            <w:sz w:val="28"/>
            <w:szCs w:val="28"/>
          </w:rPr>
          <w:t>2</w:t>
        </w:r>
        <w:r w:rsidRPr="00F4309C">
          <w:rPr>
            <w:rStyle w:val="PageNumber"/>
            <w:sz w:val="28"/>
            <w:szCs w:val="28"/>
          </w:rPr>
          <w:fldChar w:fldCharType="end"/>
        </w:r>
      </w:p>
    </w:sdtContent>
  </w:sdt>
  <w:p w:rsidR="00F4309C" w:rsidRPr="00F4309C" w:rsidRDefault="00F4309C" w:rsidP="00F4309C">
    <w:pPr>
      <w:pStyle w:val="Footer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684C" w:rsidRDefault="005E684C" w:rsidP="00F4309C">
      <w:r>
        <w:separator/>
      </w:r>
    </w:p>
  </w:footnote>
  <w:footnote w:type="continuationSeparator" w:id="0">
    <w:p w:rsidR="005E684C" w:rsidRDefault="005E684C" w:rsidP="00F43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1AB"/>
    <w:multiLevelType w:val="multilevel"/>
    <w:tmpl w:val="01C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B24"/>
    <w:multiLevelType w:val="multilevel"/>
    <w:tmpl w:val="A17CAF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8455FC"/>
    <w:multiLevelType w:val="hybridMultilevel"/>
    <w:tmpl w:val="EAF4219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C32FB2"/>
    <w:multiLevelType w:val="multilevel"/>
    <w:tmpl w:val="11C8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D2998"/>
    <w:multiLevelType w:val="hybridMultilevel"/>
    <w:tmpl w:val="F0DA71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476ACD"/>
    <w:multiLevelType w:val="hybridMultilevel"/>
    <w:tmpl w:val="E7486B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55C1045"/>
    <w:multiLevelType w:val="multilevel"/>
    <w:tmpl w:val="C91CB3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152A0"/>
    <w:multiLevelType w:val="multilevel"/>
    <w:tmpl w:val="35CC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A48B1"/>
    <w:multiLevelType w:val="multilevel"/>
    <w:tmpl w:val="DA64D7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9" w15:restartNumberingAfterBreak="0">
    <w:nsid w:val="2B4E7842"/>
    <w:multiLevelType w:val="multilevel"/>
    <w:tmpl w:val="3AE0F7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F74A6"/>
    <w:multiLevelType w:val="hybridMultilevel"/>
    <w:tmpl w:val="C58AC8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DAB78A7"/>
    <w:multiLevelType w:val="hybridMultilevel"/>
    <w:tmpl w:val="C78258A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BD1ED7"/>
    <w:multiLevelType w:val="hybridMultilevel"/>
    <w:tmpl w:val="CEAC41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4344349"/>
    <w:multiLevelType w:val="multilevel"/>
    <w:tmpl w:val="07F6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C70CE"/>
    <w:multiLevelType w:val="hybridMultilevel"/>
    <w:tmpl w:val="B422F8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9922D2D"/>
    <w:multiLevelType w:val="multilevel"/>
    <w:tmpl w:val="CB3C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A46E2"/>
    <w:multiLevelType w:val="hybridMultilevel"/>
    <w:tmpl w:val="FD1844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45C0632"/>
    <w:multiLevelType w:val="multilevel"/>
    <w:tmpl w:val="B11C0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C7017"/>
    <w:multiLevelType w:val="hybridMultilevel"/>
    <w:tmpl w:val="D004A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A2116"/>
    <w:multiLevelType w:val="multilevel"/>
    <w:tmpl w:val="1F928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12277"/>
    <w:multiLevelType w:val="multilevel"/>
    <w:tmpl w:val="E5F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96235">
    <w:abstractNumId w:val="8"/>
  </w:num>
  <w:num w:numId="2" w16cid:durableId="193004537">
    <w:abstractNumId w:val="3"/>
  </w:num>
  <w:num w:numId="3" w16cid:durableId="1426073589">
    <w:abstractNumId w:val="15"/>
  </w:num>
  <w:num w:numId="4" w16cid:durableId="1397896386">
    <w:abstractNumId w:val="9"/>
  </w:num>
  <w:num w:numId="5" w16cid:durableId="340931214">
    <w:abstractNumId w:val="13"/>
  </w:num>
  <w:num w:numId="6" w16cid:durableId="2123761928">
    <w:abstractNumId w:val="18"/>
  </w:num>
  <w:num w:numId="7" w16cid:durableId="335885105">
    <w:abstractNumId w:val="6"/>
  </w:num>
  <w:num w:numId="8" w16cid:durableId="1360083275">
    <w:abstractNumId w:val="11"/>
  </w:num>
  <w:num w:numId="9" w16cid:durableId="1058288478">
    <w:abstractNumId w:val="1"/>
  </w:num>
  <w:num w:numId="10" w16cid:durableId="1188759703">
    <w:abstractNumId w:val="17"/>
  </w:num>
  <w:num w:numId="11" w16cid:durableId="411776688">
    <w:abstractNumId w:val="0"/>
  </w:num>
  <w:num w:numId="12" w16cid:durableId="1774859647">
    <w:abstractNumId w:val="19"/>
  </w:num>
  <w:num w:numId="13" w16cid:durableId="227156447">
    <w:abstractNumId w:val="20"/>
  </w:num>
  <w:num w:numId="14" w16cid:durableId="1358042494">
    <w:abstractNumId w:val="2"/>
  </w:num>
  <w:num w:numId="15" w16cid:durableId="1005353477">
    <w:abstractNumId w:val="7"/>
  </w:num>
  <w:num w:numId="16" w16cid:durableId="1349792902">
    <w:abstractNumId w:val="10"/>
  </w:num>
  <w:num w:numId="17" w16cid:durableId="746848564">
    <w:abstractNumId w:val="4"/>
  </w:num>
  <w:num w:numId="18" w16cid:durableId="1276790797">
    <w:abstractNumId w:val="5"/>
  </w:num>
  <w:num w:numId="19" w16cid:durableId="1692026572">
    <w:abstractNumId w:val="12"/>
  </w:num>
  <w:num w:numId="20" w16cid:durableId="480512311">
    <w:abstractNumId w:val="16"/>
  </w:num>
  <w:num w:numId="21" w16cid:durableId="3698388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5B"/>
    <w:rsid w:val="00001AC9"/>
    <w:rsid w:val="00006EA8"/>
    <w:rsid w:val="00007C50"/>
    <w:rsid w:val="00015293"/>
    <w:rsid w:val="0002777F"/>
    <w:rsid w:val="00033EC8"/>
    <w:rsid w:val="00045EC8"/>
    <w:rsid w:val="00046975"/>
    <w:rsid w:val="00054328"/>
    <w:rsid w:val="00055635"/>
    <w:rsid w:val="000818CB"/>
    <w:rsid w:val="00085EA9"/>
    <w:rsid w:val="00087DC8"/>
    <w:rsid w:val="000902F3"/>
    <w:rsid w:val="000A317F"/>
    <w:rsid w:val="00121DF1"/>
    <w:rsid w:val="00126727"/>
    <w:rsid w:val="001466D8"/>
    <w:rsid w:val="00150027"/>
    <w:rsid w:val="00157411"/>
    <w:rsid w:val="001649AC"/>
    <w:rsid w:val="00181FB0"/>
    <w:rsid w:val="001907B5"/>
    <w:rsid w:val="001A1B40"/>
    <w:rsid w:val="001A4E9D"/>
    <w:rsid w:val="001C6DEF"/>
    <w:rsid w:val="001E0C91"/>
    <w:rsid w:val="001E5DD4"/>
    <w:rsid w:val="001F3097"/>
    <w:rsid w:val="0020423A"/>
    <w:rsid w:val="00210CEB"/>
    <w:rsid w:val="002154BF"/>
    <w:rsid w:val="00227E10"/>
    <w:rsid w:val="0023009F"/>
    <w:rsid w:val="00231587"/>
    <w:rsid w:val="00235193"/>
    <w:rsid w:val="0024363E"/>
    <w:rsid w:val="00262D1B"/>
    <w:rsid w:val="00270155"/>
    <w:rsid w:val="00270247"/>
    <w:rsid w:val="002865C7"/>
    <w:rsid w:val="00295F9A"/>
    <w:rsid w:val="002A3B24"/>
    <w:rsid w:val="002C160B"/>
    <w:rsid w:val="002C4CCC"/>
    <w:rsid w:val="002D5EF9"/>
    <w:rsid w:val="002E7B27"/>
    <w:rsid w:val="002F3916"/>
    <w:rsid w:val="002F72C4"/>
    <w:rsid w:val="00303170"/>
    <w:rsid w:val="00305F69"/>
    <w:rsid w:val="00315664"/>
    <w:rsid w:val="00320C23"/>
    <w:rsid w:val="0032125B"/>
    <w:rsid w:val="00321CC3"/>
    <w:rsid w:val="00326F41"/>
    <w:rsid w:val="00331F6B"/>
    <w:rsid w:val="003352AA"/>
    <w:rsid w:val="00337533"/>
    <w:rsid w:val="00354642"/>
    <w:rsid w:val="00354690"/>
    <w:rsid w:val="00354FF0"/>
    <w:rsid w:val="0036443F"/>
    <w:rsid w:val="00365F15"/>
    <w:rsid w:val="00366083"/>
    <w:rsid w:val="00372F6A"/>
    <w:rsid w:val="003736B8"/>
    <w:rsid w:val="00374057"/>
    <w:rsid w:val="00376B41"/>
    <w:rsid w:val="0037765B"/>
    <w:rsid w:val="0039041C"/>
    <w:rsid w:val="003C540C"/>
    <w:rsid w:val="003D538A"/>
    <w:rsid w:val="003E031E"/>
    <w:rsid w:val="003E74B8"/>
    <w:rsid w:val="003F69C6"/>
    <w:rsid w:val="004024AF"/>
    <w:rsid w:val="00411317"/>
    <w:rsid w:val="00415852"/>
    <w:rsid w:val="004170E1"/>
    <w:rsid w:val="004266FC"/>
    <w:rsid w:val="00430DF2"/>
    <w:rsid w:val="00433812"/>
    <w:rsid w:val="00446D0A"/>
    <w:rsid w:val="00464037"/>
    <w:rsid w:val="00473A9C"/>
    <w:rsid w:val="00474E97"/>
    <w:rsid w:val="00484C1A"/>
    <w:rsid w:val="004907F2"/>
    <w:rsid w:val="004B125E"/>
    <w:rsid w:val="004B6F06"/>
    <w:rsid w:val="004C2FFC"/>
    <w:rsid w:val="004C6279"/>
    <w:rsid w:val="004D39CA"/>
    <w:rsid w:val="004D7291"/>
    <w:rsid w:val="004F2A44"/>
    <w:rsid w:val="004F3CBF"/>
    <w:rsid w:val="00505AF6"/>
    <w:rsid w:val="00513466"/>
    <w:rsid w:val="0051689B"/>
    <w:rsid w:val="005349D3"/>
    <w:rsid w:val="00536CB9"/>
    <w:rsid w:val="00540921"/>
    <w:rsid w:val="0054727A"/>
    <w:rsid w:val="00573720"/>
    <w:rsid w:val="00573EFE"/>
    <w:rsid w:val="005767B3"/>
    <w:rsid w:val="005A3480"/>
    <w:rsid w:val="005B16AE"/>
    <w:rsid w:val="005C4AFD"/>
    <w:rsid w:val="005D0943"/>
    <w:rsid w:val="005D1B0F"/>
    <w:rsid w:val="005D6F45"/>
    <w:rsid w:val="005E090F"/>
    <w:rsid w:val="005E684C"/>
    <w:rsid w:val="005F0B86"/>
    <w:rsid w:val="005F24EC"/>
    <w:rsid w:val="005F6F54"/>
    <w:rsid w:val="0062172A"/>
    <w:rsid w:val="00624DCF"/>
    <w:rsid w:val="00627926"/>
    <w:rsid w:val="00627A94"/>
    <w:rsid w:val="006437BF"/>
    <w:rsid w:val="00651C14"/>
    <w:rsid w:val="00654583"/>
    <w:rsid w:val="006571A9"/>
    <w:rsid w:val="00657318"/>
    <w:rsid w:val="00663B8D"/>
    <w:rsid w:val="00677F94"/>
    <w:rsid w:val="00691E0C"/>
    <w:rsid w:val="006A39D4"/>
    <w:rsid w:val="006A4782"/>
    <w:rsid w:val="006B00E1"/>
    <w:rsid w:val="006B1064"/>
    <w:rsid w:val="006B3511"/>
    <w:rsid w:val="006C78C6"/>
    <w:rsid w:val="006D7137"/>
    <w:rsid w:val="006E3C32"/>
    <w:rsid w:val="00702F47"/>
    <w:rsid w:val="00705388"/>
    <w:rsid w:val="00715B55"/>
    <w:rsid w:val="007167D7"/>
    <w:rsid w:val="00737078"/>
    <w:rsid w:val="007373F8"/>
    <w:rsid w:val="00744048"/>
    <w:rsid w:val="0076042E"/>
    <w:rsid w:val="00767A70"/>
    <w:rsid w:val="007717F6"/>
    <w:rsid w:val="00787021"/>
    <w:rsid w:val="007920B6"/>
    <w:rsid w:val="007943F7"/>
    <w:rsid w:val="0079762D"/>
    <w:rsid w:val="007A4A17"/>
    <w:rsid w:val="007A7F47"/>
    <w:rsid w:val="007C1CF9"/>
    <w:rsid w:val="007C4973"/>
    <w:rsid w:val="007F5889"/>
    <w:rsid w:val="007F77F9"/>
    <w:rsid w:val="00813319"/>
    <w:rsid w:val="0081749C"/>
    <w:rsid w:val="00821ADD"/>
    <w:rsid w:val="00822A97"/>
    <w:rsid w:val="008251B3"/>
    <w:rsid w:val="00846776"/>
    <w:rsid w:val="00852C6B"/>
    <w:rsid w:val="0085359F"/>
    <w:rsid w:val="00853EFD"/>
    <w:rsid w:val="00856C18"/>
    <w:rsid w:val="008852A7"/>
    <w:rsid w:val="00885988"/>
    <w:rsid w:val="00892602"/>
    <w:rsid w:val="008935C7"/>
    <w:rsid w:val="00896A16"/>
    <w:rsid w:val="008A1C73"/>
    <w:rsid w:val="008A7369"/>
    <w:rsid w:val="008B19A8"/>
    <w:rsid w:val="008B6347"/>
    <w:rsid w:val="008C184D"/>
    <w:rsid w:val="008C6135"/>
    <w:rsid w:val="008D349F"/>
    <w:rsid w:val="008E0A75"/>
    <w:rsid w:val="008E2A3A"/>
    <w:rsid w:val="008F0116"/>
    <w:rsid w:val="008F0A28"/>
    <w:rsid w:val="008F6FED"/>
    <w:rsid w:val="00910062"/>
    <w:rsid w:val="00916CC3"/>
    <w:rsid w:val="00920DF2"/>
    <w:rsid w:val="009237BE"/>
    <w:rsid w:val="00924829"/>
    <w:rsid w:val="00934698"/>
    <w:rsid w:val="00952516"/>
    <w:rsid w:val="00967883"/>
    <w:rsid w:val="00970B7F"/>
    <w:rsid w:val="0097380F"/>
    <w:rsid w:val="00981116"/>
    <w:rsid w:val="00986B46"/>
    <w:rsid w:val="00987FEE"/>
    <w:rsid w:val="00991341"/>
    <w:rsid w:val="00995215"/>
    <w:rsid w:val="009A7082"/>
    <w:rsid w:val="009B2766"/>
    <w:rsid w:val="009D77EB"/>
    <w:rsid w:val="00A0596A"/>
    <w:rsid w:val="00A315F1"/>
    <w:rsid w:val="00A31E1A"/>
    <w:rsid w:val="00A4653C"/>
    <w:rsid w:val="00A50986"/>
    <w:rsid w:val="00A66924"/>
    <w:rsid w:val="00A72499"/>
    <w:rsid w:val="00A75F83"/>
    <w:rsid w:val="00A80B94"/>
    <w:rsid w:val="00A84804"/>
    <w:rsid w:val="00AA157E"/>
    <w:rsid w:val="00AB172E"/>
    <w:rsid w:val="00AB352A"/>
    <w:rsid w:val="00AD3A95"/>
    <w:rsid w:val="00AE3F21"/>
    <w:rsid w:val="00AF31CF"/>
    <w:rsid w:val="00AF6BB3"/>
    <w:rsid w:val="00B12B88"/>
    <w:rsid w:val="00B21EE2"/>
    <w:rsid w:val="00B327EC"/>
    <w:rsid w:val="00B350CF"/>
    <w:rsid w:val="00B406CA"/>
    <w:rsid w:val="00B56650"/>
    <w:rsid w:val="00B56AF7"/>
    <w:rsid w:val="00B57058"/>
    <w:rsid w:val="00B74758"/>
    <w:rsid w:val="00B84567"/>
    <w:rsid w:val="00B94EE8"/>
    <w:rsid w:val="00B97711"/>
    <w:rsid w:val="00BA10C1"/>
    <w:rsid w:val="00BB1661"/>
    <w:rsid w:val="00BB2EC6"/>
    <w:rsid w:val="00BD6614"/>
    <w:rsid w:val="00BE27FA"/>
    <w:rsid w:val="00BF05DE"/>
    <w:rsid w:val="00BF2579"/>
    <w:rsid w:val="00BF6AE5"/>
    <w:rsid w:val="00C0686E"/>
    <w:rsid w:val="00C10525"/>
    <w:rsid w:val="00C10583"/>
    <w:rsid w:val="00C14FF6"/>
    <w:rsid w:val="00C276B2"/>
    <w:rsid w:val="00C361A8"/>
    <w:rsid w:val="00C43655"/>
    <w:rsid w:val="00C5340A"/>
    <w:rsid w:val="00C53F25"/>
    <w:rsid w:val="00C54453"/>
    <w:rsid w:val="00C70A75"/>
    <w:rsid w:val="00C76D20"/>
    <w:rsid w:val="00C91DE7"/>
    <w:rsid w:val="00CA1997"/>
    <w:rsid w:val="00CA4B57"/>
    <w:rsid w:val="00CB6866"/>
    <w:rsid w:val="00CE09DF"/>
    <w:rsid w:val="00D01DA9"/>
    <w:rsid w:val="00D13BC1"/>
    <w:rsid w:val="00D1633F"/>
    <w:rsid w:val="00D17285"/>
    <w:rsid w:val="00D304FD"/>
    <w:rsid w:val="00D31F57"/>
    <w:rsid w:val="00D412B5"/>
    <w:rsid w:val="00D41EF9"/>
    <w:rsid w:val="00D47829"/>
    <w:rsid w:val="00D50C04"/>
    <w:rsid w:val="00D577D5"/>
    <w:rsid w:val="00D83CDA"/>
    <w:rsid w:val="00DB19BA"/>
    <w:rsid w:val="00DB5072"/>
    <w:rsid w:val="00DC187B"/>
    <w:rsid w:val="00DD72E6"/>
    <w:rsid w:val="00DE2F21"/>
    <w:rsid w:val="00E10D57"/>
    <w:rsid w:val="00E257C4"/>
    <w:rsid w:val="00E5128A"/>
    <w:rsid w:val="00E5148A"/>
    <w:rsid w:val="00E54E77"/>
    <w:rsid w:val="00E85E33"/>
    <w:rsid w:val="00E873BB"/>
    <w:rsid w:val="00E95045"/>
    <w:rsid w:val="00EA06A6"/>
    <w:rsid w:val="00EA0FE3"/>
    <w:rsid w:val="00EA1352"/>
    <w:rsid w:val="00EA401D"/>
    <w:rsid w:val="00EA50F3"/>
    <w:rsid w:val="00EB0C08"/>
    <w:rsid w:val="00EB6DE7"/>
    <w:rsid w:val="00EC4CA2"/>
    <w:rsid w:val="00EC4D6A"/>
    <w:rsid w:val="00ED2464"/>
    <w:rsid w:val="00ED5EA7"/>
    <w:rsid w:val="00EF2C2B"/>
    <w:rsid w:val="00EF4692"/>
    <w:rsid w:val="00F02173"/>
    <w:rsid w:val="00F039BD"/>
    <w:rsid w:val="00F05263"/>
    <w:rsid w:val="00F4309C"/>
    <w:rsid w:val="00F43943"/>
    <w:rsid w:val="00F43B91"/>
    <w:rsid w:val="00F440B6"/>
    <w:rsid w:val="00F5089B"/>
    <w:rsid w:val="00F56C71"/>
    <w:rsid w:val="00F56FBA"/>
    <w:rsid w:val="00F674A0"/>
    <w:rsid w:val="00F73C27"/>
    <w:rsid w:val="00F75672"/>
    <w:rsid w:val="00F8150B"/>
    <w:rsid w:val="00F94B2C"/>
    <w:rsid w:val="00FA40FE"/>
    <w:rsid w:val="00FA43BC"/>
    <w:rsid w:val="00FA58CA"/>
    <w:rsid w:val="00FB2645"/>
    <w:rsid w:val="00FC1019"/>
    <w:rsid w:val="00FC15E0"/>
    <w:rsid w:val="00FC3014"/>
    <w:rsid w:val="00FC730F"/>
    <w:rsid w:val="00FD5EF9"/>
    <w:rsid w:val="00FE15FC"/>
    <w:rsid w:val="00FE3FFE"/>
    <w:rsid w:val="00FF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AA3F"/>
  <w15:chartTrackingRefBased/>
  <w15:docId w15:val="{D07ED053-7468-4C8A-9B0B-104B2CBB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D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212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3212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5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5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5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5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практика"/>
    <w:basedOn w:val="Normal"/>
    <w:qFormat/>
    <w:rsid w:val="00126727"/>
    <w:pPr>
      <w:spacing w:after="120" w:line="360" w:lineRule="auto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9"/>
    <w:rsid w:val="00321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321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2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2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2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321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5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D13BC1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D13B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505A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AF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70B7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F0907"/>
    <w:rPr>
      <w:color w:val="96607D" w:themeColor="followedHyperlink"/>
      <w:u w:val="single"/>
    </w:rPr>
  </w:style>
  <w:style w:type="character" w:customStyle="1" w:styleId="ng-star-inserted">
    <w:name w:val="ng-star-inserted"/>
    <w:basedOn w:val="DefaultParagraphFont"/>
    <w:rsid w:val="00087DC8"/>
  </w:style>
  <w:style w:type="table" w:styleId="TableGrid">
    <w:name w:val="Table Grid"/>
    <w:basedOn w:val="TableNormal"/>
    <w:uiPriority w:val="39"/>
    <w:rsid w:val="00AB3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376B4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376B4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6B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430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0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F430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0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rsid w:val="00F43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1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tic.kremlin.ru/media/acts/files/0001201612060002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ontur-extern.ru/info/normativ/document/1/40613-doktrina-informatsionnoy-bezopasnosti-rossiyskoy-federatsi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pravo.gov.ru/proxy/ips/?docbody=&amp;nd=10243934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2296</Words>
  <Characters>13092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Отчет о лабораторной работе № 1 Сопоставление Доктрин информационной безопасности</vt:lpstr>
      <vt:lpstr/>
    </vt:vector>
  </TitlesOfParts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 1 Сопоставление Доктрин информационной безопасности</dc:title>
  <dc:subject>Самостоятельный сравнительный анализ Доктрин 2000 и 2016 годов</dc:subject>
  <dc:creator>Березин Е.П.</dc:creator>
  <cp:keywords/>
  <dc:description/>
  <cp:lastModifiedBy>Egor Berezin</cp:lastModifiedBy>
  <cp:revision>5</cp:revision>
  <cp:lastPrinted>2026-09-18T08:07:00Z</cp:lastPrinted>
  <dcterms:created xsi:type="dcterms:W3CDTF">2026-09-18T08:07:00Z</dcterms:created>
  <dcterms:modified xsi:type="dcterms:W3CDTF">2026-09-18T08:27:00Z</dcterms:modified>
</cp:coreProperties>
</file>