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A6C0" w14:textId="651411BD" w:rsidR="00755B4C" w:rsidRPr="00305CF1" w:rsidRDefault="00380522" w:rsidP="00380522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t xml:space="preserve">This code was developed during </w:t>
      </w:r>
      <w:r w:rsidRPr="00305CF1">
        <w:rPr>
          <w:b/>
          <w:bCs/>
        </w:rPr>
        <w:t>Lake Tahoe Clarity Analysis and Modeling Phase I:</w:t>
      </w:r>
      <w:r w:rsidRPr="00305CF1">
        <w:rPr>
          <w:b/>
          <w:bCs/>
        </w:rPr>
        <w:t xml:space="preserve"> </w:t>
      </w:r>
      <w:r w:rsidRPr="00305CF1">
        <w:rPr>
          <w:b/>
          <w:bCs/>
        </w:rPr>
        <w:t>Biogeochemical and Ecological Modeling</w:t>
      </w:r>
      <w:r w:rsidRPr="00305CF1">
        <w:rPr>
          <w:b/>
          <w:bCs/>
        </w:rPr>
        <w:t>.</w:t>
      </w:r>
    </w:p>
    <w:p w14:paraId="7615C530" w14:textId="77777777" w:rsidR="00380522" w:rsidRPr="00D34187" w:rsidRDefault="00380522" w:rsidP="00380522">
      <w:pPr>
        <w:jc w:val="both"/>
      </w:pPr>
      <w:r w:rsidRPr="00D34187">
        <w:t>We have implemented a coupled aquatic ecological model (AEM) to a parallelized three-dimensional (3D) hydrodynamic model (PSi3D) that we will refer to as PSi3D-AEM. The AEM component simulates the cycling of carbon</w:t>
      </w:r>
      <w:r>
        <w:t xml:space="preserve"> (C)</w:t>
      </w:r>
      <w:r w:rsidRPr="00D34187">
        <w:t>, nitrogen</w:t>
      </w:r>
      <w:r>
        <w:t xml:space="preserve"> (N)</w:t>
      </w:r>
      <w:r w:rsidRPr="00D34187">
        <w:t xml:space="preserve">, and phosphorus (P), and phytoplankton dynamics including </w:t>
      </w:r>
      <w:r>
        <w:t xml:space="preserve">shifts regulated </w:t>
      </w:r>
      <w:r w:rsidRPr="00D34187">
        <w:t>by zooplankton</w:t>
      </w:r>
      <w:r>
        <w:t xml:space="preserve"> grazing</w:t>
      </w:r>
      <w:r w:rsidRPr="00D34187">
        <w:t xml:space="preserve">. For details about the 3D hydrodynamic model, refer to Section </w:t>
      </w:r>
      <w:r>
        <w:t>7</w:t>
      </w:r>
      <w:r w:rsidRPr="00D34187">
        <w:t xml:space="preserve">. The main features of </w:t>
      </w:r>
      <w:r>
        <w:t>the current</w:t>
      </w:r>
      <w:r w:rsidRPr="00D34187">
        <w:t xml:space="preserve"> version of PSi3D-AEM are:</w:t>
      </w:r>
    </w:p>
    <w:p w14:paraId="3C3AC7CF" w14:textId="77777777" w:rsidR="00380522" w:rsidRPr="00D34187" w:rsidRDefault="00380522" w:rsidP="003805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D34187">
        <w:rPr>
          <w:color w:val="000000"/>
        </w:rPr>
        <w:t>Phytoplankton are represented as particulate carbon</w:t>
      </w:r>
    </w:p>
    <w:p w14:paraId="36103654" w14:textId="77777777" w:rsidR="00380522" w:rsidRDefault="00380522" w:rsidP="003805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Four phytoplankton functional groups, differentiated by cell size with particular attention to </w:t>
      </w:r>
      <w:r w:rsidRPr="00D75DF2">
        <w:rPr>
          <w:i/>
          <w:color w:val="000000"/>
        </w:rPr>
        <w:t>Cyclotella</w:t>
      </w:r>
      <w:r>
        <w:rPr>
          <w:color w:val="000000"/>
        </w:rPr>
        <w:t xml:space="preserve"> spp., are included:</w:t>
      </w:r>
    </w:p>
    <w:p w14:paraId="2700FE19" w14:textId="77777777" w:rsidR="00380522" w:rsidRDefault="00380522" w:rsidP="003805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Group 1: Size &lt; 2 </w:t>
      </w:r>
      <w:proofErr w:type="spellStart"/>
      <w:r>
        <w:rPr>
          <w:color w:val="000000"/>
        </w:rPr>
        <w:t>μm</w:t>
      </w:r>
      <w:proofErr w:type="spellEnd"/>
      <w:r>
        <w:rPr>
          <w:color w:val="000000"/>
        </w:rPr>
        <w:t xml:space="preserve"> (representative of picoplankton)</w:t>
      </w:r>
    </w:p>
    <w:p w14:paraId="6C20C6CB" w14:textId="77777777" w:rsidR="00380522" w:rsidRDefault="00380522" w:rsidP="003805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Group 2: Size 2-6 </w:t>
      </w:r>
      <w:proofErr w:type="spellStart"/>
      <w:r>
        <w:rPr>
          <w:color w:val="000000"/>
        </w:rPr>
        <w:t>μm</w:t>
      </w:r>
      <w:proofErr w:type="spellEnd"/>
      <w:r>
        <w:rPr>
          <w:color w:val="000000"/>
        </w:rPr>
        <w:t xml:space="preserve"> (exemplified by</w:t>
      </w:r>
      <w:r w:rsidDel="00421B40">
        <w:rPr>
          <w:color w:val="000000"/>
        </w:rPr>
        <w:t xml:space="preserve"> </w:t>
      </w:r>
      <w:r w:rsidRPr="00D75DF2">
        <w:rPr>
          <w:i/>
          <w:color w:val="000000"/>
        </w:rPr>
        <w:t>Cyclotella</w:t>
      </w:r>
      <w:r>
        <w:rPr>
          <w:color w:val="000000"/>
        </w:rPr>
        <w:t>)</w:t>
      </w:r>
    </w:p>
    <w:p w14:paraId="40773F0D" w14:textId="77777777" w:rsidR="00380522" w:rsidRDefault="00380522" w:rsidP="003805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Group 3: Size 6-30 </w:t>
      </w:r>
      <w:proofErr w:type="spellStart"/>
      <w:r>
        <w:rPr>
          <w:color w:val="000000"/>
        </w:rPr>
        <w:t>μm</w:t>
      </w:r>
      <w:proofErr w:type="spellEnd"/>
      <w:r>
        <w:rPr>
          <w:color w:val="000000"/>
        </w:rPr>
        <w:t xml:space="preserve"> (exemplified by </w:t>
      </w:r>
      <w:proofErr w:type="spellStart"/>
      <w:r w:rsidRPr="00D75DF2">
        <w:rPr>
          <w:i/>
          <w:color w:val="000000"/>
        </w:rPr>
        <w:t>Cryptomonas</w:t>
      </w:r>
      <w:proofErr w:type="spellEnd"/>
      <w:r>
        <w:rPr>
          <w:color w:val="000000"/>
        </w:rPr>
        <w:t>)</w:t>
      </w:r>
    </w:p>
    <w:p w14:paraId="39BA9F61" w14:textId="77777777" w:rsidR="00380522" w:rsidRDefault="00380522" w:rsidP="003805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Group 4: Size &gt; 30 </w:t>
      </w:r>
      <w:proofErr w:type="spellStart"/>
      <w:r>
        <w:rPr>
          <w:color w:val="000000"/>
        </w:rPr>
        <w:t>μm</w:t>
      </w:r>
      <w:proofErr w:type="spellEnd"/>
      <w:r>
        <w:rPr>
          <w:color w:val="000000"/>
        </w:rPr>
        <w:t xml:space="preserve"> (</w:t>
      </w:r>
      <w:r w:rsidRPr="00421B40">
        <w:rPr>
          <w:color w:val="000000"/>
        </w:rPr>
        <w:t>exemplified by</w:t>
      </w:r>
      <w:r w:rsidRPr="00421B40" w:rsidDel="00421B40">
        <w:rPr>
          <w:color w:val="000000"/>
        </w:rPr>
        <w:t xml:space="preserve"> </w:t>
      </w:r>
      <w:r w:rsidRPr="00D75DF2">
        <w:rPr>
          <w:i/>
          <w:color w:val="000000"/>
        </w:rPr>
        <w:t>Synedra</w:t>
      </w:r>
      <w:r>
        <w:rPr>
          <w:color w:val="000000"/>
        </w:rPr>
        <w:t>)</w:t>
      </w:r>
    </w:p>
    <w:p w14:paraId="4DF9754C" w14:textId="478114EB" w:rsidR="00380522" w:rsidRDefault="00380522" w:rsidP="003805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A Tahoe-specific grazing model driven by the zooplankton counts for those years when data existed for Lake Tahoe and literature-based grazing rates</w:t>
      </w:r>
    </w:p>
    <w:sectPr w:rsidR="00380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95ABA"/>
    <w:multiLevelType w:val="multilevel"/>
    <w:tmpl w:val="B2AC078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40939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22"/>
    <w:rsid w:val="00305CF1"/>
    <w:rsid w:val="00380522"/>
    <w:rsid w:val="00755B4C"/>
    <w:rsid w:val="008503AB"/>
    <w:rsid w:val="008A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06C2"/>
  <w15:chartTrackingRefBased/>
  <w15:docId w15:val="{C4C39F3C-92A8-48D5-8D54-FA2AA597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Cortes Cortes</dc:creator>
  <cp:keywords/>
  <dc:description/>
  <cp:lastModifiedBy>Alicia Cortes Cortes</cp:lastModifiedBy>
  <cp:revision>2</cp:revision>
  <dcterms:created xsi:type="dcterms:W3CDTF">2022-08-30T18:38:00Z</dcterms:created>
  <dcterms:modified xsi:type="dcterms:W3CDTF">2022-08-30T18:41:00Z</dcterms:modified>
</cp:coreProperties>
</file>