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Universidad Nacional de Ingeniería</w:t>
      </w:r>
    </w:p>
    <w:p w:rsidR="00000000" w:rsidDel="00000000" w:rsidP="00000000" w:rsidRDefault="00000000" w:rsidRPr="00000000" w14:paraId="00000002">
      <w:pPr>
        <w:spacing w:after="12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Facultad de Ingeniería Industrial y de Sistemas</w:t>
      </w:r>
    </w:p>
    <w:p w:rsidR="00000000" w:rsidDel="00000000" w:rsidP="00000000" w:rsidRDefault="00000000" w:rsidRPr="00000000" w14:paraId="00000003">
      <w:pPr>
        <w:spacing w:after="12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Escuela de Ingeniería de Sistemas</w:t>
      </w:r>
      <w:r w:rsidDel="00000000" w:rsidR="00000000" w:rsidRPr="00000000">
        <w:drawing>
          <wp:anchor allowOverlap="1" behindDoc="0" distB="114300" distT="114300" distL="114300" distR="114300" hidden="0" layoutInCell="1" locked="0" relativeHeight="0" simplePos="0">
            <wp:simplePos x="0" y="0"/>
            <wp:positionH relativeFrom="column">
              <wp:posOffset>1924050</wp:posOffset>
            </wp:positionH>
            <wp:positionV relativeFrom="paragraph">
              <wp:posOffset>428625</wp:posOffset>
            </wp:positionV>
            <wp:extent cx="2100263" cy="2640330"/>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00263" cy="2640330"/>
                    </a:xfrm>
                    <a:prstGeom prst="rect"/>
                    <a:ln/>
                  </pic:spPr>
                </pic:pic>
              </a:graphicData>
            </a:graphic>
          </wp:anchor>
        </w:drawing>
      </w:r>
    </w:p>
    <w:p w:rsidR="00000000" w:rsidDel="00000000" w:rsidP="00000000" w:rsidRDefault="00000000" w:rsidRPr="00000000" w14:paraId="00000004">
      <w:pPr>
        <w:spacing w:after="120" w:before="2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SI 807</w:t>
      </w:r>
      <w:r w:rsidDel="00000000" w:rsidR="00000000" w:rsidRPr="00000000">
        <w:rPr>
          <w:rFonts w:ascii="Times New Roman" w:cs="Times New Roman" w:eastAsia="Times New Roman" w:hAnsi="Times New Roman"/>
          <w:b w:val="1"/>
          <w:bCs w:val="1"/>
          <w:sz w:val="28"/>
          <w:szCs w:val="28"/>
          <w:rtl w:val="0"/>
        </w:rPr>
        <w:t xml:space="preserve"> Sistema de Inteligencia de Negocios “U”</w:t>
      </w:r>
      <w:r w:rsidDel="00000000" w:rsidR="00000000" w:rsidRPr="00000000">
        <w:rPr>
          <w:rtl w:val="0"/>
        </w:rPr>
      </w:r>
    </w:p>
    <w:p w:rsidR="00000000" w:rsidDel="00000000" w:rsidP="00000000" w:rsidRDefault="00000000" w:rsidRPr="00000000" w14:paraId="00000005">
      <w:pPr>
        <w:spacing w:after="240" w:before="240" w:line="276" w:lineRule="auto"/>
        <w:jc w:val="center"/>
        <w:rPr>
          <w:rFonts w:ascii="Times New Roman" w:cs="Times New Roman" w:eastAsia="Times New Roman" w:hAnsi="Times New Roman"/>
          <w:b w:val="1"/>
          <w:bCs w:val="1"/>
          <w:color w:val="333333"/>
          <w:sz w:val="28"/>
          <w:szCs w:val="28"/>
        </w:rPr>
      </w:pPr>
      <w:r w:rsidDel="00000000" w:rsidR="00000000" w:rsidRPr="00000000">
        <w:rPr>
          <w:rFonts w:ascii="Times New Roman" w:cs="Times New Roman" w:eastAsia="Times New Roman" w:hAnsi="Times New Roman"/>
          <w:b w:val="1"/>
          <w:bCs w:val="1"/>
          <w:color w:val="333333"/>
          <w:sz w:val="28"/>
          <w:szCs w:val="28"/>
          <w:rtl w:val="0"/>
        </w:rPr>
        <w:t xml:space="preserve">Practica calificada 3</w:t>
      </w:r>
    </w:p>
    <w:p w:rsidR="00000000" w:rsidDel="00000000" w:rsidP="00000000" w:rsidRDefault="00000000" w:rsidRPr="00000000" w14:paraId="0000000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7">
      <w:pPr>
        <w:spacing w:after="12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Integrantes:</w:t>
      </w:r>
    </w:p>
    <w:p w:rsidR="00000000" w:rsidDel="00000000" w:rsidP="00000000" w:rsidRDefault="00000000" w:rsidRPr="00000000" w14:paraId="00000008">
      <w:pPr>
        <w:numPr>
          <w:ilvl w:val="0"/>
          <w:numId w:val="1"/>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Callupe Pardo, Yoselyn Patricia</w:t>
        <w:tab/>
        <w:tab/>
        <w:tab/>
        <w:t xml:space="preserve">20190267H</w:t>
      </w:r>
    </w:p>
    <w:p w:rsidR="00000000" w:rsidDel="00000000" w:rsidP="00000000" w:rsidRDefault="00000000" w:rsidRPr="00000000" w14:paraId="00000009">
      <w:pPr>
        <w:numPr>
          <w:ilvl w:val="0"/>
          <w:numId w:val="1"/>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Garro Oré, Willian Jesús</w:t>
        <w:tab/>
        <w:tab/>
        <w:tab/>
        <w:tab/>
        <w:t xml:space="preserve">20172115E</w:t>
      </w:r>
    </w:p>
    <w:p w:rsidR="00000000" w:rsidDel="00000000" w:rsidP="00000000" w:rsidRDefault="00000000" w:rsidRPr="00000000" w14:paraId="0000000A">
      <w:pPr>
        <w:numPr>
          <w:ilvl w:val="0"/>
          <w:numId w:val="1"/>
        </w:numPr>
        <w:spacing w:after="12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Nuñez Poma,Robert Gianpierro Jesus</w:t>
        <w:tab/>
        <w:tab/>
      </w:r>
      <w:r w:rsidDel="00000000" w:rsidR="00000000" w:rsidRPr="00000000">
        <w:rPr>
          <w:rFonts w:ascii="Times New Roman" w:cs="Times New Roman" w:eastAsia="Times New Roman" w:hAnsi="Times New Roman"/>
          <w:color w:val="333333"/>
          <w:rtl w:val="0"/>
        </w:rPr>
        <w:t xml:space="preserve">20202084E</w:t>
      </w:r>
      <w:r w:rsidDel="00000000" w:rsidR="00000000" w:rsidRPr="00000000">
        <w:rPr>
          <w:rtl w:val="0"/>
        </w:rPr>
      </w:r>
    </w:p>
    <w:p w:rsidR="00000000" w:rsidDel="00000000" w:rsidP="00000000" w:rsidRDefault="00000000" w:rsidRPr="00000000" w14:paraId="0000000B">
      <w:pPr>
        <w:spacing w:after="120" w:line="276" w:lineRule="auto"/>
        <w:ind w:left="17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Docente:</w:t>
      </w:r>
    </w:p>
    <w:p w:rsidR="00000000" w:rsidDel="00000000" w:rsidP="00000000" w:rsidRDefault="00000000" w:rsidRPr="00000000" w14:paraId="0000000D">
      <w:pPr>
        <w:numPr>
          <w:ilvl w:val="0"/>
          <w:numId w:val="6"/>
        </w:numPr>
        <w:spacing w:after="0" w:afterAutospacing="0" w:before="24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Aradiel Castañeda, Hilario</w:t>
      </w:r>
    </w:p>
    <w:p w:rsidR="00000000" w:rsidDel="00000000" w:rsidP="00000000" w:rsidRDefault="00000000" w:rsidRPr="00000000" w14:paraId="0000000E">
      <w:pPr>
        <w:numPr>
          <w:ilvl w:val="0"/>
          <w:numId w:val="6"/>
        </w:numPr>
        <w:spacing w:after="24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Garcia Atuncar, Fernando</w:t>
      </w:r>
    </w:p>
    <w:p w:rsidR="00000000" w:rsidDel="00000000" w:rsidP="00000000" w:rsidRDefault="00000000" w:rsidRPr="00000000" w14:paraId="0000000F">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12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Lima – Perú</w:t>
      </w:r>
    </w:p>
    <w:p w:rsidR="00000000" w:rsidDel="00000000" w:rsidP="00000000" w:rsidRDefault="00000000" w:rsidRPr="00000000" w14:paraId="00000011">
      <w:pPr>
        <w:spacing w:after="120" w:before="240" w:line="276"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40"/>
          <w:szCs w:val="40"/>
          <w:rtl w:val="0"/>
        </w:rPr>
        <w:t xml:space="preserve">2025</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4pzitzjorzwz" w:id="0"/>
      <w:bookmarkEnd w:id="0"/>
      <w:r w:rsidDel="00000000" w:rsidR="00000000" w:rsidRPr="00000000">
        <w:rPr>
          <w:rFonts w:ascii="Times New Roman" w:cs="Times New Roman" w:eastAsia="Times New Roman" w:hAnsi="Times New Roman"/>
          <w:b w:val="1"/>
          <w:bCs w:val="1"/>
          <w:color w:val="1b1c1d"/>
          <w:sz w:val="24"/>
          <w:szCs w:val="24"/>
          <w:rtl w:val="0"/>
        </w:rPr>
        <w:t xml:space="preserve">2. Justificación del uso de la Nube</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ned9e8myzddz" w:id="1"/>
      <w:bookmarkEnd w:id="1"/>
      <w:r w:rsidDel="00000000" w:rsidR="00000000" w:rsidRPr="00000000">
        <w:rPr>
          <w:rFonts w:ascii="Times New Roman" w:cs="Times New Roman" w:eastAsia="Times New Roman" w:hAnsi="Times New Roman"/>
          <w:b w:val="1"/>
          <w:bCs w:val="1"/>
          <w:color w:val="1b1c1d"/>
          <w:sz w:val="24"/>
          <w:szCs w:val="24"/>
          <w:rtl w:val="0"/>
        </w:rPr>
        <w:t xml:space="preserve">2.1. Naturaleza del Problema de Negocio y Estrategia Híbrida</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El requerimiento central del proyecto es procesar un pipeline de Inteligencia de Negocios (BI) bajo una modalidad D-1 (Batch). Esto implica que la carga de trabajo es intermitente: una ventana de procesamiento intensivo de una hora diaria (durante la madrugada) seguida de 23 horas de inactividad en el flujo de escritura, pero con alta disponibilidad para consultas de lectura durante el día.</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Para abordar esto, hemos descartado una infraestructura </w:t>
      </w:r>
      <w:r w:rsidDel="00000000" w:rsidR="00000000" w:rsidRPr="00000000">
        <w:rPr>
          <w:rFonts w:ascii="Times New Roman" w:cs="Times New Roman" w:eastAsia="Times New Roman" w:hAnsi="Times New Roman"/>
          <w:i w:val="1"/>
          <w:iCs w:val="1"/>
          <w:color w:val="1b1c1d"/>
          <w:rtl w:val="0"/>
        </w:rPr>
        <w:t xml:space="preserve">On-Premise</w:t>
      </w:r>
      <w:r w:rsidDel="00000000" w:rsidR="00000000" w:rsidRPr="00000000">
        <w:rPr>
          <w:rFonts w:ascii="Times New Roman" w:cs="Times New Roman" w:eastAsia="Times New Roman" w:hAnsi="Times New Roman"/>
          <w:color w:val="1b1c1d"/>
          <w:rtl w:val="0"/>
        </w:rPr>
        <w:t xml:space="preserve"> por su alto costo de capacidad ociosa. En su lugar, adoptamos una arquitectura Cloud Híbrida / Multi-cloud funcional:</w:t>
      </w:r>
    </w:p>
    <w:p w:rsidR="00000000" w:rsidDel="00000000" w:rsidP="00000000" w:rsidRDefault="00000000" w:rsidRPr="00000000" w14:paraId="00000017">
      <w:pPr>
        <w:numPr>
          <w:ilvl w:val="0"/>
          <w:numId w:val="14"/>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Backend (Ingeniería de Datos): Utilizamos la nube para procesar y almacenar datos de forma elástica y "Serverless", pagando solo por el uso puntual.</w:t>
      </w:r>
    </w:p>
    <w:p w:rsidR="00000000" w:rsidDel="00000000" w:rsidP="00000000" w:rsidRDefault="00000000" w:rsidRPr="00000000" w14:paraId="00000018">
      <w:pPr>
        <w:numPr>
          <w:ilvl w:val="0"/>
          <w:numId w:val="14"/>
        </w:numPr>
        <w:pBdr>
          <w:top w:color="auto" w:space="0" w:sz="0" w:val="none"/>
          <w:bottom w:color="auto" w:space="0" w:sz="0" w:val="none"/>
          <w:right w:color="auto" w:space="0" w:sz="0" w:val="none"/>
          <w:between w:color="auto" w:space="0" w:sz="0" w:val="none"/>
        </w:pBdr>
        <w:spacing w:after="36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Frontend (Visualización): Desacoplamos la capa de presentación para usar la herramienta estándar del mercado (Power BI), conectándola eficientemente a nuestro almacén de datos en la nube.</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teb2w27ufsew" w:id="2"/>
      <w:bookmarkEnd w:id="2"/>
      <w:r w:rsidDel="00000000" w:rsidR="00000000" w:rsidRPr="00000000">
        <w:rPr>
          <w:rFonts w:ascii="Times New Roman" w:cs="Times New Roman" w:eastAsia="Times New Roman" w:hAnsi="Times New Roman"/>
          <w:b w:val="1"/>
          <w:bCs w:val="1"/>
          <w:color w:val="1b1c1d"/>
          <w:sz w:val="24"/>
          <w:szCs w:val="24"/>
          <w:rtl w:val="0"/>
        </w:rPr>
        <w:t xml:space="preserve">2.2. Análisis Comparativo de Proveedores de Nube y Ecosistemas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Para validar esta arquitectura, comparamos los tres grandes proveedores (GCP, AWS, Azure) analizando 6 características críticas, con énfasis en cómo sus ecosistemas de datos interactúan con herramientas de terceros como Power BI.</w:t>
      </w:r>
    </w:p>
    <w:tbl>
      <w:tblPr>
        <w:tblStyle w:val="Table1"/>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335"/>
        <w:gridCol w:w="1860"/>
        <w:gridCol w:w="1890"/>
        <w:gridCol w:w="1815"/>
        <w:tblGridChange w:id="0">
          <w:tblGrid>
            <w:gridCol w:w="1605"/>
            <w:gridCol w:w="1335"/>
            <w:gridCol w:w="1860"/>
            <w:gridCol w:w="1890"/>
            <w:gridCol w:w="1815"/>
          </w:tblGrid>
        </w:tblGridChange>
      </w:tblGrid>
      <w:tr>
        <w:trPr>
          <w:cantSplit w:val="0"/>
          <w:trHeight w:val="810" w:hRule="atLeast"/>
          <w:tblHeader w:val="0"/>
        </w:trPr>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B">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Característica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C">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Criterio de Evaluación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D">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Google Cloud (GCP)</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E">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Amazon Web Services (AWS)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F">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Microsoft Azure</w:t>
            </w:r>
            <w:r w:rsidDel="00000000" w:rsidR="00000000" w:rsidRPr="00000000">
              <w:rPr>
                <w:rtl w:val="0"/>
              </w:rPr>
            </w:r>
          </w:p>
        </w:tc>
      </w:tr>
      <w:tr>
        <w:trPr>
          <w:cantSplit w:val="0"/>
          <w:trHeight w:val="285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1. Data Warehouse (DW)</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Arquitectura y Conectividad Externa.</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BigQuery:</w:t>
            </w:r>
            <w:r w:rsidDel="00000000" w:rsidR="00000000" w:rsidRPr="00000000">
              <w:rPr>
                <w:rFonts w:ascii="Times New Roman" w:cs="Times New Roman" w:eastAsia="Times New Roman" w:hAnsi="Times New Roman"/>
                <w:color w:val="1b1c1d"/>
                <w:sz w:val="20"/>
                <w:szCs w:val="20"/>
                <w:rtl w:val="0"/>
              </w:rPr>
              <w:t xml:space="preserve"> Arquitectura </w:t>
            </w:r>
            <w:r w:rsidDel="00000000" w:rsidR="00000000" w:rsidRPr="00000000">
              <w:rPr>
                <w:rFonts w:ascii="Times New Roman" w:cs="Times New Roman" w:eastAsia="Times New Roman" w:hAnsi="Times New Roman"/>
                <w:i w:val="1"/>
                <w:iCs w:val="1"/>
                <w:color w:val="1b1c1d"/>
                <w:sz w:val="20"/>
                <w:szCs w:val="20"/>
                <w:rtl w:val="0"/>
              </w:rPr>
              <w:t xml:space="preserve">Serverless</w:t>
            </w:r>
            <w:r w:rsidDel="00000000" w:rsidR="00000000" w:rsidRPr="00000000">
              <w:rPr>
                <w:rFonts w:ascii="Times New Roman" w:cs="Times New Roman" w:eastAsia="Times New Roman" w:hAnsi="Times New Roman"/>
                <w:color w:val="1b1c1d"/>
                <w:sz w:val="20"/>
                <w:szCs w:val="20"/>
                <w:rtl w:val="0"/>
              </w:rPr>
              <w:t xml:space="preserve">. Destaca por sus conectores nativos de alto rendimiento para Power BI (DirectQuery), permitiendo análisis sin mover la data.</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Redshift:</w:t>
            </w:r>
            <w:r w:rsidDel="00000000" w:rsidR="00000000" w:rsidRPr="00000000">
              <w:rPr>
                <w:rFonts w:ascii="Times New Roman" w:cs="Times New Roman" w:eastAsia="Times New Roman" w:hAnsi="Times New Roman"/>
                <w:color w:val="1b1c1d"/>
                <w:sz w:val="20"/>
                <w:szCs w:val="20"/>
                <w:rtl w:val="0"/>
              </w:rPr>
              <w:t xml:space="preserve"> Potente, pero su gestión de clústeres es más compleja. La conexión con Power BI es buena pero a veces requiere gateways intermedios para rendimiento óptimo.</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Synapse Analytics:</w:t>
            </w:r>
            <w:r w:rsidDel="00000000" w:rsidR="00000000" w:rsidRPr="00000000">
              <w:rPr>
                <w:rFonts w:ascii="Times New Roman" w:cs="Times New Roman" w:eastAsia="Times New Roman" w:hAnsi="Times New Roman"/>
                <w:color w:val="1b1c1d"/>
                <w:sz w:val="20"/>
                <w:szCs w:val="20"/>
                <w:rtl w:val="0"/>
              </w:rPr>
              <w:t xml:space="preserve"> Integración nativa perfecta con Power BI, pero suele ser más costoso para cargas de trabajo pequeñas o intermitentes.</w:t>
            </w:r>
          </w:p>
        </w:tc>
      </w:tr>
      <w:tr>
        <w:trPr>
          <w:cantSplit w:val="0"/>
          <w:trHeight w:val="267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2. Motor ETL (Spark)</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Velocidad para Jobs Batch Cortos.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Dataproc:</w:t>
            </w:r>
            <w:r w:rsidDel="00000000" w:rsidR="00000000" w:rsidRPr="00000000">
              <w:rPr>
                <w:rFonts w:ascii="Times New Roman" w:cs="Times New Roman" w:eastAsia="Times New Roman" w:hAnsi="Times New Roman"/>
                <w:color w:val="1b1c1d"/>
                <w:sz w:val="20"/>
                <w:szCs w:val="20"/>
                <w:rtl w:val="0"/>
              </w:rPr>
              <w:t xml:space="preserve"> Tiempos de inicio de clúster ultra-rápidos (90 seg), ideal para jobs efímeros de 1 hora.</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EMR:</w:t>
            </w:r>
            <w:r w:rsidDel="00000000" w:rsidR="00000000" w:rsidRPr="00000000">
              <w:rPr>
                <w:rFonts w:ascii="Times New Roman" w:cs="Times New Roman" w:eastAsia="Times New Roman" w:hAnsi="Times New Roman"/>
                <w:color w:val="1b1c1d"/>
                <w:sz w:val="20"/>
                <w:szCs w:val="20"/>
                <w:rtl w:val="0"/>
              </w:rPr>
              <w:t xml:space="preserve"> Líder en funcionalidad, pero el </w:t>
            </w:r>
            <w:r w:rsidDel="00000000" w:rsidR="00000000" w:rsidRPr="00000000">
              <w:rPr>
                <w:rFonts w:ascii="Times New Roman" w:cs="Times New Roman" w:eastAsia="Times New Roman" w:hAnsi="Times New Roman"/>
                <w:i w:val="1"/>
                <w:iCs w:val="1"/>
                <w:color w:val="1b1c1d"/>
                <w:sz w:val="20"/>
                <w:szCs w:val="20"/>
                <w:rtl w:val="0"/>
              </w:rPr>
              <w:t xml:space="preserve">overhead</w:t>
            </w:r>
            <w:r w:rsidDel="00000000" w:rsidR="00000000" w:rsidRPr="00000000">
              <w:rPr>
                <w:rFonts w:ascii="Times New Roman" w:cs="Times New Roman" w:eastAsia="Times New Roman" w:hAnsi="Times New Roman"/>
                <w:color w:val="1b1c1d"/>
                <w:sz w:val="20"/>
                <w:szCs w:val="20"/>
                <w:rtl w:val="0"/>
              </w:rPr>
              <w:t xml:space="preserve"> de inicio y configuración es mayor, lo que puede costar más tiempo que el propio procesamiento D-1.</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Databricks / HDInsight:</w:t>
            </w:r>
            <w:r w:rsidDel="00000000" w:rsidR="00000000" w:rsidRPr="00000000">
              <w:rPr>
                <w:rFonts w:ascii="Times New Roman" w:cs="Times New Roman" w:eastAsia="Times New Roman" w:hAnsi="Times New Roman"/>
                <w:color w:val="1b1c1d"/>
                <w:sz w:val="20"/>
                <w:szCs w:val="20"/>
                <w:rtl w:val="0"/>
              </w:rPr>
              <w:t xml:space="preserve"> Excelentes capacidades, pero Databricks tiene un modelo de costos premium y HDInsight es más rígido en configuración.</w:t>
            </w:r>
          </w:p>
        </w:tc>
      </w:tr>
      <w:tr>
        <w:trPr>
          <w:cantSplit w:val="0"/>
          <w:trHeight w:val="249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3. Ecosistema de BI (Nativo vs. Mercado)</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Capacidad de Visualización y Modelado.</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Looker Studio:</w:t>
            </w:r>
            <w:r w:rsidDel="00000000" w:rsidR="00000000" w:rsidRPr="00000000">
              <w:rPr>
                <w:rFonts w:ascii="Times New Roman" w:cs="Times New Roman" w:eastAsia="Times New Roman" w:hAnsi="Times New Roman"/>
                <w:color w:val="1b1c1d"/>
                <w:sz w:val="20"/>
                <w:szCs w:val="20"/>
                <w:rtl w:val="0"/>
              </w:rPr>
              <w:t xml:space="preserve"> Gratuito y web, pero limitado en modelado de datos complejo (DAX) y gobernanza corporativa.</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QuickSight:</w:t>
            </w:r>
            <w:r w:rsidDel="00000000" w:rsidR="00000000" w:rsidRPr="00000000">
              <w:rPr>
                <w:rFonts w:ascii="Times New Roman" w:cs="Times New Roman" w:eastAsia="Times New Roman" w:hAnsi="Times New Roman"/>
                <w:color w:val="1b1c1d"/>
                <w:sz w:val="20"/>
                <w:szCs w:val="20"/>
                <w:rtl w:val="0"/>
              </w:rPr>
              <w:t xml:space="preserve"> Modelo de pago por sesión. Menor adopción en el mercado y capacidades de modelado inferiores a Power BI.</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Power BI:</w:t>
            </w:r>
            <w:r w:rsidDel="00000000" w:rsidR="00000000" w:rsidRPr="00000000">
              <w:rPr>
                <w:rFonts w:ascii="Times New Roman" w:cs="Times New Roman" w:eastAsia="Times New Roman" w:hAnsi="Times New Roman"/>
                <w:color w:val="1b1c1d"/>
                <w:sz w:val="20"/>
                <w:szCs w:val="20"/>
                <w:rtl w:val="0"/>
              </w:rPr>
              <w:t xml:space="preserve"> Líder indiscutible (Gartner). Potente motor de modelado, seguridad a nivel de fila (RLS) y estándar en la mayoría de empresas.</w:t>
            </w:r>
          </w:p>
        </w:tc>
      </w:tr>
      <w:tr>
        <w:trPr>
          <w:cantSplit w:val="0"/>
          <w:trHeight w:val="271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4. Pricing (Costos)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Flexibilidad y Descuentos.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Facturación por segundo. Ofrece </w:t>
            </w:r>
            <w:r w:rsidDel="00000000" w:rsidR="00000000" w:rsidRPr="00000000">
              <w:rPr>
                <w:rFonts w:ascii="Times New Roman" w:cs="Times New Roman" w:eastAsia="Times New Roman" w:hAnsi="Times New Roman"/>
                <w:b w:val="1"/>
                <w:bCs w:val="1"/>
                <w:color w:val="1b1c1d"/>
                <w:sz w:val="20"/>
                <w:szCs w:val="20"/>
                <w:rtl w:val="0"/>
              </w:rPr>
              <w:t xml:space="preserve">Spot VMs</w:t>
            </w:r>
            <w:r w:rsidDel="00000000" w:rsidR="00000000" w:rsidRPr="00000000">
              <w:rPr>
                <w:rFonts w:ascii="Times New Roman" w:cs="Times New Roman" w:eastAsia="Times New Roman" w:hAnsi="Times New Roman"/>
                <w:color w:val="1b1c1d"/>
                <w:sz w:val="20"/>
                <w:szCs w:val="20"/>
                <w:rtl w:val="0"/>
              </w:rPr>
              <w:t xml:space="preserve"> (Preemptibles) muy agresivas en precio (hasta 80% dscto) fáciles de integrar en Dataproc.</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Facturación por segundo. Las instancias </w:t>
            </w:r>
            <w:r w:rsidDel="00000000" w:rsidR="00000000" w:rsidRPr="00000000">
              <w:rPr>
                <w:rFonts w:ascii="Times New Roman" w:cs="Times New Roman" w:eastAsia="Times New Roman" w:hAnsi="Times New Roman"/>
                <w:i w:val="1"/>
                <w:iCs w:val="1"/>
                <w:color w:val="1b1c1d"/>
                <w:sz w:val="20"/>
                <w:szCs w:val="20"/>
                <w:rtl w:val="0"/>
              </w:rPr>
              <w:t xml:space="preserve">Spot</w:t>
            </w:r>
            <w:r w:rsidDel="00000000" w:rsidR="00000000" w:rsidRPr="00000000">
              <w:rPr>
                <w:rFonts w:ascii="Times New Roman" w:cs="Times New Roman" w:eastAsia="Times New Roman" w:hAnsi="Times New Roman"/>
                <w:color w:val="1b1c1d"/>
                <w:sz w:val="20"/>
                <w:szCs w:val="20"/>
                <w:rtl w:val="0"/>
              </w:rPr>
              <w:t xml:space="preserve"> existen pero su política de recuperación es más agresiva, pudiendo interrumpir el ETL con mayor frecuencia.</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Facturación por minuto/segundo. Modelo de licencias complejo. Costos de cómputo suelen ser ligeramente más altos sin contratos Enterprise (EA).</w:t>
            </w:r>
          </w:p>
        </w:tc>
      </w:tr>
      <w:tr>
        <w:trPr>
          <w:cantSplit w:val="0"/>
          <w:trHeight w:val="3150"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5. Interoperabilidad y Multi-cloud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Facilidad para integrar herramientas externas.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Alta:</w:t>
            </w:r>
            <w:r w:rsidDel="00000000" w:rsidR="00000000" w:rsidRPr="00000000">
              <w:rPr>
                <w:rFonts w:ascii="Times New Roman" w:cs="Times New Roman" w:eastAsia="Times New Roman" w:hAnsi="Times New Roman"/>
                <w:color w:val="1b1c1d"/>
                <w:sz w:val="20"/>
                <w:szCs w:val="20"/>
                <w:rtl w:val="0"/>
              </w:rPr>
              <w:t xml:space="preserve"> GCP promueve una estrategia abierta. BigQuery permite lecturas externas y tiene APIs optimizadas (Storage API) para que herramientas como Power BI lean grandes volúmenes rápido.</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Media:</w:t>
            </w:r>
            <w:r w:rsidDel="00000000" w:rsidR="00000000" w:rsidRPr="00000000">
              <w:rPr>
                <w:rFonts w:ascii="Times New Roman" w:cs="Times New Roman" w:eastAsia="Times New Roman" w:hAnsi="Times New Roman"/>
                <w:color w:val="1b1c1d"/>
                <w:sz w:val="20"/>
                <w:szCs w:val="20"/>
                <w:rtl w:val="0"/>
              </w:rPr>
              <w:t xml:space="preserve"> AWS tiende a priorizar su propio ecosistema. Extraer datos masivos hacia herramientas externas puede incurrir en altos costos de </w:t>
            </w:r>
            <w:r w:rsidDel="00000000" w:rsidR="00000000" w:rsidRPr="00000000">
              <w:rPr>
                <w:rFonts w:ascii="Times New Roman" w:cs="Times New Roman" w:eastAsia="Times New Roman" w:hAnsi="Times New Roman"/>
                <w:i w:val="1"/>
                <w:iCs w:val="1"/>
                <w:color w:val="1b1c1d"/>
                <w:sz w:val="20"/>
                <w:szCs w:val="20"/>
                <w:rtl w:val="0"/>
              </w:rPr>
              <w:t xml:space="preserve">Egress</w:t>
            </w:r>
            <w:r w:rsidDel="00000000" w:rsidR="00000000" w:rsidRPr="00000000">
              <w:rPr>
                <w:rFonts w:ascii="Times New Roman" w:cs="Times New Roman" w:eastAsia="Times New Roman" w:hAnsi="Times New Roman"/>
                <w:color w:val="1b1c1d"/>
                <w:sz w:val="20"/>
                <w:szCs w:val="20"/>
                <w:rtl w:val="0"/>
              </w:rPr>
              <w:t xml:space="preserv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Alta (Entorno Microsoft):</w:t>
            </w:r>
            <w:r w:rsidDel="00000000" w:rsidR="00000000" w:rsidRPr="00000000">
              <w:rPr>
                <w:rFonts w:ascii="Times New Roman" w:cs="Times New Roman" w:eastAsia="Times New Roman" w:hAnsi="Times New Roman"/>
                <w:color w:val="1b1c1d"/>
                <w:sz w:val="20"/>
                <w:szCs w:val="20"/>
                <w:rtl w:val="0"/>
              </w:rPr>
              <w:t xml:space="preserve"> Diseñado para funcionar con Office 365, pero integrar servicios de datos externos (no Azure) a veces requiere configuración extra de redes.</w:t>
            </w:r>
          </w:p>
        </w:tc>
      </w:tr>
      <w:tr>
        <w:trPr>
          <w:cantSplit w:val="0"/>
          <w:trHeight w:val="2685" w:hRule="atLeast"/>
          <w:tblHeader w:val="0"/>
        </w:trPr>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6. Seguridad y Gobernanza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Control de acceso al dato.</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IAM simplificado. BigQuery permite compartir datasets específicos con cuentas de servicio que Power BI puede utilizar de forma segura (autenticación OAuth2).</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IAM muy granular y potente, pero con una curva de aprendizaje alta para configurar accesos seguros desde aplicaciones externas.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Active Directory (Entra ID) es el estándar de oro, facilitando la gestión de usuarios de Power BI, pero añade complejidad si la data no está en Azure.</w:t>
            </w:r>
          </w:p>
        </w:tc>
      </w:tr>
    </w:tbl>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38whokljofn2" w:id="3"/>
      <w:bookmarkEnd w:id="3"/>
      <w:r w:rsidDel="00000000" w:rsidR="00000000" w:rsidRPr="00000000">
        <w:rPr>
          <w:rtl w:val="0"/>
        </w:rPr>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xgkgr1asiaf4" w:id="4"/>
      <w:bookmarkEnd w:id="4"/>
      <w:r w:rsidDel="00000000" w:rsidR="00000000" w:rsidRPr="00000000">
        <w:rPr>
          <w:rFonts w:ascii="Times New Roman" w:cs="Times New Roman" w:eastAsia="Times New Roman" w:hAnsi="Times New Roman"/>
          <w:b w:val="1"/>
          <w:bCs w:val="1"/>
          <w:color w:val="1b1c1d"/>
          <w:sz w:val="24"/>
          <w:szCs w:val="24"/>
          <w:rtl w:val="0"/>
        </w:rPr>
        <w:t xml:space="preserve">2.3. Selección de la Plataforma y Alineación con Requerimientos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Basado en el análisis, la decisión final es una Arquitectura Híbrida: GCP (Backend) + Power BI (Frontend).</w:t>
      </w:r>
    </w:p>
    <w:p w:rsidR="00000000" w:rsidDel="00000000" w:rsidP="00000000" w:rsidRDefault="00000000" w:rsidRPr="00000000" w14:paraId="00000041">
      <w:pPr>
        <w:pBdr>
          <w:top w:color="auto" w:space="0" w:sz="0" w:val="none"/>
          <w:bottom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¿Por qué elegimos Google Cloud Platform (GCP) para el Backend?</w:t>
      </w:r>
    </w:p>
    <w:p w:rsidR="00000000" w:rsidDel="00000000" w:rsidP="00000000" w:rsidRDefault="00000000" w:rsidRPr="00000000" w14:paraId="00000042">
      <w:pPr>
        <w:pBdr>
          <w:top w:color="auto" w:space="0" w:sz="0" w:val="none"/>
          <w:bottom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A pesar de usar Power BI, elegimos GCP sobre Azure para el procesamiento y almacenamiento por dos razones financieras y técnicas alineadas al caso D-1:</w:t>
      </w:r>
    </w:p>
    <w:p w:rsidR="00000000" w:rsidDel="00000000" w:rsidP="00000000" w:rsidRDefault="00000000" w:rsidRPr="00000000" w14:paraId="00000043">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Eficiencia en Procesos Efímeros (Dataproc): Nuestro ETL corre solo 1 hora al día. Dataproc permite crear clústeres que "mueren" al terminar, y su integración con instancias </w:t>
      </w:r>
      <w:r w:rsidDel="00000000" w:rsidR="00000000" w:rsidRPr="00000000">
        <w:rPr>
          <w:rFonts w:ascii="Times New Roman" w:cs="Times New Roman" w:eastAsia="Times New Roman" w:hAnsi="Times New Roman"/>
          <w:i w:val="1"/>
          <w:iCs w:val="1"/>
          <w:color w:val="1b1c1d"/>
          <w:rtl w:val="0"/>
        </w:rPr>
        <w:t xml:space="preserve">Preemptibles</w:t>
      </w:r>
      <w:r w:rsidDel="00000000" w:rsidR="00000000" w:rsidRPr="00000000">
        <w:rPr>
          <w:rFonts w:ascii="Times New Roman" w:cs="Times New Roman" w:eastAsia="Times New Roman" w:hAnsi="Times New Roman"/>
          <w:color w:val="1b1c1d"/>
          <w:rtl w:val="0"/>
        </w:rPr>
        <w:t xml:space="preserve"> es más estable y barata que las opciones de AWS o Azure para este volumen de datos.</w:t>
      </w:r>
    </w:p>
    <w:p w:rsidR="00000000" w:rsidDel="00000000" w:rsidP="00000000" w:rsidRDefault="00000000" w:rsidRPr="00000000" w14:paraId="00000044">
      <w:pPr>
        <w:numPr>
          <w:ilvl w:val="0"/>
          <w:numId w:val="5"/>
        </w:numPr>
        <w:pBdr>
          <w:top w:color="auto" w:space="0" w:sz="0" w:val="none"/>
          <w:bottom w:color="auto" w:space="0" w:sz="0" w:val="none"/>
          <w:right w:color="auto" w:space="0" w:sz="0" w:val="none"/>
          <w:between w:color="auto" w:space="0" w:sz="0" w:val="none"/>
        </w:pBdr>
        <w:spacing w:after="36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BigQuery como Motor de Consulta: BigQuery separa el cómputo del almacenamiento. Esto nos permite almacenar terabytes de historia a bajo costo (GCP) y que Power BI solo pague por el cómputo de las consultas que realiza al actualizar el tablero, sin tener un servidor de base de datos encendido 24/7 (como requeriría una instancia tradicional de SQL Server o Redshift provisionado).</w:t>
      </w:r>
    </w:p>
    <w:p w:rsidR="00000000" w:rsidDel="00000000" w:rsidP="00000000" w:rsidRDefault="00000000" w:rsidRPr="00000000" w14:paraId="00000045">
      <w:pPr>
        <w:pBdr>
          <w:top w:color="auto" w:space="0" w:sz="0" w:val="none"/>
          <w:bottom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¿Por qué elegimos Power BI sobre Looker Studio (Nativo de GCP)?</w:t>
      </w:r>
    </w:p>
    <w:p w:rsidR="00000000" w:rsidDel="00000000" w:rsidP="00000000" w:rsidRDefault="00000000" w:rsidRPr="00000000" w14:paraId="00000046">
      <w:pPr>
        <w:pBdr>
          <w:top w:color="auto" w:space="0" w:sz="0" w:val="none"/>
          <w:bottom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Aunque Looker Studio es gratuito, seleccionamos Power BI para la capa de visualización por requerimientos funcionales avanzados:</w:t>
      </w:r>
    </w:p>
    <w:p w:rsidR="00000000" w:rsidDel="00000000" w:rsidP="00000000" w:rsidRDefault="00000000" w:rsidRPr="00000000" w14:paraId="00000047">
      <w:pPr>
        <w:numPr>
          <w:ilvl w:val="0"/>
          <w:numId w:val="13"/>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Capacidad de Modelado (DAX): El negocio requiere métricas complejas (ej. comparativas de tiempo inteligentes, acumulados YTD) que son nativas en DAX pero muy difíciles de mantener en Looker Studio.</w:t>
      </w:r>
    </w:p>
    <w:p w:rsidR="00000000" w:rsidDel="00000000" w:rsidP="00000000" w:rsidRDefault="00000000" w:rsidRPr="00000000" w14:paraId="00000048">
      <w:pPr>
        <w:numPr>
          <w:ilvl w:val="0"/>
          <w:numId w:val="13"/>
        </w:numPr>
        <w:pBdr>
          <w:top w:color="auto" w:space="0" w:sz="0" w:val="none"/>
          <w:bottom w:color="auto" w:space="0" w:sz="0" w:val="none"/>
          <w:right w:color="auto" w:space="0" w:sz="0" w:val="none"/>
          <w:between w:color="auto" w:space="0" w:sz="0" w:val="none"/>
        </w:pBdr>
        <w:spacing w:after="36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Conectividad DirectQuery: Power BI tiene un conector certificado para BigQuery. Utilizaremos el modo DirectQuery, lo que significa que los datos no se duplican en el reporte; Power BI consulta directamente a BigQuery, garantizando que el usuario siempre vea el dato "D-1" real sin esperar tiempos de recarga de importación.</w:t>
      </w:r>
    </w:p>
    <w:p w:rsidR="00000000" w:rsidDel="00000000" w:rsidP="00000000" w:rsidRDefault="00000000" w:rsidRPr="00000000" w14:paraId="00000049">
      <w:pPr>
        <w:pBdr>
          <w:top w:color="auto" w:space="0" w:sz="0" w:val="none"/>
          <w:bottom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Esta combinación nos otorga la infraestructura más costo-eficiente (GCP) junto con la herramienta de análisis más potente (Power BI), optimizando tanto el presupuesto operativo (OPEX) como la calidad de los insights entregados.</w:t>
      </w: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4we76sbaoh8q" w:id="5"/>
      <w:bookmarkEnd w:id="5"/>
      <w:r w:rsidDel="00000000" w:rsidR="00000000" w:rsidRPr="00000000">
        <w:rPr>
          <w:rFonts w:ascii="Times New Roman" w:cs="Times New Roman" w:eastAsia="Times New Roman" w:hAnsi="Times New Roman"/>
          <w:b w:val="1"/>
          <w:bCs w:val="1"/>
          <w:color w:val="1b1c1d"/>
          <w:sz w:val="24"/>
          <w:szCs w:val="24"/>
          <w:rtl w:val="0"/>
        </w:rPr>
        <w:t xml:space="preserve">3. Selección de Servicios Cloud y Arquitectura</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h65uxqcx1904" w:id="6"/>
      <w:bookmarkEnd w:id="6"/>
      <w:r w:rsidDel="00000000" w:rsidR="00000000" w:rsidRPr="00000000">
        <w:rPr>
          <w:rFonts w:ascii="Times New Roman" w:cs="Times New Roman" w:eastAsia="Times New Roman" w:hAnsi="Times New Roman"/>
          <w:b w:val="1"/>
          <w:bCs w:val="1"/>
          <w:color w:val="1b1c1d"/>
          <w:sz w:val="24"/>
          <w:szCs w:val="24"/>
          <w:rtl w:val="0"/>
        </w:rPr>
        <w:t xml:space="preserve">3.1. Diagrama de Arquitectura del Pipeline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Para responder al requerimiento de un procesamiento tipo D-1 (Batch), hemos diseñado una arquitectura de datos moderna y desacoplada. Este diseño prioriza la especialización de servicios: utilizamos la infraestructura de Google Cloud para el movimiento y procesamiento pesado de datos (Backend), e integramos Microsoft Power BI para la capa de inteligencia y visualización (Frontend), aprovechando las fortalezas de ambos ecosistemas.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El flujo de datos sigue una secuencia lineal lógica: Ingesta (Data Lake), Transformación (ETL), Almacenamiento (Data Warehouse), Visualización (BI).</w:t>
      </w:r>
    </w:p>
    <w:p w:rsidR="00000000" w:rsidDel="00000000" w:rsidP="00000000" w:rsidRDefault="00000000" w:rsidRPr="00000000" w14:paraId="0000004E">
      <w:pPr>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shd w:fill="cfe2f3" w:val="clear"/>
        </w:rPr>
        <w:drawing>
          <wp:inline distB="114300" distT="114300" distL="114300" distR="114300">
            <wp:extent cx="5915978" cy="1739446"/>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15978" cy="1739446"/>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A continuación, detallamos la selección técnica de cada componente y su rol en el ecosistema.</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r5tro1ivsg7" w:id="7"/>
      <w:bookmarkEnd w:id="7"/>
      <w:r w:rsidDel="00000000" w:rsidR="00000000" w:rsidRPr="00000000">
        <w:rPr>
          <w:rFonts w:ascii="Times New Roman" w:cs="Times New Roman" w:eastAsia="Times New Roman" w:hAnsi="Times New Roman"/>
          <w:b w:val="1"/>
          <w:bCs w:val="1"/>
          <w:color w:val="1b1c1d"/>
          <w:sz w:val="24"/>
          <w:szCs w:val="24"/>
          <w:rtl w:val="0"/>
        </w:rPr>
        <w:t xml:space="preserve">3.2. Fase de Ingesta y Data Lake: Google Cloud Storage (GCS)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Servicio Seleccionado:</w:t>
      </w:r>
      <w:r w:rsidDel="00000000" w:rsidR="00000000" w:rsidRPr="00000000">
        <w:rPr>
          <w:rFonts w:ascii="Times New Roman" w:cs="Times New Roman" w:eastAsia="Times New Roman" w:hAnsi="Times New Roman"/>
          <w:color w:val="1b1c1d"/>
          <w:rtl w:val="0"/>
        </w:rPr>
        <w:t xml:space="preserve"> Google Cloud Storage (Standard Storage)</w:t>
      </w:r>
    </w:p>
    <w:p w:rsidR="00000000" w:rsidDel="00000000" w:rsidP="00000000" w:rsidRDefault="00000000" w:rsidRPr="00000000" w14:paraId="00000052">
      <w:pPr>
        <w:pBdr>
          <w:top w:color="auto" w:space="0" w:sz="0" w:val="none"/>
          <w:bottom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Función en el Flujo BI:</w:t>
      </w:r>
    </w:p>
    <w:p w:rsidR="00000000" w:rsidDel="00000000" w:rsidP="00000000" w:rsidRDefault="00000000" w:rsidRPr="00000000" w14:paraId="00000053">
      <w:pPr>
        <w:pBdr>
          <w:top w:color="auto" w:space="0" w:sz="0" w:val="none"/>
          <w:bottom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GCS funciona como nuestro Data Lake, proveyendo un repositorio centralizado, escalable y de bajo costo para los archivos planos antes de ser procesados.</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En nuestra arquitectura, definimos dos zonas lógicas dentro de GCS:</w:t>
      </w:r>
    </w:p>
    <w:p w:rsidR="00000000" w:rsidDel="00000000" w:rsidP="00000000" w:rsidRDefault="00000000" w:rsidRPr="00000000" w14:paraId="00000055">
      <w:pPr>
        <w:numPr>
          <w:ilvl w:val="0"/>
          <w:numId w:val="8"/>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pPr>
      <w:r w:rsidDel="00000000" w:rsidR="00000000" w:rsidRPr="00000000">
        <w:rPr>
          <w:rFonts w:ascii="Times New Roman" w:cs="Times New Roman" w:eastAsia="Times New Roman" w:hAnsi="Times New Roman"/>
          <w:color w:val="1b1c1d"/>
          <w:rtl w:val="0"/>
        </w:rPr>
        <w:t xml:space="preserve">Zona "Raw" (Aterrizaje): Aquí se ingesta el archivo fuente </w:t>
      </w:r>
      <w:r w:rsidDel="00000000" w:rsidR="00000000" w:rsidRPr="00000000">
        <w:rPr>
          <w:rFonts w:ascii="Times New Roman" w:cs="Times New Roman" w:eastAsia="Times New Roman" w:hAnsi="Times New Roman"/>
          <w:color w:val="444746"/>
          <w:rtl w:val="0"/>
        </w:rPr>
        <w:t xml:space="preserve">sot_historico.csv</w:t>
      </w:r>
      <w:r w:rsidDel="00000000" w:rsidR="00000000" w:rsidRPr="00000000">
        <w:rPr>
          <w:rFonts w:ascii="Times New Roman" w:cs="Times New Roman" w:eastAsia="Times New Roman" w:hAnsi="Times New Roman"/>
          <w:color w:val="1b1c1d"/>
          <w:rtl w:val="0"/>
        </w:rPr>
        <w:t xml:space="preserve">. Es la zona de "datos inmutables", donde la información reside tal cual fue extraída de los sistemas transaccionales.</w:t>
      </w:r>
    </w:p>
    <w:p w:rsidR="00000000" w:rsidDel="00000000" w:rsidP="00000000" w:rsidRDefault="00000000" w:rsidRPr="00000000" w14:paraId="00000056">
      <w:pPr>
        <w:numPr>
          <w:ilvl w:val="0"/>
          <w:numId w:val="8"/>
        </w:numPr>
        <w:pBdr>
          <w:top w:color="auto" w:space="0" w:sz="0" w:val="none"/>
          <w:bottom w:color="auto" w:space="0" w:sz="0" w:val="none"/>
          <w:right w:color="auto" w:space="0" w:sz="0" w:val="none"/>
          <w:between w:color="auto" w:space="0" w:sz="0" w:val="none"/>
        </w:pBdr>
        <w:spacing w:after="360" w:line="276" w:lineRule="auto"/>
        <w:ind w:left="720" w:hanging="360"/>
        <w:jc w:val="both"/>
        <w:rPr/>
      </w:pPr>
      <w:r w:rsidDel="00000000" w:rsidR="00000000" w:rsidRPr="00000000">
        <w:rPr>
          <w:rFonts w:ascii="Times New Roman" w:cs="Times New Roman" w:eastAsia="Times New Roman" w:hAnsi="Times New Roman"/>
          <w:color w:val="1b1c1d"/>
          <w:rtl w:val="0"/>
        </w:rPr>
        <w:t xml:space="preserve">Zona "Staging" (Intermedia): Utilizamos el bucket </w:t>
      </w:r>
      <w:r w:rsidDel="00000000" w:rsidR="00000000" w:rsidRPr="00000000">
        <w:rPr>
          <w:rFonts w:ascii="Times New Roman" w:cs="Times New Roman" w:eastAsia="Times New Roman" w:hAnsi="Times New Roman"/>
          <w:color w:val="444746"/>
          <w:rtl w:val="0"/>
        </w:rPr>
        <w:t xml:space="preserve">bucket-prueba-mia-analisis-sot</w:t>
      </w:r>
      <w:r w:rsidDel="00000000" w:rsidR="00000000" w:rsidRPr="00000000">
        <w:rPr>
          <w:rFonts w:ascii="Times New Roman" w:cs="Times New Roman" w:eastAsia="Times New Roman" w:hAnsi="Times New Roman"/>
          <w:color w:val="1b1c1d"/>
          <w:rtl w:val="0"/>
        </w:rPr>
        <w:t xml:space="preserve"> como área de intercambio. Este espacio es vital para que Dataproc guarde logs de ejecución y archivos temporales durante el proceso de transformación, y para que BigQuery gestione cargas masivas sin impactar el rendimiento.</w:t>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5bbifbddbbl8" w:id="8"/>
      <w:bookmarkEnd w:id="8"/>
      <w:r w:rsidDel="00000000" w:rsidR="00000000" w:rsidRPr="00000000">
        <w:rPr>
          <w:rFonts w:ascii="Times New Roman" w:cs="Times New Roman" w:eastAsia="Times New Roman" w:hAnsi="Times New Roman"/>
          <w:b w:val="1"/>
          <w:bCs w:val="1"/>
          <w:color w:val="1b1c1d"/>
          <w:sz w:val="24"/>
          <w:szCs w:val="24"/>
          <w:rtl w:val="0"/>
        </w:rPr>
        <w:t xml:space="preserve">3.3. Fase de Procesamiento y Transformación (ETL): Google Cloud Dataproc</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Servicio Seleccionado:</w:t>
      </w:r>
      <w:r w:rsidDel="00000000" w:rsidR="00000000" w:rsidRPr="00000000">
        <w:rPr>
          <w:rFonts w:ascii="Times New Roman" w:cs="Times New Roman" w:eastAsia="Times New Roman" w:hAnsi="Times New Roman"/>
          <w:color w:val="1b1c1d"/>
          <w:rtl w:val="0"/>
        </w:rPr>
        <w:t xml:space="preserve"> Google Cloud Dataproc (Apache Spark gestionado)</w:t>
      </w:r>
    </w:p>
    <w:p w:rsidR="00000000" w:rsidDel="00000000" w:rsidP="00000000" w:rsidRDefault="00000000" w:rsidRPr="00000000" w14:paraId="00000059">
      <w:pPr>
        <w:pBdr>
          <w:top w:color="auto" w:space="0" w:sz="0" w:val="none"/>
          <w:bottom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Función en el Flujo BI:</w:t>
      </w:r>
    </w:p>
    <w:p w:rsidR="00000000" w:rsidDel="00000000" w:rsidP="00000000" w:rsidRDefault="00000000" w:rsidRPr="00000000" w14:paraId="0000005A">
      <w:pPr>
        <w:pBdr>
          <w:top w:color="auto" w:space="0" w:sz="0" w:val="none"/>
          <w:bottom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Dataproc actúa como el motor de cómputo distribuido. Elegimos este servicio por su capacidad de levantar clústeres de Hadoop/Spark en segundos, permitiéndonos procesar grandes volúmenes de datos (sot_historico.csv) en una ventana de tiempo reducida.</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La lógica ETL se ejecuta mediante scripts de </w:t>
      </w:r>
      <w:r w:rsidDel="00000000" w:rsidR="00000000" w:rsidRPr="00000000">
        <w:rPr>
          <w:rFonts w:ascii="Times New Roman" w:cs="Times New Roman" w:eastAsia="Times New Roman" w:hAnsi="Times New Roman"/>
          <w:b w:val="1"/>
          <w:bCs w:val="1"/>
          <w:color w:val="1b1c1d"/>
          <w:rtl w:val="0"/>
        </w:rPr>
        <w:t xml:space="preserve">PySpark</w:t>
      </w:r>
      <w:r w:rsidDel="00000000" w:rsidR="00000000" w:rsidRPr="00000000">
        <w:rPr>
          <w:rFonts w:ascii="Times New Roman" w:cs="Times New Roman" w:eastAsia="Times New Roman" w:hAnsi="Times New Roman"/>
          <w:color w:val="1b1c1d"/>
          <w:rtl w:val="0"/>
        </w:rPr>
        <w:t xml:space="preserve">, realizando tareas críticas de calidad de datos:</w:t>
      </w:r>
    </w:p>
    <w:p w:rsidR="00000000" w:rsidDel="00000000" w:rsidP="00000000" w:rsidRDefault="00000000" w:rsidRPr="00000000" w14:paraId="0000005C">
      <w:pPr>
        <w:numPr>
          <w:ilvl w:val="0"/>
          <w:numId w:val="12"/>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pPr>
      <w:r w:rsidDel="00000000" w:rsidR="00000000" w:rsidRPr="00000000">
        <w:rPr>
          <w:rFonts w:ascii="Times New Roman" w:cs="Times New Roman" w:eastAsia="Times New Roman" w:hAnsi="Times New Roman"/>
          <w:b w:val="1"/>
          <w:bCs w:val="1"/>
          <w:color w:val="1b1c1d"/>
          <w:rtl w:val="0"/>
        </w:rPr>
        <w:t xml:space="preserve">Saneamiento:</w:t>
      </w:r>
      <w:r w:rsidDel="00000000" w:rsidR="00000000" w:rsidRPr="00000000">
        <w:rPr>
          <w:rFonts w:ascii="Times New Roman" w:cs="Times New Roman" w:eastAsia="Times New Roman" w:hAnsi="Times New Roman"/>
          <w:color w:val="1b1c1d"/>
          <w:rtl w:val="0"/>
        </w:rPr>
        <w:t xml:space="preserve"> Filtrado de registros corruptos y eliminación de espacios con </w:t>
      </w:r>
      <w:r w:rsidDel="00000000" w:rsidR="00000000" w:rsidRPr="00000000">
        <w:rPr>
          <w:rFonts w:ascii="Times New Roman" w:cs="Times New Roman" w:eastAsia="Times New Roman" w:hAnsi="Times New Roman"/>
          <w:color w:val="444746"/>
          <w:rtl w:val="0"/>
        </w:rPr>
        <w:t xml:space="preserve">trim()</w:t>
      </w:r>
      <w:r w:rsidDel="00000000" w:rsidR="00000000" w:rsidRPr="00000000">
        <w:rPr>
          <w:rFonts w:ascii="Times New Roman" w:cs="Times New Roman" w:eastAsia="Times New Roman" w:hAnsi="Times New Roman"/>
          <w:color w:val="1b1c1d"/>
          <w:rtl w:val="0"/>
        </w:rPr>
        <w:t xml:space="preserve">.</w:t>
      </w:r>
    </w:p>
    <w:p w:rsidR="00000000" w:rsidDel="00000000" w:rsidP="00000000" w:rsidRDefault="00000000" w:rsidRPr="00000000" w14:paraId="0000005D">
      <w:pPr>
        <w:numPr>
          <w:ilvl w:val="0"/>
          <w:numId w:val="12"/>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pPr>
      <w:r w:rsidDel="00000000" w:rsidR="00000000" w:rsidRPr="00000000">
        <w:rPr>
          <w:rFonts w:ascii="Times New Roman" w:cs="Times New Roman" w:eastAsia="Times New Roman" w:hAnsi="Times New Roman"/>
          <w:b w:val="1"/>
          <w:bCs w:val="1"/>
          <w:color w:val="1b1c1d"/>
          <w:rtl w:val="0"/>
        </w:rPr>
        <w:t xml:space="preserve">Estandarización:</w:t>
      </w:r>
      <w:r w:rsidDel="00000000" w:rsidR="00000000" w:rsidRPr="00000000">
        <w:rPr>
          <w:rFonts w:ascii="Times New Roman" w:cs="Times New Roman" w:eastAsia="Times New Roman" w:hAnsi="Times New Roman"/>
          <w:color w:val="1b1c1d"/>
          <w:rtl w:val="0"/>
        </w:rPr>
        <w:t xml:space="preserve"> Normalización de textos (ej. nombres de ciudades) mediante </w:t>
      </w:r>
      <w:r w:rsidDel="00000000" w:rsidR="00000000" w:rsidRPr="00000000">
        <w:rPr>
          <w:rFonts w:ascii="Times New Roman" w:cs="Times New Roman" w:eastAsia="Times New Roman" w:hAnsi="Times New Roman"/>
          <w:color w:val="444746"/>
          <w:rtl w:val="0"/>
        </w:rPr>
        <w:t xml:space="preserve">initcap()</w:t>
      </w:r>
      <w:r w:rsidDel="00000000" w:rsidR="00000000" w:rsidRPr="00000000">
        <w:rPr>
          <w:rFonts w:ascii="Times New Roman" w:cs="Times New Roman" w:eastAsia="Times New Roman" w:hAnsi="Times New Roman"/>
          <w:color w:val="1b1c1d"/>
          <w:rtl w:val="0"/>
        </w:rPr>
        <w:t xml:space="preserve">.</w:t>
      </w:r>
    </w:p>
    <w:p w:rsidR="00000000" w:rsidDel="00000000" w:rsidP="00000000" w:rsidRDefault="00000000" w:rsidRPr="00000000" w14:paraId="0000005E">
      <w:pPr>
        <w:numPr>
          <w:ilvl w:val="0"/>
          <w:numId w:val="12"/>
        </w:numPr>
        <w:pBdr>
          <w:top w:color="auto" w:space="0" w:sz="0" w:val="none"/>
          <w:bottom w:color="auto" w:space="0" w:sz="0" w:val="none"/>
          <w:right w:color="auto" w:space="0" w:sz="0" w:val="none"/>
          <w:between w:color="auto" w:space="0" w:sz="0" w:val="none"/>
        </w:pBdr>
        <w:spacing w:after="360" w:line="276" w:lineRule="auto"/>
        <w:ind w:left="720" w:hanging="360"/>
        <w:jc w:val="both"/>
        <w:rPr/>
      </w:pPr>
      <w:r w:rsidDel="00000000" w:rsidR="00000000" w:rsidRPr="00000000">
        <w:rPr>
          <w:rFonts w:ascii="Times New Roman" w:cs="Times New Roman" w:eastAsia="Times New Roman" w:hAnsi="Times New Roman"/>
          <w:b w:val="1"/>
          <w:bCs w:val="1"/>
          <w:color w:val="1b1c1d"/>
          <w:rtl w:val="0"/>
        </w:rPr>
        <w:t xml:space="preserve">Tipado Fuerte:</w:t>
      </w:r>
      <w:r w:rsidDel="00000000" w:rsidR="00000000" w:rsidRPr="00000000">
        <w:rPr>
          <w:rFonts w:ascii="Times New Roman" w:cs="Times New Roman" w:eastAsia="Times New Roman" w:hAnsi="Times New Roman"/>
          <w:color w:val="1b1c1d"/>
          <w:rtl w:val="0"/>
        </w:rPr>
        <w:t xml:space="preserve"> Conversión de cadenas de texto a tipos </w:t>
      </w:r>
      <w:r w:rsidDel="00000000" w:rsidR="00000000" w:rsidRPr="00000000">
        <w:rPr>
          <w:rFonts w:ascii="Times New Roman" w:cs="Times New Roman" w:eastAsia="Times New Roman" w:hAnsi="Times New Roman"/>
          <w:color w:val="444746"/>
          <w:rtl w:val="0"/>
        </w:rPr>
        <w:t xml:space="preserve">Date</w:t>
      </w:r>
      <w:r w:rsidDel="00000000" w:rsidR="00000000" w:rsidRPr="00000000">
        <w:rPr>
          <w:rFonts w:ascii="Times New Roman" w:cs="Times New Roman" w:eastAsia="Times New Roman" w:hAnsi="Times New Roman"/>
          <w:color w:val="1b1c1d"/>
          <w:rtl w:val="0"/>
        </w:rPr>
        <w:t xml:space="preserve"> y numéricos (</w:t>
      </w:r>
      <w:r w:rsidDel="00000000" w:rsidR="00000000" w:rsidRPr="00000000">
        <w:rPr>
          <w:rFonts w:ascii="Times New Roman" w:cs="Times New Roman" w:eastAsia="Times New Roman" w:hAnsi="Times New Roman"/>
          <w:color w:val="444746"/>
          <w:rtl w:val="0"/>
        </w:rPr>
        <w:t xml:space="preserve">to_date</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444746"/>
          <w:rtl w:val="0"/>
        </w:rPr>
        <w:t xml:space="preserve">cast</w:t>
      </w:r>
      <w:r w:rsidDel="00000000" w:rsidR="00000000" w:rsidRPr="00000000">
        <w:rPr>
          <w:rFonts w:ascii="Times New Roman" w:cs="Times New Roman" w:eastAsia="Times New Roman" w:hAnsi="Times New Roman"/>
          <w:color w:val="1b1c1d"/>
          <w:rtl w:val="0"/>
        </w:rPr>
        <w:t xml:space="preserve">), preparando la data para el análisis temporal.</w:t>
      </w:r>
    </w:p>
    <w:p w:rsidR="00000000" w:rsidDel="00000000" w:rsidP="00000000" w:rsidRDefault="00000000" w:rsidRPr="00000000" w14:paraId="0000005F">
      <w:pPr>
        <w:pBdr>
          <w:top w:color="auto" w:space="0" w:sz="0" w:val="none"/>
          <w:bottom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Arquitectura Efímera:</w:t>
      </w:r>
    </w:p>
    <w:p w:rsidR="00000000" w:rsidDel="00000000" w:rsidP="00000000" w:rsidRDefault="00000000" w:rsidRPr="00000000" w14:paraId="00000060">
      <w:pPr>
        <w:pBdr>
          <w:top w:color="auto" w:space="0" w:sz="0" w:val="none"/>
          <w:bottom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Para optimizar costos, el clúster se configura como efímero con una política de ciclo de vida (--max-idle 1800s). El clúster se aprovisiona automáticamente cuando inicia el job diario y se autodestruye al finalizar, garantizando que no pagamos por servidores ociosos.</w:t>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gmwxswos52au" w:id="9"/>
      <w:bookmarkEnd w:id="9"/>
      <w:r w:rsidDel="00000000" w:rsidR="00000000" w:rsidRPr="00000000">
        <w:rPr>
          <w:rFonts w:ascii="Times New Roman" w:cs="Times New Roman" w:eastAsia="Times New Roman" w:hAnsi="Times New Roman"/>
          <w:b w:val="1"/>
          <w:bCs w:val="1"/>
          <w:color w:val="1b1c1d"/>
          <w:sz w:val="24"/>
          <w:szCs w:val="24"/>
          <w:rtl w:val="0"/>
        </w:rPr>
        <w:t xml:space="preserve">3.4. Fase de Almacenamiento Analítico (Data Warehouse): Google BigQuery</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Servicio Seleccionado:</w:t>
      </w:r>
      <w:r w:rsidDel="00000000" w:rsidR="00000000" w:rsidRPr="00000000">
        <w:rPr>
          <w:rFonts w:ascii="Times New Roman" w:cs="Times New Roman" w:eastAsia="Times New Roman" w:hAnsi="Times New Roman"/>
          <w:color w:val="1b1c1d"/>
          <w:rtl w:val="0"/>
        </w:rPr>
        <w:t xml:space="preserve"> Google BigQuery</w:t>
      </w:r>
    </w:p>
    <w:p w:rsidR="00000000" w:rsidDel="00000000" w:rsidP="00000000" w:rsidRDefault="00000000" w:rsidRPr="00000000" w14:paraId="00000063">
      <w:pPr>
        <w:pBdr>
          <w:top w:color="auto" w:space="0" w:sz="0" w:val="none"/>
          <w:bottom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Función en el Flujo BI:</w:t>
      </w:r>
    </w:p>
    <w:p w:rsidR="00000000" w:rsidDel="00000000" w:rsidP="00000000" w:rsidRDefault="00000000" w:rsidRPr="00000000" w14:paraId="00000064">
      <w:pPr>
        <w:pBdr>
          <w:top w:color="auto" w:space="0" w:sz="0" w:val="none"/>
          <w:bottom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BigQuery es el corazón analítico de la solución. Su arquitectura Serverless nos permite consolidar terabytes de historia sin administrar infraestructura.</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La estrategia de modelado en BigQuery consta de dos niveles:</w:t>
      </w:r>
    </w:p>
    <w:p w:rsidR="00000000" w:rsidDel="00000000" w:rsidP="00000000" w:rsidRDefault="00000000" w:rsidRPr="00000000" w14:paraId="00000066">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Capa Física (Tabla Maestra): La tabla </w:t>
      </w:r>
      <w:r w:rsidDel="00000000" w:rsidR="00000000" w:rsidRPr="00000000">
        <w:rPr>
          <w:rFonts w:ascii="Times New Roman" w:cs="Times New Roman" w:eastAsia="Times New Roman" w:hAnsi="Times New Roman"/>
          <w:color w:val="444746"/>
          <w:rtl w:val="0"/>
        </w:rPr>
        <w:t xml:space="preserve">reporte_ventas_d1</w:t>
      </w:r>
      <w:r w:rsidDel="00000000" w:rsidR="00000000" w:rsidRPr="00000000">
        <w:rPr>
          <w:rFonts w:ascii="Times New Roman" w:cs="Times New Roman" w:eastAsia="Times New Roman" w:hAnsi="Times New Roman"/>
          <w:color w:val="1b1c1d"/>
          <w:rtl w:val="0"/>
        </w:rPr>
        <w:t xml:space="preserve"> almacena los datos limpios y estructurados generados por Dataproc. Esta tabla actúa como el histórico persistente.</w:t>
      </w:r>
    </w:p>
    <w:p w:rsidR="00000000" w:rsidDel="00000000" w:rsidP="00000000" w:rsidRDefault="00000000" w:rsidRPr="00000000" w14:paraId="00000067">
      <w:pPr>
        <w:numPr>
          <w:ilvl w:val="0"/>
          <w:numId w:val="2"/>
        </w:numPr>
        <w:pBdr>
          <w:top w:color="auto" w:space="0" w:sz="0" w:val="none"/>
          <w:bottom w:color="auto" w:space="0" w:sz="0" w:val="none"/>
          <w:right w:color="auto" w:space="0" w:sz="0" w:val="none"/>
          <w:between w:color="auto" w:space="0" w:sz="0" w:val="none"/>
        </w:pBdr>
        <w:spacing w:after="36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Capa Semántica (Vista SQL): Implementamos la vista </w:t>
      </w:r>
      <w:r w:rsidDel="00000000" w:rsidR="00000000" w:rsidRPr="00000000">
        <w:rPr>
          <w:rFonts w:ascii="Times New Roman" w:cs="Times New Roman" w:eastAsia="Times New Roman" w:hAnsi="Times New Roman"/>
          <w:color w:val="444746"/>
          <w:rtl w:val="0"/>
        </w:rPr>
        <w:t xml:space="preserve">v_resumen_sot</w:t>
      </w:r>
      <w:r w:rsidDel="00000000" w:rsidR="00000000" w:rsidRPr="00000000">
        <w:rPr>
          <w:rFonts w:ascii="Times New Roman" w:cs="Times New Roman" w:eastAsia="Times New Roman" w:hAnsi="Times New Roman"/>
          <w:color w:val="1b1c1d"/>
          <w:rtl w:val="0"/>
        </w:rPr>
        <w:t xml:space="preserve"> como interfaz de consumo. Aquí centralizamos la lógica de negocio (cálculo de indicadores como </w:t>
      </w:r>
      <w:r w:rsidDel="00000000" w:rsidR="00000000" w:rsidRPr="00000000">
        <w:rPr>
          <w:rFonts w:ascii="Times New Roman" w:cs="Times New Roman" w:eastAsia="Times New Roman" w:hAnsi="Times New Roman"/>
          <w:color w:val="444746"/>
          <w:rtl w:val="0"/>
        </w:rPr>
        <w:t xml:space="preserve">Dilacion_Creacion</w:t>
      </w:r>
      <w:r w:rsidDel="00000000" w:rsidR="00000000" w:rsidRPr="00000000">
        <w:rPr>
          <w:rFonts w:ascii="Times New Roman" w:cs="Times New Roman" w:eastAsia="Times New Roman" w:hAnsi="Times New Roman"/>
          <w:color w:val="1b1c1d"/>
          <w:rtl w:val="0"/>
        </w:rPr>
        <w:t xml:space="preserve"> usando </w:t>
      </w:r>
      <w:r w:rsidDel="00000000" w:rsidR="00000000" w:rsidRPr="00000000">
        <w:rPr>
          <w:rFonts w:ascii="Times New Roman" w:cs="Times New Roman" w:eastAsia="Times New Roman" w:hAnsi="Times New Roman"/>
          <w:color w:val="444746"/>
          <w:rtl w:val="0"/>
        </w:rPr>
        <w:t xml:space="preserve">DATE_DIFF</w:t>
      </w:r>
      <w:r w:rsidDel="00000000" w:rsidR="00000000" w:rsidRPr="00000000">
        <w:rPr>
          <w:rFonts w:ascii="Times New Roman" w:cs="Times New Roman" w:eastAsia="Times New Roman" w:hAnsi="Times New Roman"/>
          <w:color w:val="1b1c1d"/>
          <w:rtl w:val="0"/>
        </w:rPr>
        <w:t xml:space="preserve"> y agregaciones). Esta vista es crucial para la integración con Power BI, ya que presenta los datos "pre-masajeados" y listos para consumir.</w:t>
      </w:r>
    </w:p>
    <w:p w:rsidR="00000000" w:rsidDel="00000000" w:rsidP="00000000" w:rsidRDefault="00000000" w:rsidRPr="00000000" w14:paraId="000000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hlfcyglxi9rb" w:id="10"/>
      <w:bookmarkEnd w:id="10"/>
      <w:r w:rsidDel="00000000" w:rsidR="00000000" w:rsidRPr="00000000">
        <w:rPr>
          <w:rFonts w:ascii="Times New Roman" w:cs="Times New Roman" w:eastAsia="Times New Roman" w:hAnsi="Times New Roman"/>
          <w:b w:val="1"/>
          <w:bCs w:val="1"/>
          <w:color w:val="1b1c1d"/>
          <w:sz w:val="24"/>
          <w:szCs w:val="24"/>
          <w:rtl w:val="0"/>
        </w:rPr>
        <w:t xml:space="preserve">3.5. Fase de Visualización: Microsoft Power BI</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Servicio Seleccionado:</w:t>
      </w:r>
      <w:r w:rsidDel="00000000" w:rsidR="00000000" w:rsidRPr="00000000">
        <w:rPr>
          <w:rFonts w:ascii="Times New Roman" w:cs="Times New Roman" w:eastAsia="Times New Roman" w:hAnsi="Times New Roman"/>
          <w:color w:val="1b1c1d"/>
          <w:rtl w:val="0"/>
        </w:rPr>
        <w:t xml:space="preserve"> Microsoft Power BI (Servicio SaaS + Desktop)</w:t>
      </w:r>
    </w:p>
    <w:p w:rsidR="00000000" w:rsidDel="00000000" w:rsidP="00000000" w:rsidRDefault="00000000" w:rsidRPr="00000000" w14:paraId="0000006A">
      <w:pPr>
        <w:pBdr>
          <w:top w:color="auto" w:space="0" w:sz="0" w:val="none"/>
          <w:bottom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Función en el Flujo BI:</w:t>
      </w:r>
    </w:p>
    <w:p w:rsidR="00000000" w:rsidDel="00000000" w:rsidP="00000000" w:rsidRDefault="00000000" w:rsidRPr="00000000" w14:paraId="0000006B">
      <w:pPr>
        <w:pBdr>
          <w:top w:color="auto" w:space="0" w:sz="0" w:val="none"/>
          <w:bottom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Power BI se selecciona como la herramienta de Inteligencia de Negocios para la entrega de información a los usuarios finales. Su rol es conectarse al Data Warehouse y permitir la exploración interactiva de los KPIs.</w:t>
      </w:r>
    </w:p>
    <w:p w:rsidR="00000000" w:rsidDel="00000000" w:rsidP="00000000" w:rsidRDefault="00000000" w:rsidRPr="00000000" w14:paraId="0000006C">
      <w:pPr>
        <w:pBdr>
          <w:top w:color="auto" w:space="0" w:sz="0" w:val="none"/>
          <w:bottom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Integración Híbrida (Conector BigQuery):</w:t>
      </w:r>
    </w:p>
    <w:p w:rsidR="00000000" w:rsidDel="00000000" w:rsidP="00000000" w:rsidRDefault="00000000" w:rsidRPr="00000000" w14:paraId="0000006D">
      <w:pPr>
        <w:pBdr>
          <w:top w:color="auto" w:space="0" w:sz="0" w:val="none"/>
          <w:bottom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Para conectar el mundo de Microsoft con Google Cloud de forma eficiente, utilizamos el conector nativo de BigQuery en modo DirectQuery.</w:t>
      </w:r>
    </w:p>
    <w:p w:rsidR="00000000" w:rsidDel="00000000" w:rsidP="00000000" w:rsidRDefault="00000000" w:rsidRPr="00000000" w14:paraId="0000006E">
      <w:pPr>
        <w:numPr>
          <w:ilvl w:val="0"/>
          <w:numId w:val="4"/>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pPr>
      <w:r w:rsidDel="00000000" w:rsidR="00000000" w:rsidRPr="00000000">
        <w:rPr>
          <w:rFonts w:ascii="Times New Roman" w:cs="Times New Roman" w:eastAsia="Times New Roman" w:hAnsi="Times New Roman"/>
          <w:b w:val="1"/>
          <w:bCs w:val="1"/>
          <w:color w:val="1b1c1d"/>
          <w:rtl w:val="0"/>
        </w:rPr>
        <w:t xml:space="preserve">Justificación Técnica:</w:t>
      </w:r>
      <w:r w:rsidDel="00000000" w:rsidR="00000000" w:rsidRPr="00000000">
        <w:rPr>
          <w:rFonts w:ascii="Times New Roman" w:cs="Times New Roman" w:eastAsia="Times New Roman" w:hAnsi="Times New Roman"/>
          <w:color w:val="1b1c1d"/>
          <w:rtl w:val="0"/>
        </w:rPr>
        <w:t xml:space="preserve"> A diferencia del modo "Import" (que copia los datos al reporte), DirectQuery mantiene los datos en BigQuery. Cuando un usuario filtra el dashboard en Power BI, la herramienta envía una consulta SQL a BigQuery en tiempo real.</w:t>
      </w:r>
    </w:p>
    <w:p w:rsidR="00000000" w:rsidDel="00000000" w:rsidP="00000000" w:rsidRDefault="00000000" w:rsidRPr="00000000" w14:paraId="0000006F">
      <w:pPr>
        <w:numPr>
          <w:ilvl w:val="0"/>
          <w:numId w:val="4"/>
        </w:numPr>
        <w:pBdr>
          <w:top w:color="auto" w:space="0" w:sz="0" w:val="none"/>
          <w:bottom w:color="auto" w:space="0" w:sz="0" w:val="none"/>
          <w:right w:color="auto" w:space="0" w:sz="0" w:val="none"/>
          <w:between w:color="auto" w:space="0" w:sz="0" w:val="none"/>
        </w:pBdr>
        <w:spacing w:after="360" w:line="276" w:lineRule="auto"/>
        <w:ind w:left="720" w:hanging="360"/>
        <w:jc w:val="both"/>
        <w:rPr/>
      </w:pPr>
      <w:r w:rsidDel="00000000" w:rsidR="00000000" w:rsidRPr="00000000">
        <w:rPr>
          <w:rFonts w:ascii="Times New Roman" w:cs="Times New Roman" w:eastAsia="Times New Roman" w:hAnsi="Times New Roman"/>
          <w:b w:val="1"/>
          <w:bCs w:val="1"/>
          <w:color w:val="1b1c1d"/>
          <w:rtl w:val="0"/>
        </w:rPr>
        <w:t xml:space="preserve">Beneficio:</w:t>
      </w:r>
      <w:r w:rsidDel="00000000" w:rsidR="00000000" w:rsidRPr="00000000">
        <w:rPr>
          <w:rFonts w:ascii="Times New Roman" w:cs="Times New Roman" w:eastAsia="Times New Roman" w:hAnsi="Times New Roman"/>
          <w:color w:val="1b1c1d"/>
          <w:rtl w:val="0"/>
        </w:rPr>
        <w:t xml:space="preserve"> Esto asegura una "Única Fuente de la Verdad". No duplicamos datos en archivos </w:t>
      </w:r>
      <w:r w:rsidDel="00000000" w:rsidR="00000000" w:rsidRPr="00000000">
        <w:rPr>
          <w:rFonts w:ascii="Times New Roman" w:cs="Times New Roman" w:eastAsia="Times New Roman" w:hAnsi="Times New Roman"/>
          <w:color w:val="444746"/>
          <w:rtl w:val="0"/>
        </w:rPr>
        <w:t xml:space="preserve">.pbix</w:t>
      </w:r>
      <w:r w:rsidDel="00000000" w:rsidR="00000000" w:rsidRPr="00000000">
        <w:rPr>
          <w:rFonts w:ascii="Times New Roman" w:cs="Times New Roman" w:eastAsia="Times New Roman" w:hAnsi="Times New Roman"/>
          <w:color w:val="1b1c1d"/>
          <w:rtl w:val="0"/>
        </w:rPr>
        <w:t xml:space="preserve"> locales, garantizando que el dashboard siempre muestre la data D-1 más reciente procesada por el pipeline, aprovechando la potencia de cálculo de Google para resolver las consultas pesadas y la capacidad gráfica de Microsoft para visualizarlas.</w:t>
      </w:r>
      <w:r w:rsidDel="00000000" w:rsidR="00000000" w:rsidRPr="00000000">
        <w:rPr>
          <w:rtl w:val="0"/>
        </w:rPr>
      </w:r>
    </w:p>
    <w:p w:rsidR="00000000" w:rsidDel="00000000" w:rsidP="00000000" w:rsidRDefault="00000000" w:rsidRPr="00000000" w14:paraId="0000007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vnx6tppay4gk" w:id="11"/>
      <w:bookmarkEnd w:id="11"/>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io3jddao2k7r" w:id="12"/>
      <w:bookmarkEnd w:id="12"/>
      <w:r w:rsidDel="00000000" w:rsidR="00000000" w:rsidRPr="00000000">
        <w:rPr>
          <w:rFonts w:ascii="Times New Roman" w:cs="Times New Roman" w:eastAsia="Times New Roman" w:hAnsi="Times New Roman"/>
          <w:b w:val="1"/>
          <w:bCs w:val="1"/>
          <w:color w:val="1b1c1d"/>
          <w:sz w:val="24"/>
          <w:szCs w:val="24"/>
          <w:rtl w:val="0"/>
        </w:rPr>
        <w:t xml:space="preserve">4. Matriz de Costos y Proyección de Uso</w:t>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q02c9yxvvcb4" w:id="13"/>
      <w:bookmarkEnd w:id="13"/>
      <w:r w:rsidDel="00000000" w:rsidR="00000000" w:rsidRPr="00000000">
        <w:rPr>
          <w:rFonts w:ascii="Times New Roman" w:cs="Times New Roman" w:eastAsia="Times New Roman" w:hAnsi="Times New Roman"/>
          <w:b w:val="1"/>
          <w:bCs w:val="1"/>
          <w:color w:val="1b1c1d"/>
          <w:sz w:val="24"/>
          <w:szCs w:val="24"/>
          <w:rtl w:val="0"/>
        </w:rPr>
        <w:t xml:space="preserve">4.1. Premisas del Escenario Base</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Para realizar una estimación financiera realista y alineada con la arquitectura híbrida propuesta, hemos definido un escenario operativo estándar para el pipeline D-1:</w:t>
      </w:r>
    </w:p>
    <w:p w:rsidR="00000000" w:rsidDel="00000000" w:rsidP="00000000" w:rsidRDefault="00000000" w:rsidRPr="00000000" w14:paraId="00000074">
      <w:pPr>
        <w:numPr>
          <w:ilvl w:val="0"/>
          <w:numId w:val="15"/>
        </w:numPr>
        <w:pBdr>
          <w:top w:color="auto" w:space="0" w:sz="0" w:val="none"/>
          <w:bottom w:color="auto" w:space="0" w:sz="0" w:val="none"/>
          <w:right w:color="auto" w:space="0" w:sz="0" w:val="none"/>
          <w:between w:color="auto" w:space="0" w:sz="0" w:val="none"/>
        </w:pBdr>
        <w:spacing w:after="0" w:afterAutospacing="0" w:line="276" w:lineRule="auto"/>
        <w:ind w:left="780" w:hanging="360"/>
        <w:jc w:val="both"/>
        <w:rPr/>
      </w:pPr>
      <w:r w:rsidDel="00000000" w:rsidR="00000000" w:rsidRPr="00000000">
        <w:rPr>
          <w:rFonts w:ascii="Times New Roman" w:cs="Times New Roman" w:eastAsia="Times New Roman" w:hAnsi="Times New Roman"/>
          <w:color w:val="1b1c1d"/>
          <w:rtl w:val="0"/>
        </w:rPr>
        <w:t xml:space="preserve">Volumen de Datos: Ingesta diaria de 10 GB de datos crudos y un acumulado histórico proyectado de 300 GB.</w:t>
      </w:r>
    </w:p>
    <w:p w:rsidR="00000000" w:rsidDel="00000000" w:rsidP="00000000" w:rsidRDefault="00000000" w:rsidRPr="00000000" w14:paraId="00000075">
      <w:pPr>
        <w:numPr>
          <w:ilvl w:val="0"/>
          <w:numId w:val="15"/>
        </w:numPr>
        <w:pBdr>
          <w:top w:color="auto" w:space="0" w:sz="0" w:val="none"/>
          <w:bottom w:color="auto" w:space="0" w:sz="0" w:val="none"/>
          <w:right w:color="auto" w:space="0" w:sz="0" w:val="none"/>
          <w:between w:color="auto" w:space="0" w:sz="0" w:val="none"/>
        </w:pBdr>
        <w:spacing w:after="0" w:afterAutospacing="0" w:line="276" w:lineRule="auto"/>
        <w:ind w:left="780" w:hanging="360"/>
        <w:jc w:val="both"/>
        <w:rPr/>
      </w:pPr>
      <w:r w:rsidDel="00000000" w:rsidR="00000000" w:rsidRPr="00000000">
        <w:rPr>
          <w:rFonts w:ascii="Times New Roman" w:cs="Times New Roman" w:eastAsia="Times New Roman" w:hAnsi="Times New Roman"/>
          <w:color w:val="1b1c1d"/>
          <w:rtl w:val="0"/>
        </w:rPr>
        <w:t xml:space="preserve">Frecuencia ETL: Ejecución batch diaria (una vez al día) con una duración promedio de 1 hora de procesamiento en Dataproc.</w:t>
      </w:r>
    </w:p>
    <w:p w:rsidR="00000000" w:rsidDel="00000000" w:rsidP="00000000" w:rsidRDefault="00000000" w:rsidRPr="00000000" w14:paraId="00000076">
      <w:pPr>
        <w:numPr>
          <w:ilvl w:val="0"/>
          <w:numId w:val="15"/>
        </w:numPr>
        <w:pBdr>
          <w:top w:color="auto" w:space="0" w:sz="0" w:val="none"/>
          <w:bottom w:color="auto" w:space="0" w:sz="0" w:val="none"/>
          <w:right w:color="auto" w:space="0" w:sz="0" w:val="none"/>
          <w:between w:color="auto" w:space="0" w:sz="0" w:val="none"/>
        </w:pBdr>
        <w:spacing w:after="0" w:afterAutospacing="0" w:line="276" w:lineRule="auto"/>
        <w:ind w:left="780" w:hanging="360"/>
        <w:jc w:val="both"/>
        <w:rPr/>
      </w:pPr>
      <w:r w:rsidDel="00000000" w:rsidR="00000000" w:rsidRPr="00000000">
        <w:rPr>
          <w:rFonts w:ascii="Times New Roman" w:cs="Times New Roman" w:eastAsia="Times New Roman" w:hAnsi="Times New Roman"/>
          <w:color w:val="1b1c1d"/>
          <w:rtl w:val="0"/>
        </w:rPr>
        <w:t xml:space="preserve">Usuarios de Negocio: 10 usuarios activos consultando el dashboard de Power BI diariamente.</w:t>
      </w:r>
    </w:p>
    <w:p w:rsidR="00000000" w:rsidDel="00000000" w:rsidP="00000000" w:rsidRDefault="00000000" w:rsidRPr="00000000" w14:paraId="00000077">
      <w:pPr>
        <w:numPr>
          <w:ilvl w:val="0"/>
          <w:numId w:val="15"/>
        </w:numPr>
        <w:pBdr>
          <w:top w:color="auto" w:space="0" w:sz="0" w:val="none"/>
          <w:bottom w:color="auto" w:space="0" w:sz="0" w:val="none"/>
          <w:right w:color="auto" w:space="0" w:sz="0" w:val="none"/>
          <w:between w:color="auto" w:space="0" w:sz="0" w:val="none"/>
        </w:pBdr>
        <w:spacing w:after="360" w:line="276" w:lineRule="auto"/>
        <w:ind w:left="780" w:hanging="360"/>
        <w:jc w:val="both"/>
        <w:rPr/>
      </w:pPr>
      <w:r w:rsidDel="00000000" w:rsidR="00000000" w:rsidRPr="00000000">
        <w:rPr>
          <w:rFonts w:ascii="Times New Roman" w:cs="Times New Roman" w:eastAsia="Times New Roman" w:hAnsi="Times New Roman"/>
          <w:color w:val="1b1c1d"/>
          <w:rtl w:val="0"/>
        </w:rPr>
        <w:t xml:space="preserve">Región GCP: </w:t>
      </w:r>
      <w:r w:rsidDel="00000000" w:rsidR="00000000" w:rsidRPr="00000000">
        <w:rPr>
          <w:rFonts w:ascii="Times New Roman" w:cs="Times New Roman" w:eastAsia="Times New Roman" w:hAnsi="Times New Roman"/>
          <w:color w:val="444746"/>
          <w:rtl w:val="0"/>
        </w:rPr>
        <w:t xml:space="preserve">southamerica-west1</w:t>
      </w:r>
      <w:r w:rsidDel="00000000" w:rsidR="00000000" w:rsidRPr="00000000">
        <w:rPr>
          <w:rFonts w:ascii="Times New Roman" w:cs="Times New Roman" w:eastAsia="Times New Roman" w:hAnsi="Times New Roman"/>
          <w:color w:val="1b1c1d"/>
          <w:rtl w:val="0"/>
        </w:rPr>
        <w:t xml:space="preserve"> para servicios de backend, optimizando latencia.</w:t>
      </w:r>
    </w:p>
    <w:p w:rsidR="00000000" w:rsidDel="00000000" w:rsidP="00000000" w:rsidRDefault="00000000" w:rsidRPr="00000000" w14:paraId="000000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59c0as2p2qb9" w:id="14"/>
      <w:bookmarkEnd w:id="14"/>
      <w:r w:rsidDel="00000000" w:rsidR="00000000" w:rsidRPr="00000000">
        <w:rPr>
          <w:rFonts w:ascii="Times New Roman" w:cs="Times New Roman" w:eastAsia="Times New Roman" w:hAnsi="Times New Roman"/>
          <w:b w:val="1"/>
          <w:bCs w:val="1"/>
          <w:color w:val="1b1c1d"/>
          <w:sz w:val="24"/>
          <w:szCs w:val="24"/>
          <w:rtl w:val="0"/>
        </w:rPr>
        <w:t xml:space="preserve">4.2. Matriz de Estimación de Costos Mensuales</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A diferencia de una solución 100% nativa, esta estructura de costos se divide en Costos de Infraestructura (GCP), que son variables por uso, y Costos de Licenciamiento (Microsoft), que son fijos por usuario.</w:t>
      </w:r>
    </w:p>
    <w:tbl>
      <w:tblPr>
        <w:tblStyle w:val="Table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995"/>
        <w:gridCol w:w="3240"/>
        <w:gridCol w:w="1515"/>
        <w:tblGridChange w:id="0">
          <w:tblGrid>
            <w:gridCol w:w="1755"/>
            <w:gridCol w:w="1995"/>
            <w:gridCol w:w="3240"/>
            <w:gridCol w:w="1515"/>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a4c2f4" w:val="clear"/>
            <w:tcMar>
              <w:top w:w="120.0" w:type="dxa"/>
              <w:left w:w="180.0" w:type="dxa"/>
              <w:bottom w:w="120.0" w:type="dxa"/>
              <w:right w:w="180.0" w:type="dxa"/>
            </w:tcMar>
            <w:vAlign w:val="top"/>
          </w:tcPr>
          <w:p w:rsidR="00000000" w:rsidDel="00000000" w:rsidP="00000000" w:rsidRDefault="00000000" w:rsidRPr="00000000" w14:paraId="0000007A">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Servicio</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a4c2f4" w:val="clear"/>
            <w:tcMar>
              <w:top w:w="120.0" w:type="dxa"/>
              <w:left w:w="180.0" w:type="dxa"/>
              <w:bottom w:w="120.0" w:type="dxa"/>
              <w:right w:w="180.0" w:type="dxa"/>
            </w:tcMar>
            <w:vAlign w:val="top"/>
          </w:tcPr>
          <w:p w:rsidR="00000000" w:rsidDel="00000000" w:rsidP="00000000" w:rsidRDefault="00000000" w:rsidRPr="00000000" w14:paraId="0000007B">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Función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a4c2f4" w:val="clear"/>
            <w:tcMar>
              <w:top w:w="120.0" w:type="dxa"/>
              <w:left w:w="180.0" w:type="dxa"/>
              <w:bottom w:w="120.0" w:type="dxa"/>
              <w:right w:w="180.0" w:type="dxa"/>
            </w:tcMar>
            <w:vAlign w:val="top"/>
          </w:tcPr>
          <w:p w:rsidR="00000000" w:rsidDel="00000000" w:rsidP="00000000" w:rsidRDefault="00000000" w:rsidRPr="00000000" w14:paraId="0000007C">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Modelo de Costo (Driver)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a4c2f4" w:val="clear"/>
            <w:tcMar>
              <w:top w:w="120.0" w:type="dxa"/>
              <w:left w:w="180.0" w:type="dxa"/>
              <w:bottom w:w="120.0" w:type="dxa"/>
              <w:right w:w="180.0" w:type="dxa"/>
            </w:tcMar>
            <w:vAlign w:val="top"/>
          </w:tcPr>
          <w:p w:rsidR="00000000" w:rsidDel="00000000" w:rsidP="00000000" w:rsidRDefault="00000000" w:rsidRPr="00000000" w14:paraId="0000007D">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Estimación Mensual (USD)</w:t>
            </w:r>
            <w:r w:rsidDel="00000000" w:rsidR="00000000" w:rsidRPr="00000000">
              <w:rPr>
                <w:rtl w:val="0"/>
              </w:rPr>
            </w:r>
          </w:p>
        </w:tc>
      </w:tr>
      <w:tr>
        <w:trPr>
          <w:cantSplit w:val="0"/>
          <w:trHeight w:val="1335" w:hRule="atLeast"/>
          <w:tblHeader w:val="0"/>
        </w:trPr>
        <w:tc>
          <w:tcPr>
            <w:tcBorders>
              <w:top w:color="1b1c1d" w:space="0" w:sz="6" w:val="single"/>
              <w:left w:color="1b1c1d" w:space="0" w:sz="6" w:val="single"/>
              <w:bottom w:color="1b1c1d" w:space="0" w:sz="6" w:val="single"/>
              <w:right w:color="1b1c1d"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7E">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Google Cloud Storage (GCS)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Data Lake &amp; Staging</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Almacenamiento (GB/mes): Costo por mantener archivos crudos y de staging (Clase Standard). Incluye proyección de crecimiento de datos.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Times New Roman" w:cs="Times New Roman" w:eastAsia="Times New Roman" w:hAnsi="Times New Roman"/>
                <w:color w:val="444746"/>
                <w:sz w:val="20"/>
                <w:szCs w:val="20"/>
                <w:highlight w:val="white"/>
                <w:vertAlign w:val="superscript"/>
              </w:rPr>
            </w:pPr>
            <w:r w:rsidDel="00000000" w:rsidR="00000000" w:rsidRPr="00000000">
              <w:rPr>
                <w:rFonts w:ascii="Times New Roman" w:cs="Times New Roman" w:eastAsia="Times New Roman" w:hAnsi="Times New Roman"/>
                <w:color w:val="1b1c1d"/>
                <w:sz w:val="20"/>
                <w:szCs w:val="20"/>
                <w:rtl w:val="0"/>
              </w:rPr>
              <w:t xml:space="preserve">$5 - $10</w:t>
            </w:r>
            <w:r w:rsidDel="00000000" w:rsidR="00000000" w:rsidRPr="00000000">
              <w:rPr>
                <w:rtl w:val="0"/>
              </w:rPr>
            </w:r>
          </w:p>
        </w:tc>
      </w:tr>
      <w:tr>
        <w:trPr>
          <w:cantSplit w:val="0"/>
          <w:trHeight w:val="1305" w:hRule="atLeast"/>
          <w:tblHeader w:val="0"/>
        </w:trPr>
        <w:tc>
          <w:tcPr>
            <w:tcBorders>
              <w:top w:color="1b1c1d" w:space="0" w:sz="6" w:val="single"/>
              <w:left w:color="1b1c1d" w:space="0" w:sz="6" w:val="single"/>
              <w:bottom w:color="1b1c1d" w:space="0" w:sz="6" w:val="single"/>
              <w:right w:color="1b1c1d"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82">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Google Cloud Dataproc</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3">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Procesamiento ETL</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4">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Cómputo (vCPU/hora): Clúster efímero activado solo 1 hora diaria. Se factura por la capacidad de cómputo utilizada durante la ventana de carga.</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Times New Roman" w:cs="Times New Roman" w:eastAsia="Times New Roman" w:hAnsi="Times New Roman"/>
                <w:color w:val="444746"/>
                <w:sz w:val="20"/>
                <w:szCs w:val="20"/>
                <w:highlight w:val="white"/>
                <w:vertAlign w:val="superscript"/>
              </w:rPr>
            </w:pPr>
            <w:r w:rsidDel="00000000" w:rsidR="00000000" w:rsidRPr="00000000">
              <w:rPr>
                <w:rFonts w:ascii="Times New Roman" w:cs="Times New Roman" w:eastAsia="Times New Roman" w:hAnsi="Times New Roman"/>
                <w:color w:val="1b1c1d"/>
                <w:sz w:val="20"/>
                <w:szCs w:val="20"/>
                <w:rtl w:val="0"/>
              </w:rPr>
              <w:t xml:space="preserve">$5 - $15</w:t>
            </w:r>
            <w:r w:rsidDel="00000000" w:rsidR="00000000" w:rsidRPr="00000000">
              <w:rPr>
                <w:rtl w:val="0"/>
              </w:rPr>
            </w:r>
          </w:p>
        </w:tc>
      </w:tr>
      <w:tr>
        <w:trPr>
          <w:cantSplit w:val="0"/>
          <w:trHeight w:val="1500" w:hRule="atLeast"/>
          <w:tblHeader w:val="0"/>
        </w:trPr>
        <w:tc>
          <w:tcPr>
            <w:tcBorders>
              <w:top w:color="1b1c1d" w:space="0" w:sz="6" w:val="single"/>
              <w:left w:color="1b1c1d" w:space="0" w:sz="6" w:val="single"/>
              <w:bottom w:color="1b1c1d" w:space="0" w:sz="6" w:val="single"/>
              <w:right w:color="1b1c1d"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86">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Google BigQuery</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7">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Data Warehouse</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Almacenamiento Activo + Cómputo: Costo por almacenar la data limpia (~$6) y por los TB procesados en las consultas SQL enviadas desde Power BI (~$5-$20).</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Times New Roman" w:cs="Times New Roman" w:eastAsia="Times New Roman" w:hAnsi="Times New Roman"/>
                <w:color w:val="444746"/>
                <w:sz w:val="20"/>
                <w:szCs w:val="20"/>
                <w:highlight w:val="white"/>
                <w:vertAlign w:val="superscript"/>
              </w:rPr>
            </w:pPr>
            <w:r w:rsidDel="00000000" w:rsidR="00000000" w:rsidRPr="00000000">
              <w:rPr>
                <w:rFonts w:ascii="Times New Roman" w:cs="Times New Roman" w:eastAsia="Times New Roman" w:hAnsi="Times New Roman"/>
                <w:color w:val="1b1c1d"/>
                <w:sz w:val="20"/>
                <w:szCs w:val="20"/>
                <w:rtl w:val="0"/>
              </w:rPr>
              <w:t xml:space="preserve">$11 - $26</w:t>
            </w:r>
            <w:r w:rsidDel="00000000" w:rsidR="00000000" w:rsidRPr="00000000">
              <w:rPr>
                <w:rtl w:val="0"/>
              </w:rPr>
            </w:r>
          </w:p>
        </w:tc>
      </w:tr>
      <w:tr>
        <w:trPr>
          <w:cantSplit w:val="0"/>
          <w:trHeight w:val="1770" w:hRule="atLeast"/>
          <w:tblHeader w:val="0"/>
        </w:trPr>
        <w:tc>
          <w:tcPr>
            <w:tcBorders>
              <w:top w:color="1b1c1d" w:space="0" w:sz="6" w:val="single"/>
              <w:left w:color="1b1c1d" w:space="0" w:sz="6" w:val="single"/>
              <w:bottom w:color="1b1c1d" w:space="0" w:sz="6" w:val="single"/>
              <w:right w:color="1b1c1d"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8A">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Microsoft Power BI</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Visualización</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Licenciamiento SaaS: Se requiere licencia Power BI Pro para publicar y compartir el dashboard de forma segura.</w:t>
            </w:r>
          </w:p>
          <w:p w:rsidR="00000000" w:rsidDel="00000000" w:rsidP="00000000" w:rsidRDefault="00000000" w:rsidRPr="00000000" w14:paraId="0000008D">
            <w:pPr>
              <w:spacing w:after="0" w:line="240" w:lineRule="auto"/>
              <w:jc w:val="both"/>
              <w:rPr>
                <w:rFonts w:ascii="Times New Roman" w:cs="Times New Roman" w:eastAsia="Times New Roman" w:hAnsi="Times New Roman"/>
                <w:color w:val="1b1c1d"/>
                <w:sz w:val="20"/>
                <w:szCs w:val="20"/>
              </w:rPr>
            </w:pPr>
            <w:r w:rsidDel="00000000" w:rsidR="00000000" w:rsidRPr="00000000">
              <w:rPr>
                <w:rtl w:val="0"/>
              </w:rPr>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Times New Roman" w:cs="Times New Roman" w:eastAsia="Times New Roman" w:hAnsi="Times New Roman"/>
                <w:i w:val="1"/>
                <w:iCs w:val="1"/>
                <w:color w:val="1b1c1d"/>
                <w:sz w:val="20"/>
                <w:szCs w:val="20"/>
              </w:rPr>
            </w:pPr>
            <w:r w:rsidDel="00000000" w:rsidR="00000000" w:rsidRPr="00000000">
              <w:rPr>
                <w:rFonts w:ascii="Times New Roman" w:cs="Times New Roman" w:eastAsia="Times New Roman" w:hAnsi="Times New Roman"/>
                <w:i w:val="1"/>
                <w:iCs w:val="1"/>
                <w:color w:val="1b1c1d"/>
                <w:sz w:val="20"/>
                <w:szCs w:val="20"/>
                <w:rtl w:val="0"/>
              </w:rPr>
              <w:t xml:space="preserve">Cálculo: 10 usuarios x $10 USD/mes.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$100</w:t>
            </w:r>
          </w:p>
        </w:tc>
      </w:tr>
      <w:tr>
        <w:trPr>
          <w:cantSplit w:val="0"/>
          <w:trHeight w:val="1515" w:hRule="atLeast"/>
          <w:tblHeader w:val="0"/>
        </w:trPr>
        <w:tc>
          <w:tcPr>
            <w:tcBorders>
              <w:top w:color="1b1c1d" w:space="0" w:sz="6" w:val="single"/>
              <w:left w:color="1b1c1d" w:space="0" w:sz="6" w:val="single"/>
              <w:bottom w:color="1b1c1d" w:space="0" w:sz="6" w:val="single"/>
              <w:right w:color="1b1c1d"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90">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Transferencia de Red</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Movimiento de datos</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Egress (Salida de datos): Al usar </w:t>
            </w:r>
            <w:r w:rsidDel="00000000" w:rsidR="00000000" w:rsidRPr="00000000">
              <w:rPr>
                <w:rFonts w:ascii="Times New Roman" w:cs="Times New Roman" w:eastAsia="Times New Roman" w:hAnsi="Times New Roman"/>
                <w:i w:val="1"/>
                <w:iCs w:val="1"/>
                <w:color w:val="1b1c1d"/>
                <w:sz w:val="20"/>
                <w:szCs w:val="20"/>
                <w:rtl w:val="0"/>
              </w:rPr>
              <w:t xml:space="preserve">DirectQuery</w:t>
            </w:r>
            <w:r w:rsidDel="00000000" w:rsidR="00000000" w:rsidRPr="00000000">
              <w:rPr>
                <w:rFonts w:ascii="Times New Roman" w:cs="Times New Roman" w:eastAsia="Times New Roman" w:hAnsi="Times New Roman"/>
                <w:color w:val="1b1c1d"/>
                <w:sz w:val="20"/>
                <w:szCs w:val="20"/>
                <w:rtl w:val="0"/>
              </w:rPr>
              <w:t xml:space="preserve">, Power BI extrae resultados agregados de GCP. Aunque bajo, se considera un margen por tráfico de salida hacia la nube de Microsoft.</w:t>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color w:val="1b1c1d"/>
                <w:sz w:val="20"/>
                <w:szCs w:val="20"/>
                <w:rtl w:val="0"/>
              </w:rPr>
              <w:t xml:space="preserve">$1 - $5</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94">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TOTAL ESTIMADO</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0" w:line="240" w:lineRule="auto"/>
              <w:jc w:val="both"/>
              <w:rPr>
                <w:rFonts w:ascii="Times New Roman" w:cs="Times New Roman" w:eastAsia="Times New Roman" w:hAnsi="Times New Roman"/>
                <w:color w:val="1b1c1d"/>
                <w:sz w:val="20"/>
                <w:szCs w:val="20"/>
              </w:rPr>
            </w:pP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OPEX Mensual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0" w:line="240" w:lineRule="auto"/>
              <w:jc w:val="both"/>
              <w:rPr>
                <w:rFonts w:ascii="Times New Roman" w:cs="Times New Roman" w:eastAsia="Times New Roman" w:hAnsi="Times New Roman"/>
                <w:color w:val="1b1c1d"/>
                <w:sz w:val="20"/>
                <w:szCs w:val="20"/>
              </w:rPr>
            </w:pPr>
            <w:r w:rsidDel="00000000" w:rsidR="00000000" w:rsidRPr="00000000">
              <w:rPr>
                <w:rFonts w:ascii="Times New Roman" w:cs="Times New Roman" w:eastAsia="Times New Roman" w:hAnsi="Times New Roman"/>
                <w:b w:val="1"/>
                <w:bCs w:val="1"/>
                <w:color w:val="1b1c1d"/>
                <w:sz w:val="20"/>
                <w:szCs w:val="20"/>
                <w:rtl w:val="0"/>
              </w:rPr>
              <w:t xml:space="preserve">~$122 - $156 USD</w:t>
            </w:r>
            <w:r w:rsidDel="00000000" w:rsidR="00000000" w:rsidRPr="00000000">
              <w:rPr>
                <w:rtl w:val="0"/>
              </w:rPr>
            </w:r>
          </w:p>
        </w:tc>
      </w:tr>
    </w:tbl>
    <w:p w:rsidR="00000000" w:rsidDel="00000000" w:rsidP="00000000" w:rsidRDefault="00000000" w:rsidRPr="00000000" w14:paraId="000000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8t2vj2paphdn" w:id="15"/>
      <w:bookmarkEnd w:id="15"/>
      <w:r w:rsidDel="00000000" w:rsidR="00000000" w:rsidRPr="00000000">
        <w:rPr>
          <w:rtl w:val="0"/>
        </w:rPr>
      </w:r>
    </w:p>
    <w:p w:rsidR="00000000" w:rsidDel="00000000" w:rsidP="00000000" w:rsidRDefault="00000000" w:rsidRPr="00000000" w14:paraId="000000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o4jhosoyctdr" w:id="16"/>
      <w:bookmarkEnd w:id="16"/>
      <w:r w:rsidDel="00000000" w:rsidR="00000000" w:rsidRPr="00000000">
        <w:rPr>
          <w:rFonts w:ascii="Times New Roman" w:cs="Times New Roman" w:eastAsia="Times New Roman" w:hAnsi="Times New Roman"/>
          <w:b w:val="1"/>
          <w:bCs w:val="1"/>
          <w:color w:val="1b1c1d"/>
          <w:sz w:val="24"/>
          <w:szCs w:val="24"/>
          <w:rtl w:val="0"/>
        </w:rPr>
        <w:t xml:space="preserve">4.3. Proyección de Uso (Semestral y Anual)</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El cambio a Power BI introduce un costo operativo fijo más alto comparado con herramientas gratuitas, pero garantiza gobernanza empresarial. A continuación, la proyección financiera requerida para la viabilidad del proyecto:</w:t>
      </w:r>
    </w:p>
    <w:p w:rsidR="00000000" w:rsidDel="00000000" w:rsidP="00000000" w:rsidRDefault="00000000" w:rsidRPr="00000000" w14:paraId="0000009B">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Proyección a 6 Meses (Semestral):</w:t>
      </w:r>
    </w:p>
    <w:p w:rsidR="00000000" w:rsidDel="00000000" w:rsidP="00000000" w:rsidRDefault="00000000" w:rsidRPr="00000000" w14:paraId="0000009C">
      <w:pPr>
        <w:numPr>
          <w:ilvl w:val="1"/>
          <w:numId w:val="11"/>
        </w:numPr>
        <w:pBdr>
          <w:top w:color="auto" w:space="0" w:sz="0" w:val="none"/>
          <w:bottom w:color="auto" w:space="0" w:sz="0" w:val="none"/>
          <w:right w:color="auto" w:space="0" w:sz="0" w:val="none"/>
          <w:between w:color="auto" w:space="0" w:sz="0" w:val="none"/>
        </w:pBdr>
        <w:spacing w:after="0" w:afterAutospacing="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Considerando un costo promedio mensual de ~$140 USD (licencias + consumo variable).</w:t>
      </w:r>
    </w:p>
    <w:p w:rsidR="00000000" w:rsidDel="00000000" w:rsidP="00000000" w:rsidRDefault="00000000" w:rsidRPr="00000000" w14:paraId="0000009D">
      <w:pPr>
        <w:numPr>
          <w:ilvl w:val="1"/>
          <w:numId w:val="11"/>
        </w:numPr>
        <w:pBdr>
          <w:top w:color="auto" w:space="0" w:sz="0" w:val="none"/>
          <w:bottom w:color="auto" w:space="0" w:sz="0" w:val="none"/>
          <w:right w:color="auto" w:space="0" w:sz="0" w:val="none"/>
          <w:between w:color="auto" w:space="0" w:sz="0" w:val="none"/>
        </w:pBdr>
        <w:spacing w:after="0" w:afterAutospacing="0" w:line="276" w:lineRule="auto"/>
        <w:ind w:left="1440" w:hanging="360"/>
        <w:jc w:val="both"/>
        <w:rPr/>
      </w:pPr>
      <w:r w:rsidDel="00000000" w:rsidR="00000000" w:rsidRPr="00000000">
        <w:rPr>
          <w:rFonts w:ascii="Times New Roman" w:cs="Times New Roman" w:eastAsia="Times New Roman" w:hAnsi="Times New Roman"/>
          <w:color w:val="1b1c1d"/>
          <w:rtl w:val="0"/>
        </w:rPr>
        <w:t xml:space="preserve">Total Estimado: ~$840 USD.</w:t>
      </w:r>
    </w:p>
    <w:p w:rsidR="00000000" w:rsidDel="00000000" w:rsidP="00000000" w:rsidRDefault="00000000" w:rsidRPr="00000000" w14:paraId="0000009E">
      <w:pPr>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Proyección Anual (12 Meses):</w:t>
      </w:r>
    </w:p>
    <w:p w:rsidR="00000000" w:rsidDel="00000000" w:rsidP="00000000" w:rsidRDefault="00000000" w:rsidRPr="00000000" w14:paraId="0000009F">
      <w:pPr>
        <w:numPr>
          <w:ilvl w:val="1"/>
          <w:numId w:val="11"/>
        </w:numPr>
        <w:pBdr>
          <w:top w:color="auto" w:space="0" w:sz="0" w:val="none"/>
          <w:bottom w:color="auto" w:space="0" w:sz="0" w:val="none"/>
          <w:right w:color="auto" w:space="0" w:sz="0" w:val="none"/>
          <w:between w:color="auto" w:space="0" w:sz="0" w:val="none"/>
        </w:pBdr>
        <w:spacing w:after="600" w:line="276" w:lineRule="auto"/>
        <w:ind w:left="1500" w:hanging="360"/>
        <w:jc w:val="both"/>
        <w:rPr/>
      </w:pPr>
      <w:r w:rsidDel="00000000" w:rsidR="00000000" w:rsidRPr="00000000">
        <w:rPr>
          <w:rFonts w:ascii="Times New Roman" w:cs="Times New Roman" w:eastAsia="Times New Roman" w:hAnsi="Times New Roman"/>
          <w:color w:val="1b1c1d"/>
          <w:rtl w:val="0"/>
        </w:rPr>
        <w:t xml:space="preserve">Total Estimado: ~$1,680 USD.</w:t>
      </w:r>
      <w:r w:rsidDel="00000000" w:rsidR="00000000" w:rsidRPr="00000000">
        <w:rPr>
          <w:rtl w:val="0"/>
        </w:rPr>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Análisis de Viabilidad: A pesar del costo de licencias, el total anual (~$1.6k) sigue siendo drásticamente inferior al costo de adquirir y mantener un servidor físico </w:t>
      </w:r>
      <w:r w:rsidDel="00000000" w:rsidR="00000000" w:rsidRPr="00000000">
        <w:rPr>
          <w:rFonts w:ascii="Times New Roman" w:cs="Times New Roman" w:eastAsia="Times New Roman" w:hAnsi="Times New Roman"/>
          <w:i w:val="1"/>
          <w:iCs w:val="1"/>
          <w:color w:val="1b1c1d"/>
          <w:rtl w:val="0"/>
        </w:rPr>
        <w:t xml:space="preserve">on-premise</w:t>
      </w:r>
      <w:r w:rsidDel="00000000" w:rsidR="00000000" w:rsidRPr="00000000">
        <w:rPr>
          <w:rFonts w:ascii="Times New Roman" w:cs="Times New Roman" w:eastAsia="Times New Roman" w:hAnsi="Times New Roman"/>
          <w:color w:val="1b1c1d"/>
          <w:rtl w:val="0"/>
        </w:rPr>
        <w:t xml:space="preserve"> equivalente (Hardware + Energía + Licencia SQL Server Enterprise), validando el modelo Cloud.</w:t>
      </w:r>
    </w:p>
    <w:p w:rsidR="00000000" w:rsidDel="00000000" w:rsidP="00000000" w:rsidRDefault="00000000" w:rsidRPr="00000000" w14:paraId="000000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uryh6spovyxz" w:id="17"/>
      <w:bookmarkEnd w:id="17"/>
      <w:r w:rsidDel="00000000" w:rsidR="00000000" w:rsidRPr="00000000">
        <w:rPr>
          <w:rFonts w:ascii="Times New Roman" w:cs="Times New Roman" w:eastAsia="Times New Roman" w:hAnsi="Times New Roman"/>
          <w:b w:val="1"/>
          <w:bCs w:val="1"/>
          <w:color w:val="1b1c1d"/>
          <w:sz w:val="24"/>
          <w:szCs w:val="24"/>
          <w:rtl w:val="0"/>
        </w:rPr>
        <w:t xml:space="preserve">4.4. Análisis de Escalabilidad</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La arquitectura está diseñada para soportar crecimiento masivo sin rediseño:</w:t>
      </w:r>
    </w:p>
    <w:p w:rsidR="00000000" w:rsidDel="00000000" w:rsidP="00000000" w:rsidRDefault="00000000" w:rsidRPr="00000000" w14:paraId="000000A3">
      <w:pPr>
        <w:numPr>
          <w:ilvl w:val="0"/>
          <w:numId w:val="3"/>
        </w:numPr>
        <w:pBdr>
          <w:top w:color="auto" w:space="0" w:sz="0" w:val="none"/>
          <w:bottom w:color="auto" w:space="0" w:sz="0" w:val="none"/>
          <w:right w:color="auto" w:space="0" w:sz="0" w:val="none"/>
          <w:between w:color="auto" w:space="0" w:sz="0" w:val="none"/>
        </w:pBdr>
        <w:spacing w:after="0" w:afterAutospacing="0" w:line="276" w:lineRule="auto"/>
        <w:ind w:left="708.661417322834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Almacenamiento (GCP): Servicios como GCS y BigQuery son elásticos. Si los datos crecen 100x, el sistema lo soporta automáticamente, incrementando solo el costo variable por GB.</w:t>
      </w:r>
    </w:p>
    <w:p w:rsidR="00000000" w:rsidDel="00000000" w:rsidP="00000000" w:rsidRDefault="00000000" w:rsidRPr="00000000" w14:paraId="000000A4">
      <w:pPr>
        <w:numPr>
          <w:ilvl w:val="0"/>
          <w:numId w:val="3"/>
        </w:numPr>
        <w:pBdr>
          <w:top w:color="auto" w:space="0" w:sz="0" w:val="none"/>
          <w:bottom w:color="auto" w:space="0" w:sz="0" w:val="none"/>
          <w:right w:color="auto" w:space="0" w:sz="0" w:val="none"/>
          <w:between w:color="auto" w:space="0" w:sz="0" w:val="none"/>
        </w:pBdr>
        <w:spacing w:after="36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1b1c1d"/>
          <w:rtl w:val="0"/>
        </w:rPr>
        <w:t xml:space="preserve">Visualización (Power BI): El modelo de licenciamiento escala por usuario, no por datos. Si la empresa crece a 50 empleados, simplemente se adquieren más licencias Pro, sin necesidad de mejorar el hardware del servidor de reportes.</w:t>
      </w:r>
    </w:p>
    <w:p w:rsidR="00000000" w:rsidDel="00000000" w:rsidP="00000000" w:rsidRDefault="00000000" w:rsidRPr="00000000" w14:paraId="000000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b w:val="1"/>
          <w:bCs w:val="1"/>
          <w:color w:val="1b1c1d"/>
          <w:sz w:val="24"/>
          <w:szCs w:val="24"/>
        </w:rPr>
      </w:pPr>
      <w:bookmarkStart w:colFirst="0" w:colLast="0" w:name="_heading=h.jv2hbq1ui62l" w:id="18"/>
      <w:bookmarkEnd w:id="18"/>
      <w:r w:rsidDel="00000000" w:rsidR="00000000" w:rsidRPr="00000000">
        <w:rPr>
          <w:rFonts w:ascii="Times New Roman" w:cs="Times New Roman" w:eastAsia="Times New Roman" w:hAnsi="Times New Roman"/>
          <w:b w:val="1"/>
          <w:bCs w:val="1"/>
          <w:color w:val="1b1c1d"/>
          <w:sz w:val="24"/>
          <w:szCs w:val="24"/>
          <w:rtl w:val="0"/>
        </w:rPr>
        <w:t xml:space="preserve">4.5. Propuestas de Optimización de Costos</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40" w:line="276" w:lineRule="auto"/>
        <w:jc w:val="both"/>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Para maximizar el retorno de inversión (ROI) y controlar el presupuesto variable de GCP, se implementarán tres estrategias técnicas avanzadas:</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1. Gestión de Ciclo de Vida (Cold Storage) en GCS</w:t>
      </w:r>
    </w:p>
    <w:p w:rsidR="00000000" w:rsidDel="00000000" w:rsidP="00000000" w:rsidRDefault="00000000" w:rsidRPr="00000000" w14:paraId="000000A8">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pPr>
      <w:r w:rsidDel="00000000" w:rsidR="00000000" w:rsidRPr="00000000">
        <w:rPr>
          <w:rFonts w:ascii="Times New Roman" w:cs="Times New Roman" w:eastAsia="Times New Roman" w:hAnsi="Times New Roman"/>
          <w:color w:val="1b1c1d"/>
          <w:rtl w:val="0"/>
        </w:rPr>
        <w:t xml:space="preserve">Estrategia: Configurar </w:t>
      </w:r>
      <w:r w:rsidDel="00000000" w:rsidR="00000000" w:rsidRPr="00000000">
        <w:rPr>
          <w:rFonts w:ascii="Times New Roman" w:cs="Times New Roman" w:eastAsia="Times New Roman" w:hAnsi="Times New Roman"/>
          <w:i w:val="1"/>
          <w:iCs w:val="1"/>
          <w:color w:val="1b1c1d"/>
          <w:rtl w:val="0"/>
        </w:rPr>
        <w:t xml:space="preserve">Lifecycle Rules</w:t>
      </w:r>
      <w:r w:rsidDel="00000000" w:rsidR="00000000" w:rsidRPr="00000000">
        <w:rPr>
          <w:rFonts w:ascii="Times New Roman" w:cs="Times New Roman" w:eastAsia="Times New Roman" w:hAnsi="Times New Roman"/>
          <w:color w:val="1b1c1d"/>
          <w:rtl w:val="0"/>
        </w:rPr>
        <w:t xml:space="preserve"> en el bucket del Data Lake.</w:t>
      </w:r>
    </w:p>
    <w:p w:rsidR="00000000" w:rsidDel="00000000" w:rsidP="00000000" w:rsidRDefault="00000000" w:rsidRPr="00000000" w14:paraId="000000A9">
      <w:pPr>
        <w:numPr>
          <w:ilvl w:val="0"/>
          <w:numId w:val="10"/>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pPr>
      <w:r w:rsidDel="00000000" w:rsidR="00000000" w:rsidRPr="00000000">
        <w:rPr>
          <w:rFonts w:ascii="Times New Roman" w:cs="Times New Roman" w:eastAsia="Times New Roman" w:hAnsi="Times New Roman"/>
          <w:color w:val="1b1c1d"/>
          <w:rtl w:val="0"/>
        </w:rPr>
        <w:t xml:space="preserve">Acción: Mover automáticamente los archivos CSV crudos con antigüedad mayor a 90 días de la clase </w:t>
      </w:r>
      <w:r w:rsidDel="00000000" w:rsidR="00000000" w:rsidRPr="00000000">
        <w:rPr>
          <w:rFonts w:ascii="Times New Roman" w:cs="Times New Roman" w:eastAsia="Times New Roman" w:hAnsi="Times New Roman"/>
          <w:i w:val="1"/>
          <w:iCs w:val="1"/>
          <w:color w:val="1b1c1d"/>
          <w:rtl w:val="0"/>
        </w:rPr>
        <w:t xml:space="preserve">Standard</w:t>
      </w:r>
      <w:r w:rsidDel="00000000" w:rsidR="00000000" w:rsidRPr="00000000">
        <w:rPr>
          <w:rFonts w:ascii="Times New Roman" w:cs="Times New Roman" w:eastAsia="Times New Roman" w:hAnsi="Times New Roman"/>
          <w:color w:val="1b1c1d"/>
          <w:rtl w:val="0"/>
        </w:rPr>
        <w:t xml:space="preserve"> a </w:t>
      </w:r>
      <w:r w:rsidDel="00000000" w:rsidR="00000000" w:rsidRPr="00000000">
        <w:rPr>
          <w:rFonts w:ascii="Times New Roman" w:cs="Times New Roman" w:eastAsia="Times New Roman" w:hAnsi="Times New Roman"/>
          <w:i w:val="1"/>
          <w:iCs w:val="1"/>
          <w:color w:val="1b1c1d"/>
          <w:rtl w:val="0"/>
        </w:rPr>
        <w:t xml:space="preserve">Coldline</w:t>
      </w:r>
      <w:r w:rsidDel="00000000" w:rsidR="00000000" w:rsidRPr="00000000">
        <w:rPr>
          <w:rFonts w:ascii="Times New Roman" w:cs="Times New Roman" w:eastAsia="Times New Roman" w:hAnsi="Times New Roman"/>
          <w:color w:val="1b1c1d"/>
          <w:rtl w:val="0"/>
        </w:rPr>
        <w:t xml:space="preserve"> o </w:t>
      </w:r>
      <w:r w:rsidDel="00000000" w:rsidR="00000000" w:rsidRPr="00000000">
        <w:rPr>
          <w:rFonts w:ascii="Times New Roman" w:cs="Times New Roman" w:eastAsia="Times New Roman" w:hAnsi="Times New Roman"/>
          <w:i w:val="1"/>
          <w:iCs w:val="1"/>
          <w:color w:val="1b1c1d"/>
          <w:rtl w:val="0"/>
        </w:rPr>
        <w:t xml:space="preserve">Archive</w:t>
      </w:r>
      <w:r w:rsidDel="00000000" w:rsidR="00000000" w:rsidRPr="00000000">
        <w:rPr>
          <w:rFonts w:ascii="Times New Roman" w:cs="Times New Roman" w:eastAsia="Times New Roman" w:hAnsi="Times New Roman"/>
          <w:color w:val="1b1c1d"/>
          <w:rtl w:val="0"/>
        </w:rPr>
        <w:t xml:space="preserve">.</w:t>
      </w:r>
    </w:p>
    <w:p w:rsidR="00000000" w:rsidDel="00000000" w:rsidP="00000000" w:rsidRDefault="00000000" w:rsidRPr="00000000" w14:paraId="000000AA">
      <w:pPr>
        <w:numPr>
          <w:ilvl w:val="0"/>
          <w:numId w:val="10"/>
        </w:numPr>
        <w:pBdr>
          <w:top w:color="auto" w:space="0" w:sz="0" w:val="none"/>
          <w:bottom w:color="auto" w:space="0" w:sz="0" w:val="none"/>
          <w:right w:color="auto" w:space="0" w:sz="0" w:val="none"/>
          <w:between w:color="auto" w:space="0" w:sz="0" w:val="none"/>
        </w:pBdr>
        <w:spacing w:after="360" w:line="276" w:lineRule="auto"/>
        <w:ind w:left="720" w:hanging="360"/>
        <w:jc w:val="both"/>
        <w:rPr/>
      </w:pPr>
      <w:r w:rsidDel="00000000" w:rsidR="00000000" w:rsidRPr="00000000">
        <w:rPr>
          <w:rFonts w:ascii="Times New Roman" w:cs="Times New Roman" w:eastAsia="Times New Roman" w:hAnsi="Times New Roman"/>
          <w:color w:val="1b1c1d"/>
          <w:rtl w:val="0"/>
        </w:rPr>
        <w:t xml:space="preserve">Impacto: Reduce el costo de retención histórica en aproximadamente un 80%, permitiendo guardar años de historia por centavos</w:t>
      </w:r>
      <w:r w:rsidDel="00000000" w:rsidR="00000000" w:rsidRPr="00000000">
        <w:rPr>
          <w:rFonts w:ascii="Times New Roman" w:cs="Times New Roman" w:eastAsia="Times New Roman" w:hAnsi="Times New Roman"/>
          <w:color w:val="444746"/>
          <w:vertAlign w:val="superscript"/>
          <w:rtl w:val="0"/>
        </w:rPr>
        <w:t xml:space="preserve">.</w:t>
      </w:r>
      <w:r w:rsidDel="00000000" w:rsidR="00000000" w:rsidRPr="00000000">
        <w:rPr>
          <w:rtl w:val="0"/>
        </w:rPr>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2. Uso de Instancias Spot (Preemptibles) en Dataproc</w:t>
      </w:r>
    </w:p>
    <w:p w:rsidR="00000000" w:rsidDel="00000000" w:rsidP="00000000" w:rsidRDefault="00000000" w:rsidRPr="00000000" w14:paraId="000000AC">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pPr>
      <w:r w:rsidDel="00000000" w:rsidR="00000000" w:rsidRPr="00000000">
        <w:rPr>
          <w:rFonts w:ascii="Times New Roman" w:cs="Times New Roman" w:eastAsia="Times New Roman" w:hAnsi="Times New Roman"/>
          <w:color w:val="1b1c1d"/>
          <w:rtl w:val="0"/>
        </w:rPr>
        <w:t xml:space="preserve">Estrategia: Aprovechar la capacidad excedente de Google para el procesamiento Batch.</w:t>
      </w:r>
    </w:p>
    <w:p w:rsidR="00000000" w:rsidDel="00000000" w:rsidP="00000000" w:rsidRDefault="00000000" w:rsidRPr="00000000" w14:paraId="000000AD">
      <w:pPr>
        <w:numPr>
          <w:ilvl w:val="0"/>
          <w:numId w:val="9"/>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pPr>
      <w:r w:rsidDel="00000000" w:rsidR="00000000" w:rsidRPr="00000000">
        <w:rPr>
          <w:rFonts w:ascii="Times New Roman" w:cs="Times New Roman" w:eastAsia="Times New Roman" w:hAnsi="Times New Roman"/>
          <w:color w:val="1b1c1d"/>
          <w:rtl w:val="0"/>
        </w:rPr>
        <w:t xml:space="preserve">Acción: Configurar los nodos "workers" del clúster Spark como instancias Preemptibles. Dado que el job D-1 es tolerante a fallos, si un nodo se reclama, el job simplemente reintenta.</w:t>
      </w:r>
    </w:p>
    <w:p w:rsidR="00000000" w:rsidDel="00000000" w:rsidP="00000000" w:rsidRDefault="00000000" w:rsidRPr="00000000" w14:paraId="000000AE">
      <w:pPr>
        <w:numPr>
          <w:ilvl w:val="0"/>
          <w:numId w:val="9"/>
        </w:numPr>
        <w:pBdr>
          <w:top w:color="auto" w:space="0" w:sz="0" w:val="none"/>
          <w:bottom w:color="auto" w:space="0" w:sz="0" w:val="none"/>
          <w:right w:color="auto" w:space="0" w:sz="0" w:val="none"/>
          <w:between w:color="auto" w:space="0" w:sz="0" w:val="none"/>
        </w:pBdr>
        <w:spacing w:after="360" w:line="276" w:lineRule="auto"/>
        <w:ind w:left="720" w:hanging="360"/>
        <w:jc w:val="both"/>
        <w:rPr/>
      </w:pPr>
      <w:r w:rsidDel="00000000" w:rsidR="00000000" w:rsidRPr="00000000">
        <w:rPr>
          <w:rFonts w:ascii="Times New Roman" w:cs="Times New Roman" w:eastAsia="Times New Roman" w:hAnsi="Times New Roman"/>
          <w:color w:val="1b1c1d"/>
          <w:rtl w:val="0"/>
        </w:rPr>
        <w:t xml:space="preserve">Impacto: Descuento de hasta un 80% en el costo de cómputo del ETL diario.</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b w:val="1"/>
          <w:bCs w:val="1"/>
          <w:color w:val="1b1c1d"/>
        </w:rPr>
      </w:pPr>
      <w:r w:rsidDel="00000000" w:rsidR="00000000" w:rsidRPr="00000000">
        <w:rPr>
          <w:rFonts w:ascii="Times New Roman" w:cs="Times New Roman" w:eastAsia="Times New Roman" w:hAnsi="Times New Roman"/>
          <w:b w:val="1"/>
          <w:bCs w:val="1"/>
          <w:color w:val="1b1c1d"/>
          <w:rtl w:val="0"/>
        </w:rPr>
        <w:t xml:space="preserve">3. Particionamiento de Tablas en BigQuery</w:t>
      </w:r>
    </w:p>
    <w:p w:rsidR="00000000" w:rsidDel="00000000" w:rsidP="00000000" w:rsidRDefault="00000000" w:rsidRPr="00000000" w14:paraId="000000B0">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pPr>
      <w:r w:rsidDel="00000000" w:rsidR="00000000" w:rsidRPr="00000000">
        <w:rPr>
          <w:rFonts w:ascii="Times New Roman" w:cs="Times New Roman" w:eastAsia="Times New Roman" w:hAnsi="Times New Roman"/>
          <w:color w:val="1b1c1d"/>
          <w:rtl w:val="0"/>
        </w:rPr>
        <w:t xml:space="preserve">Estrategia: Optimizar el consumo de recursos de las consultas de Power BI.</w:t>
      </w:r>
    </w:p>
    <w:p w:rsidR="00000000" w:rsidDel="00000000" w:rsidP="00000000" w:rsidRDefault="00000000" w:rsidRPr="00000000" w14:paraId="000000B1">
      <w:pPr>
        <w:numPr>
          <w:ilvl w:val="0"/>
          <w:numId w:val="7"/>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pPr>
      <w:r w:rsidDel="00000000" w:rsidR="00000000" w:rsidRPr="00000000">
        <w:rPr>
          <w:rFonts w:ascii="Times New Roman" w:cs="Times New Roman" w:eastAsia="Times New Roman" w:hAnsi="Times New Roman"/>
          <w:color w:val="1b1c1d"/>
          <w:rtl w:val="0"/>
        </w:rPr>
        <w:t xml:space="preserve">Acción: Particionar la tabla </w:t>
      </w:r>
      <w:r w:rsidDel="00000000" w:rsidR="00000000" w:rsidRPr="00000000">
        <w:rPr>
          <w:rFonts w:ascii="Times New Roman" w:cs="Times New Roman" w:eastAsia="Times New Roman" w:hAnsi="Times New Roman"/>
          <w:color w:val="444746"/>
          <w:rtl w:val="0"/>
        </w:rPr>
        <w:t xml:space="preserve">reporte_ventas_d1</w:t>
      </w:r>
      <w:r w:rsidDel="00000000" w:rsidR="00000000" w:rsidRPr="00000000">
        <w:rPr>
          <w:rFonts w:ascii="Times New Roman" w:cs="Times New Roman" w:eastAsia="Times New Roman" w:hAnsi="Times New Roman"/>
          <w:color w:val="1b1c1d"/>
          <w:rtl w:val="0"/>
        </w:rPr>
        <w:t xml:space="preserve"> por el campo </w:t>
      </w:r>
      <w:r w:rsidDel="00000000" w:rsidR="00000000" w:rsidRPr="00000000">
        <w:rPr>
          <w:rFonts w:ascii="Times New Roman" w:cs="Times New Roman" w:eastAsia="Times New Roman" w:hAnsi="Times New Roman"/>
          <w:color w:val="444746"/>
          <w:rtl w:val="0"/>
        </w:rPr>
        <w:t xml:space="preserve">Fecha_Creacion_DATE</w:t>
      </w:r>
      <w:r w:rsidDel="00000000" w:rsidR="00000000" w:rsidRPr="00000000">
        <w:rPr>
          <w:rFonts w:ascii="Times New Roman" w:cs="Times New Roman" w:eastAsia="Times New Roman" w:hAnsi="Times New Roman"/>
          <w:color w:val="1b1c1d"/>
          <w:rtl w:val="0"/>
        </w:rPr>
        <w:t xml:space="preserve">.</w:t>
      </w:r>
    </w:p>
    <w:p w:rsidR="00000000" w:rsidDel="00000000" w:rsidP="00000000" w:rsidRDefault="00000000" w:rsidRPr="00000000" w14:paraId="000000B2">
      <w:pPr>
        <w:numPr>
          <w:ilvl w:val="0"/>
          <w:numId w:val="7"/>
        </w:numPr>
        <w:pBdr>
          <w:top w:color="auto" w:space="0" w:sz="0" w:val="none"/>
          <w:bottom w:color="auto" w:space="0" w:sz="0" w:val="none"/>
          <w:right w:color="auto" w:space="0" w:sz="0" w:val="none"/>
          <w:between w:color="auto" w:space="0" w:sz="0" w:val="none"/>
        </w:pBdr>
        <w:spacing w:after="360" w:line="276" w:lineRule="auto"/>
        <w:ind w:left="720" w:hanging="360"/>
        <w:jc w:val="both"/>
        <w:rPr/>
      </w:pPr>
      <w:r w:rsidDel="00000000" w:rsidR="00000000" w:rsidRPr="00000000">
        <w:rPr>
          <w:rFonts w:ascii="Times New Roman" w:cs="Times New Roman" w:eastAsia="Times New Roman" w:hAnsi="Times New Roman"/>
          <w:color w:val="1b1c1d"/>
          <w:rtl w:val="0"/>
        </w:rPr>
        <w:t xml:space="preserve">Impacto: Cuando un usuario filtre el dashboard por "Último Mes", BigQuery solo procesará (y cobrará) por esa partición específica, ignorando el resto del historial. Esto reduce el costo de las consultas de Power BI en un 99%.</w:t>
      </w: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PE"/>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FA7476"/>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FA7476"/>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FA7476"/>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FA7476"/>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FA7476"/>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FA7476"/>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FA7476"/>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FA7476"/>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FA7476"/>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FA7476"/>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FA7476"/>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FA7476"/>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FA7476"/>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FA7476"/>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FA7476"/>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FA7476"/>
    <w:rPr>
      <w:i w:val="1"/>
      <w:iCs w:val="1"/>
      <w:color w:val="404040" w:themeColor="text1" w:themeTint="0000BF"/>
    </w:rPr>
  </w:style>
  <w:style w:type="paragraph" w:styleId="Prrafodelista">
    <w:name w:val="List Paragraph"/>
    <w:basedOn w:val="Normal"/>
    <w:uiPriority w:val="34"/>
    <w:qFormat w:val="1"/>
    <w:rsid w:val="00FA7476"/>
    <w:pPr>
      <w:ind w:left="720"/>
      <w:contextualSpacing w:val="1"/>
    </w:pPr>
  </w:style>
  <w:style w:type="character" w:styleId="nfasisintenso">
    <w:name w:val="Intense Emphasis"/>
    <w:basedOn w:val="Fuentedeprrafopredeter"/>
    <w:uiPriority w:val="21"/>
    <w:qFormat w:val="1"/>
    <w:rsid w:val="00FA7476"/>
    <w:rPr>
      <w:i w:val="1"/>
      <w:iCs w:val="1"/>
      <w:color w:val="0f4761" w:themeColor="accent1" w:themeShade="0000BF"/>
    </w:rPr>
  </w:style>
  <w:style w:type="paragraph" w:styleId="Citadestacada">
    <w:name w:val="Intense Quote"/>
    <w:basedOn w:val="Normal"/>
    <w:next w:val="Normal"/>
    <w:link w:val="CitadestacadaCar"/>
    <w:uiPriority w:val="30"/>
    <w:qFormat w:val="1"/>
    <w:rsid w:val="00FA7476"/>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FA7476"/>
    <w:rPr>
      <w:i w:val="1"/>
      <w:iCs w:val="1"/>
      <w:color w:val="0f4761" w:themeColor="accent1" w:themeShade="0000BF"/>
    </w:rPr>
  </w:style>
  <w:style w:type="character" w:styleId="Referenciaintensa">
    <w:name w:val="Intense Reference"/>
    <w:basedOn w:val="Fuentedeprrafopredeter"/>
    <w:uiPriority w:val="32"/>
    <w:qFormat w:val="1"/>
    <w:rsid w:val="00FA7476"/>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J9N+EtYyHo4/5W/qarOFKwsKFA==">CgMxLjAyDmguNHB6aXR6am9yend6Mg5oLm5lZDllOG15emRkejIOaC50ZWIydzI3dWZzZXcyDmguMzh3aG9rbGpvZm4yMg5oLnhna2dyMWFzaWFmNDIOaC40d2U3NnNiYW9oOHEyDmguaDY1dXhxY3gxOTA0Mg1oLnI1dHJvMWl2c2c3Mg5oLjViYmlmYmRkYmJsODIOaC5nbXd4c3dvczUyYXUyDmguaGxmY3lnbHhpOXJiMg5oLnZueDZ0cHBheTRnazIOaC5pbzNqZGRhbzJrN3IyDmgucTAyYzl5eHZ2Y2I0Mg5oLjU5YzBhczJwMnFiOTIOaC44dDJ2ajJwYXBoZG4yDmgubzRqaG9zb3ljdGRyMg5oLnVyeWg2c3Bvdnl4ejIOaC5qdjJoYnExdWk2Mmw4AHIhMUJ6TDctQ1ptdFRLTEtpSVozUlR4ZldMVGk1ZHVMeV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2025-11-17T19:02:00Z</dcterms:created>
  <dc:creator>USER</dc:creator>
</cp:coreProperties>
</file>