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de Ingeniería</w:t>
      </w:r>
    </w:p>
    <w:p w:rsidR="00000000" w:rsidDel="00000000" w:rsidP="00000000" w:rsidRDefault="00000000" w:rsidRPr="00000000" w14:paraId="00000002">
      <w:pPr>
        <w:spacing w:after="12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 Industrial y de Sistemas</w:t>
      </w:r>
    </w:p>
    <w:p w:rsidR="00000000" w:rsidDel="00000000" w:rsidP="00000000" w:rsidRDefault="00000000" w:rsidRPr="00000000" w14:paraId="00000003">
      <w:pPr>
        <w:spacing w:after="12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Escuela de Ingeniería de Sistemas</w:t>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428625</wp:posOffset>
            </wp:positionV>
            <wp:extent cx="2100263" cy="264033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00263" cy="2640330"/>
                    </a:xfrm>
                    <a:prstGeom prst="rect"/>
                    <a:ln/>
                  </pic:spPr>
                </pic:pic>
              </a:graphicData>
            </a:graphic>
          </wp:anchor>
        </w:drawing>
      </w:r>
    </w:p>
    <w:p w:rsidR="00000000" w:rsidDel="00000000" w:rsidP="00000000" w:rsidRDefault="00000000" w:rsidRPr="00000000" w14:paraId="00000004">
      <w:pPr>
        <w:spacing w:after="120"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 807</w:t>
      </w:r>
      <w:r w:rsidDel="00000000" w:rsidR="00000000" w:rsidRPr="00000000">
        <w:rPr>
          <w:rFonts w:ascii="Times New Roman" w:cs="Times New Roman" w:eastAsia="Times New Roman" w:hAnsi="Times New Roman"/>
          <w:b w:val="1"/>
          <w:bCs w:val="1"/>
          <w:sz w:val="28"/>
          <w:szCs w:val="28"/>
          <w:rtl w:val="0"/>
        </w:rPr>
        <w:t xml:space="preserve"> Sistema de Inteligencia de Negocios “U”</w:t>
      </w:r>
      <w:r w:rsidDel="00000000" w:rsidR="00000000" w:rsidRPr="00000000">
        <w:rPr>
          <w:rtl w:val="0"/>
        </w:rPr>
      </w:r>
    </w:p>
    <w:p w:rsidR="00000000" w:rsidDel="00000000" w:rsidP="00000000" w:rsidRDefault="00000000" w:rsidRPr="00000000" w14:paraId="00000005">
      <w:pPr>
        <w:spacing w:after="240" w:before="240" w:line="276" w:lineRule="auto"/>
        <w:jc w:val="center"/>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Practica calificada 3</w:t>
      </w:r>
    </w:p>
    <w:p w:rsidR="00000000" w:rsidDel="00000000" w:rsidP="00000000" w:rsidRDefault="00000000" w:rsidRPr="00000000" w14:paraId="00000006">
      <w:pPr>
        <w:spacing w:after="240" w:before="240" w:line="276" w:lineRule="auto"/>
        <w:jc w:val="center"/>
        <w:rPr>
          <w:rFonts w:ascii="Times New Roman" w:cs="Times New Roman" w:eastAsia="Times New Roman" w:hAnsi="Times New Roman"/>
          <w:b w:val="1"/>
          <w:bCs w:val="1"/>
          <w:color w:val="333333"/>
        </w:rPr>
      </w:pPr>
      <w:r w:rsidDel="00000000" w:rsidR="00000000" w:rsidRPr="00000000">
        <w:rPr>
          <w:rFonts w:ascii="Times New Roman" w:cs="Times New Roman" w:eastAsia="Times New Roman" w:hAnsi="Times New Roman"/>
          <w:b w:val="1"/>
          <w:bCs w:val="1"/>
          <w:color w:val="333333"/>
          <w:rtl w:val="0"/>
        </w:rPr>
        <w:t xml:space="preserve">"Diseño e Implementación de una Arquitectura BI Híbrida en la Nube para la Optimización de la Gestión de SOTs en Claro Perú"</w:t>
      </w:r>
    </w:p>
    <w:p w:rsidR="00000000" w:rsidDel="00000000" w:rsidP="00000000" w:rsidRDefault="00000000" w:rsidRPr="00000000" w14:paraId="0000000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12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Integrantes:</w:t>
      </w:r>
    </w:p>
    <w:p w:rsidR="00000000" w:rsidDel="00000000" w:rsidP="00000000" w:rsidRDefault="00000000" w:rsidRPr="00000000" w14:paraId="00000009">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Callupe Pardo, Yoselyn Patricia</w:t>
        <w:tab/>
        <w:tab/>
        <w:tab/>
        <w:t xml:space="preserve">20190267H</w:t>
      </w:r>
    </w:p>
    <w:p w:rsidR="00000000" w:rsidDel="00000000" w:rsidP="00000000" w:rsidRDefault="00000000" w:rsidRPr="00000000" w14:paraId="0000000A">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Garro Oré, Willian Jesús</w:t>
        <w:tab/>
        <w:tab/>
        <w:tab/>
        <w:tab/>
        <w:t xml:space="preserve">20172115E</w:t>
      </w:r>
    </w:p>
    <w:p w:rsidR="00000000" w:rsidDel="00000000" w:rsidP="00000000" w:rsidRDefault="00000000" w:rsidRPr="00000000" w14:paraId="0000000B">
      <w:pPr>
        <w:numPr>
          <w:ilvl w:val="0"/>
          <w:numId w:val="1"/>
        </w:numPr>
        <w:spacing w:after="12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Nuñez Poma,Robert Gianpierro Jesus</w:t>
        <w:tab/>
        <w:tab/>
      </w:r>
      <w:r w:rsidDel="00000000" w:rsidR="00000000" w:rsidRPr="00000000">
        <w:rPr>
          <w:rFonts w:ascii="Times New Roman" w:cs="Times New Roman" w:eastAsia="Times New Roman" w:hAnsi="Times New Roman"/>
          <w:color w:val="333333"/>
          <w:rtl w:val="0"/>
        </w:rPr>
        <w:t xml:space="preserve">20202084E</w:t>
      </w:r>
      <w:r w:rsidDel="00000000" w:rsidR="00000000" w:rsidRPr="00000000">
        <w:rPr>
          <w:rtl w:val="0"/>
        </w:rPr>
      </w:r>
    </w:p>
    <w:p w:rsidR="00000000" w:rsidDel="00000000" w:rsidP="00000000" w:rsidRDefault="00000000" w:rsidRPr="00000000" w14:paraId="0000000C">
      <w:pPr>
        <w:spacing w:after="120" w:line="276" w:lineRule="auto"/>
        <w:ind w:left="17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w:t>
      </w:r>
    </w:p>
    <w:p w:rsidR="00000000" w:rsidDel="00000000" w:rsidP="00000000" w:rsidRDefault="00000000" w:rsidRPr="00000000" w14:paraId="0000000E">
      <w:pPr>
        <w:numPr>
          <w:ilvl w:val="0"/>
          <w:numId w:val="7"/>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Aradiel Castañeda, Hilario</w:t>
      </w:r>
    </w:p>
    <w:p w:rsidR="00000000" w:rsidDel="00000000" w:rsidP="00000000" w:rsidRDefault="00000000" w:rsidRPr="00000000" w14:paraId="0000000F">
      <w:pPr>
        <w:numPr>
          <w:ilvl w:val="0"/>
          <w:numId w:val="7"/>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Garcia Atuncar, Fernando</w:t>
      </w:r>
    </w:p>
    <w:p w:rsidR="00000000" w:rsidDel="00000000" w:rsidP="00000000" w:rsidRDefault="00000000" w:rsidRPr="00000000" w14:paraId="00000010">
      <w:pPr>
        <w:spacing w:after="12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Lima – Perú</w:t>
      </w:r>
    </w:p>
    <w:p w:rsidR="00000000" w:rsidDel="00000000" w:rsidP="00000000" w:rsidRDefault="00000000" w:rsidRPr="00000000" w14:paraId="00000011">
      <w:pPr>
        <w:spacing w:after="120" w:before="240" w:line="27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40"/>
          <w:szCs w:val="40"/>
          <w:rtl w:val="0"/>
        </w:rPr>
        <w:t xml:space="preserve">2025</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f7474kf2he2s" w:id="0"/>
      <w:bookmarkEnd w:id="0"/>
      <w:r w:rsidDel="00000000" w:rsidR="00000000" w:rsidRPr="00000000">
        <w:rPr>
          <w:rFonts w:ascii="Times New Roman" w:cs="Times New Roman" w:eastAsia="Times New Roman" w:hAnsi="Times New Roman"/>
          <w:b w:val="1"/>
          <w:bCs w:val="1"/>
          <w:color w:val="1b1c1d"/>
          <w:sz w:val="24"/>
          <w:szCs w:val="24"/>
          <w:rtl w:val="0"/>
        </w:rPr>
        <w:t xml:space="preserve">1. Descripción de la Organización y Planteamiento del Problema</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zebbjzce01z0" w:id="1"/>
      <w:bookmarkEnd w:id="1"/>
      <w:r w:rsidDel="00000000" w:rsidR="00000000" w:rsidRPr="00000000">
        <w:rPr>
          <w:rFonts w:ascii="Times New Roman" w:cs="Times New Roman" w:eastAsia="Times New Roman" w:hAnsi="Times New Roman"/>
          <w:b w:val="1"/>
          <w:bCs w:val="1"/>
          <w:color w:val="1b1c1d"/>
          <w:sz w:val="24"/>
          <w:szCs w:val="24"/>
          <w:rtl w:val="0"/>
        </w:rPr>
        <w:t xml:space="preserve">1.1. Descripción de la Empresa y Contexto de Negocio</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276" w:lineRule="auto"/>
        <w:jc w:val="both"/>
        <w:rPr>
          <w:rFonts w:ascii="Times New Roman" w:cs="Times New Roman" w:eastAsia="Times New Roman" w:hAnsi="Times New Roman"/>
          <w:color w:val="1b1c1d"/>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La organización bajo análisis es Claro Perú (América Móvil Perú S.A.C.), subsidiaria de América Móvil, uno de los proveedores líderes de servicios integrados de telecomunicaciones en Latinoamérica. La empresa opera en un mercado altamente competitivo donde la eficiencia operativa y la satisfacción del cliente son los principales diferenciadores frente a la competencia.</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276" w:lineRule="auto"/>
        <w:jc w:val="both"/>
        <w:rPr>
          <w:rFonts w:ascii="Times New Roman" w:cs="Times New Roman" w:eastAsia="Times New Roman" w:hAnsi="Times New Roman"/>
          <w:color w:val="1b1c1d"/>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El alcance de este proyecto se centra en la Gerencia de Operaciones y Mantenimiento (Planta Externa). Esta unidad estratégica es responsable de la "última milla" del servicio: gestiona las Solicitudes de Orden de Trabajo (SOT). Una SOT representa cualquier orden técnica que requiere despliegue en campo, desde nuevas instalaciones (HFC/Fibra) hasta reparaciones y mantenimiento post-venta. Dado el volumen masivo de transacciones diarias a nivel nacional, la capacidad de monitorear estas operaciones es crítica para la rentabilidad del negocio.</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orl0b93m482n" w:id="3"/>
      <w:bookmarkEnd w:id="3"/>
      <w:r w:rsidDel="00000000" w:rsidR="00000000" w:rsidRPr="00000000">
        <w:rPr>
          <w:rFonts w:ascii="Times New Roman" w:cs="Times New Roman" w:eastAsia="Times New Roman" w:hAnsi="Times New Roman"/>
          <w:b w:val="1"/>
          <w:bCs w:val="1"/>
          <w:color w:val="1b1c1d"/>
          <w:sz w:val="24"/>
          <w:szCs w:val="24"/>
          <w:rtl w:val="0"/>
        </w:rPr>
        <w:t xml:space="preserve">1.2. Misión y Visión</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color w:val="1b1c1d"/>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El proyecto de Inteligencia de Negocios se alinea directamente con los pilares estratégicos de la organización:</w:t>
      </w:r>
    </w:p>
    <w:p w:rsidR="00000000" w:rsidDel="00000000" w:rsidP="00000000" w:rsidRDefault="00000000" w:rsidRPr="00000000" w14:paraId="00000019">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jc w:val="both"/>
        <w:rPr>
          <w:sz w:val="24"/>
          <w:szCs w:val="24"/>
        </w:rPr>
      </w:pPr>
      <w:bookmarkStart w:colFirst="0" w:colLast="0" w:name="_heading=h.lfx0zr726gaj" w:id="2"/>
      <w:bookmarkEnd w:id="2"/>
      <w:r w:rsidDel="00000000" w:rsidR="00000000" w:rsidRPr="00000000">
        <w:rPr>
          <w:rFonts w:ascii="Times New Roman" w:cs="Times New Roman" w:eastAsia="Times New Roman" w:hAnsi="Times New Roman"/>
          <w:b w:val="1"/>
          <w:bCs w:val="1"/>
          <w:color w:val="1b1c1d"/>
          <w:sz w:val="24"/>
          <w:szCs w:val="24"/>
          <w:rtl w:val="0"/>
        </w:rPr>
        <w:t xml:space="preserve">Misión:</w:t>
      </w:r>
      <w:r w:rsidDel="00000000" w:rsidR="00000000" w:rsidRPr="00000000">
        <w:rPr>
          <w:rFonts w:ascii="Times New Roman" w:cs="Times New Roman" w:eastAsia="Times New Roman" w:hAnsi="Times New Roman"/>
          <w:color w:val="1b1c1d"/>
          <w:sz w:val="24"/>
          <w:szCs w:val="24"/>
          <w:rtl w:val="0"/>
        </w:rPr>
        <w:t xml:space="preserve"> "Proporcionar soluciones de telecomunicaciones y digitales de clase mundial, conectando a las personas y empresas para mejorar su calidad de vida y productividad."</w:t>
      </w:r>
    </w:p>
    <w:p w:rsidR="00000000" w:rsidDel="00000000" w:rsidP="00000000" w:rsidRDefault="00000000" w:rsidRPr="00000000" w14:paraId="0000001A">
      <w:pPr>
        <w:pStyle w:val="Heading2"/>
        <w:keepNext w:val="0"/>
        <w:keepLines w:val="0"/>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992.1259842519685" w:hanging="360"/>
        <w:jc w:val="both"/>
        <w:rPr>
          <w:rFonts w:ascii="Times New Roman" w:cs="Times New Roman" w:eastAsia="Times New Roman" w:hAnsi="Times New Roman"/>
          <w:sz w:val="24"/>
          <w:szCs w:val="24"/>
        </w:rPr>
      </w:pPr>
      <w:bookmarkStart w:colFirst="0" w:colLast="0" w:name="_heading=h.lfx0zr726gaj" w:id="2"/>
      <w:bookmarkEnd w:id="2"/>
      <w:r w:rsidDel="00000000" w:rsidR="00000000" w:rsidRPr="00000000">
        <w:rPr>
          <w:rFonts w:ascii="Times New Roman" w:cs="Times New Roman" w:eastAsia="Times New Roman" w:hAnsi="Times New Roman"/>
          <w:i w:val="1"/>
          <w:iCs w:val="1"/>
          <w:color w:val="1b1c1d"/>
          <w:sz w:val="24"/>
          <w:szCs w:val="24"/>
          <w:rtl w:val="0"/>
        </w:rPr>
        <w:t xml:space="preserve">Alineación del Proyecto:</w:t>
      </w:r>
      <w:r w:rsidDel="00000000" w:rsidR="00000000" w:rsidRPr="00000000">
        <w:rPr>
          <w:rFonts w:ascii="Times New Roman" w:cs="Times New Roman" w:eastAsia="Times New Roman" w:hAnsi="Times New Roman"/>
          <w:color w:val="1b1c1d"/>
          <w:sz w:val="24"/>
          <w:szCs w:val="24"/>
          <w:rtl w:val="0"/>
        </w:rPr>
        <w:t xml:space="preserve"> Al optimizar el seguimiento de las SOTs, garantizamos que esa "conexión" llegue al usuario final en el menor tiempo posible.</w:t>
      </w:r>
    </w:p>
    <w:p w:rsidR="00000000" w:rsidDel="00000000" w:rsidP="00000000" w:rsidRDefault="00000000" w:rsidRPr="00000000" w14:paraId="0000001B">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jc w:val="both"/>
        <w:rPr>
          <w:sz w:val="24"/>
          <w:szCs w:val="24"/>
        </w:rPr>
      </w:pPr>
      <w:bookmarkStart w:colFirst="0" w:colLast="0" w:name="_heading=h.lfx0zr726gaj" w:id="2"/>
      <w:bookmarkEnd w:id="2"/>
      <w:r w:rsidDel="00000000" w:rsidR="00000000" w:rsidRPr="00000000">
        <w:rPr>
          <w:rFonts w:ascii="Times New Roman" w:cs="Times New Roman" w:eastAsia="Times New Roman" w:hAnsi="Times New Roman"/>
          <w:b w:val="1"/>
          <w:bCs w:val="1"/>
          <w:color w:val="1b1c1d"/>
          <w:sz w:val="24"/>
          <w:szCs w:val="24"/>
          <w:rtl w:val="0"/>
        </w:rPr>
        <w:t xml:space="preserve">Visión:</w:t>
      </w:r>
      <w:r w:rsidDel="00000000" w:rsidR="00000000" w:rsidRPr="00000000">
        <w:rPr>
          <w:rFonts w:ascii="Times New Roman" w:cs="Times New Roman" w:eastAsia="Times New Roman" w:hAnsi="Times New Roman"/>
          <w:color w:val="1b1c1d"/>
          <w:sz w:val="24"/>
          <w:szCs w:val="24"/>
          <w:rtl w:val="0"/>
        </w:rPr>
        <w:t xml:space="preserve"> "Ser la empresa de telecomunicaciones líder en experiencia del cliente y transformación digital en el mercado peruano."</w:t>
      </w:r>
    </w:p>
    <w:p w:rsidR="00000000" w:rsidDel="00000000" w:rsidP="00000000" w:rsidRDefault="00000000" w:rsidRPr="00000000" w14:paraId="0000001C">
      <w:pPr>
        <w:pStyle w:val="Heading2"/>
        <w:keepNext w:val="0"/>
        <w:keepLines w:val="0"/>
        <w:numPr>
          <w:ilvl w:val="1"/>
          <w:numId w:val="5"/>
        </w:numPr>
        <w:pBdr>
          <w:top w:color="auto" w:space="0" w:sz="0" w:val="none"/>
          <w:left w:color="auto" w:space="0" w:sz="0" w:val="none"/>
          <w:bottom w:color="auto" w:space="0" w:sz="0" w:val="none"/>
          <w:right w:color="auto" w:space="0" w:sz="0" w:val="none"/>
          <w:between w:color="auto" w:space="0" w:sz="0" w:val="none"/>
        </w:pBdr>
        <w:spacing w:after="600" w:before="0" w:line="276" w:lineRule="auto"/>
        <w:ind w:left="992.1259842519685" w:hanging="360"/>
        <w:jc w:val="both"/>
        <w:rPr>
          <w:rFonts w:ascii="Times New Roman" w:cs="Times New Roman" w:eastAsia="Times New Roman" w:hAnsi="Times New Roman"/>
          <w:sz w:val="24"/>
          <w:szCs w:val="24"/>
        </w:rPr>
      </w:pPr>
      <w:bookmarkStart w:colFirst="0" w:colLast="0" w:name="_heading=h.lfx0zr726gaj" w:id="2"/>
      <w:bookmarkEnd w:id="2"/>
      <w:r w:rsidDel="00000000" w:rsidR="00000000" w:rsidRPr="00000000">
        <w:rPr>
          <w:rFonts w:ascii="Times New Roman" w:cs="Times New Roman" w:eastAsia="Times New Roman" w:hAnsi="Times New Roman"/>
          <w:i w:val="1"/>
          <w:iCs w:val="1"/>
          <w:color w:val="1b1c1d"/>
          <w:sz w:val="24"/>
          <w:szCs w:val="24"/>
          <w:rtl w:val="0"/>
        </w:rPr>
        <w:t xml:space="preserve">Alineación del Proyecto:</w:t>
      </w:r>
      <w:r w:rsidDel="00000000" w:rsidR="00000000" w:rsidRPr="00000000">
        <w:rPr>
          <w:rFonts w:ascii="Times New Roman" w:cs="Times New Roman" w:eastAsia="Times New Roman" w:hAnsi="Times New Roman"/>
          <w:color w:val="1b1c1d"/>
          <w:sz w:val="24"/>
          <w:szCs w:val="24"/>
          <w:rtl w:val="0"/>
        </w:rPr>
        <w:t xml:space="preserve"> Sustituir procesos manuales por una arquitectura Cloud moderna es un paso tangible hacia esa transformación digital.</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8on4v2nbquao" w:id="4"/>
      <w:bookmarkEnd w:id="4"/>
      <w:r w:rsidDel="00000000" w:rsidR="00000000" w:rsidRPr="00000000">
        <w:rPr>
          <w:rFonts w:ascii="Times New Roman" w:cs="Times New Roman" w:eastAsia="Times New Roman" w:hAnsi="Times New Roman"/>
          <w:b w:val="1"/>
          <w:bCs w:val="1"/>
          <w:color w:val="1b1c1d"/>
          <w:sz w:val="24"/>
          <w:szCs w:val="24"/>
          <w:rtl w:val="0"/>
        </w:rPr>
        <w:t xml:space="preserve">1.3. Situación Problemática (As-Is)</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color w:val="1b1c1d"/>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A pesar de su posición de liderazgo, el proceso actual de gestión de información para el seguimiento de las SOTs presenta ineficiencias estructurales que limitan la capacidad de reacción de la gerencia:</w:t>
      </w:r>
    </w:p>
    <w:p w:rsidR="00000000" w:rsidDel="00000000" w:rsidP="00000000" w:rsidRDefault="00000000" w:rsidRPr="00000000" w14:paraId="0000001F">
      <w:pPr>
        <w:pStyle w:val="Heading2"/>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jc w:val="both"/>
        <w:rPr>
          <w:rFonts w:ascii="Times New Roman" w:cs="Times New Roman" w:eastAsia="Times New Roman" w:hAnsi="Times New Roman"/>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Procesamiento Manual y Riesgo de Integridad de Datos:</w:t>
        <w:br w:type="textWrapping"/>
        <w:t xml:space="preserve">Actualmente, los analistas dependen de la extracción manual de archivos planos (sot_historico.csv) desde sistemas legados. Este flujo requiere limpieza artesanal (uso de Excel o macros locales) para corregir errores recurrentes, como inconsistencias en nombres de departamentos (ej. "Huancavelica" vs "HUANCAVELICA") o formatos de fecha no estandarizados. Este proceso no solo consume horas-hombre valiosas, sino que introduce un alto riesgo de error humano, restando confiabilidad a la data final.</w:t>
      </w:r>
    </w:p>
    <w:p w:rsidR="00000000" w:rsidDel="00000000" w:rsidP="00000000" w:rsidRDefault="00000000" w:rsidRPr="00000000" w14:paraId="00000020">
      <w:pPr>
        <w:pStyle w:val="Heading2"/>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jc w:val="both"/>
        <w:rPr>
          <w:rFonts w:ascii="Times New Roman" w:cs="Times New Roman" w:eastAsia="Times New Roman" w:hAnsi="Times New Roman"/>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Visibilidad Limitada sobre "Dilaciones" (Cuellos de Botella):</w:t>
        <w:br w:type="textWrapping"/>
        <w:t xml:space="preserve">Uno de los puntos más críticos es la incapacidad para medir con precisión los tiempos de espera del cliente, conocidos internamente como Dilaciones.</w:t>
      </w:r>
    </w:p>
    <w:p w:rsidR="00000000" w:rsidDel="00000000" w:rsidP="00000000" w:rsidRDefault="00000000" w:rsidRPr="00000000" w14:paraId="00000021">
      <w:pPr>
        <w:pStyle w:val="Heading2"/>
        <w:keepNext w:val="0"/>
        <w:keepLines w:val="0"/>
        <w:numPr>
          <w:ilvl w:val="1"/>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1440" w:hanging="360"/>
        <w:jc w:val="both"/>
        <w:rPr>
          <w:rFonts w:ascii="Times New Roman" w:cs="Times New Roman" w:eastAsia="Times New Roman" w:hAnsi="Times New Roman"/>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No existe un cálculo automatizado de la </w:t>
      </w:r>
      <w:r w:rsidDel="00000000" w:rsidR="00000000" w:rsidRPr="00000000">
        <w:rPr>
          <w:rFonts w:ascii="Times New Roman" w:cs="Times New Roman" w:eastAsia="Times New Roman" w:hAnsi="Times New Roman"/>
          <w:i w:val="1"/>
          <w:iCs w:val="1"/>
          <w:color w:val="1b1c1d"/>
          <w:sz w:val="24"/>
          <w:szCs w:val="24"/>
          <w:rtl w:val="0"/>
        </w:rPr>
        <w:t xml:space="preserve">Dilación de Creación</w:t>
      </w:r>
      <w:r w:rsidDel="00000000" w:rsidR="00000000" w:rsidRPr="00000000">
        <w:rPr>
          <w:rFonts w:ascii="Times New Roman" w:cs="Times New Roman" w:eastAsia="Times New Roman" w:hAnsi="Times New Roman"/>
          <w:color w:val="1b1c1d"/>
          <w:sz w:val="24"/>
          <w:szCs w:val="24"/>
          <w:rtl w:val="0"/>
        </w:rPr>
        <w:t xml:space="preserve"> (tiempo entre la Venta y la creación de la SOT) ni de la </w:t>
      </w:r>
      <w:r w:rsidDel="00000000" w:rsidR="00000000" w:rsidRPr="00000000">
        <w:rPr>
          <w:rFonts w:ascii="Times New Roman" w:cs="Times New Roman" w:eastAsia="Times New Roman" w:hAnsi="Times New Roman"/>
          <w:i w:val="1"/>
          <w:iCs w:val="1"/>
          <w:color w:val="1b1c1d"/>
          <w:sz w:val="24"/>
          <w:szCs w:val="24"/>
          <w:rtl w:val="0"/>
        </w:rPr>
        <w:t xml:space="preserve">Dilación de Factibilidad</w:t>
      </w:r>
      <w:r w:rsidDel="00000000" w:rsidR="00000000" w:rsidRPr="00000000">
        <w:rPr>
          <w:rFonts w:ascii="Times New Roman" w:cs="Times New Roman" w:eastAsia="Times New Roman" w:hAnsi="Times New Roman"/>
          <w:color w:val="1b1c1d"/>
          <w:sz w:val="24"/>
          <w:szCs w:val="24"/>
          <w:rtl w:val="0"/>
        </w:rPr>
        <w:t xml:space="preserve">.</w:t>
      </w:r>
    </w:p>
    <w:p w:rsidR="00000000" w:rsidDel="00000000" w:rsidP="00000000" w:rsidRDefault="00000000" w:rsidRPr="00000000" w14:paraId="00000022">
      <w:pPr>
        <w:pStyle w:val="Heading2"/>
        <w:keepNext w:val="0"/>
        <w:keepLines w:val="0"/>
        <w:numPr>
          <w:ilvl w:val="1"/>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1440" w:hanging="360"/>
        <w:jc w:val="both"/>
        <w:rPr>
          <w:rFonts w:ascii="Times New Roman" w:cs="Times New Roman" w:eastAsia="Times New Roman" w:hAnsi="Times New Roman"/>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Sin estas métricas claras, el área de Operaciones no puede identificar qué regiones o contratas están demorando más en atender al cliente, afectando directamente los indicadores de calidad (SLA) y aumentando la tasa de cancelación (Churn) por insatisfacción temprana.</w:t>
      </w:r>
    </w:p>
    <w:p w:rsidR="00000000" w:rsidDel="00000000" w:rsidP="00000000" w:rsidRDefault="00000000" w:rsidRPr="00000000" w14:paraId="00000023">
      <w:pPr>
        <w:pStyle w:val="Heading2"/>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pacing w:after="360" w:before="0" w:line="276" w:lineRule="auto"/>
        <w:ind w:left="720" w:hanging="360"/>
        <w:jc w:val="both"/>
        <w:rPr>
          <w:rFonts w:ascii="Times New Roman" w:cs="Times New Roman" w:eastAsia="Times New Roman" w:hAnsi="Times New Roman"/>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Reporte Retrospectivo y Estático:</w:t>
        <w:br w:type="textWrapping"/>
        <w:t xml:space="preserve">La toma de decisiones se basa en reportes estáticos que reflejan el pasado sin permitir un análisis profundo. Al no contar con un repositorio centralizado (Data Warehouse), cruzar información histórica para detectar tendencias estacionales o problemas recurrentes por zona geográfica es una tarea compleja y lenta.</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ieiomi1dq5kf" w:id="5"/>
      <w:bookmarkEnd w:id="5"/>
      <w:r w:rsidDel="00000000" w:rsidR="00000000" w:rsidRPr="00000000">
        <w:rPr>
          <w:rFonts w:ascii="Times New Roman" w:cs="Times New Roman" w:eastAsia="Times New Roman" w:hAnsi="Times New Roman"/>
          <w:b w:val="1"/>
          <w:bCs w:val="1"/>
          <w:color w:val="1b1c1d"/>
          <w:sz w:val="24"/>
          <w:szCs w:val="24"/>
          <w:rtl w:val="0"/>
        </w:rPr>
        <w:t xml:space="preserve">1.4. Objetivos del Proyecto de Inteligencia de Negocios</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276" w:lineRule="auto"/>
        <w:jc w:val="both"/>
        <w:rPr>
          <w:rFonts w:ascii="Times New Roman" w:cs="Times New Roman" w:eastAsia="Times New Roman" w:hAnsi="Times New Roman"/>
          <w:color w:val="1b1c1d"/>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Para revertir esta situación, se plantea el despliegue de una arquitectura moderna de datos en la nube, bajo un modelo híbrido (GCP + Power BI).</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276" w:lineRule="auto"/>
        <w:jc w:val="both"/>
        <w:rPr>
          <w:rFonts w:ascii="Times New Roman" w:cs="Times New Roman" w:eastAsia="Times New Roman" w:hAnsi="Times New Roman"/>
          <w:color w:val="1b1c1d"/>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Objetivo General:</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276" w:lineRule="auto"/>
        <w:jc w:val="both"/>
        <w:rPr>
          <w:rFonts w:ascii="Times New Roman" w:cs="Times New Roman" w:eastAsia="Times New Roman" w:hAnsi="Times New Roman"/>
          <w:color w:val="1b1c1d"/>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Diseñar e implementar una solución de Inteligencia de Negocios (BI) escalable que automatice el ciclo de vida de los datos operativos (ETL), permitiendo a la Gerencia de Operaciones monitorear el desempeño de las SOTs con información actualizada al día anterior (D-1) para optimizar los tiempos de atención al cliente.</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lfx0zr726gaj" w:id="2"/>
      <w:bookmarkEnd w:id="2"/>
      <w:r w:rsidDel="00000000" w:rsidR="00000000" w:rsidRPr="00000000">
        <w:rPr>
          <w:rFonts w:ascii="Times New Roman" w:cs="Times New Roman" w:eastAsia="Times New Roman" w:hAnsi="Times New Roman"/>
          <w:b w:val="1"/>
          <w:bCs w:val="1"/>
          <w:color w:val="1b1c1d"/>
          <w:sz w:val="24"/>
          <w:szCs w:val="24"/>
          <w:rtl w:val="0"/>
        </w:rPr>
        <w:t xml:space="preserve">Objetivos Específicos:</w:t>
      </w:r>
    </w:p>
    <w:p w:rsidR="00000000" w:rsidDel="00000000" w:rsidP="00000000" w:rsidRDefault="00000000" w:rsidRPr="00000000" w14:paraId="00000029">
      <w:pPr>
        <w:pStyle w:val="Heading2"/>
        <w:keepNext w:val="0"/>
        <w:keepLines w:val="0"/>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jc w:val="both"/>
        <w:rPr>
          <w:rFonts w:ascii="Times New Roman" w:cs="Times New Roman" w:eastAsia="Times New Roman" w:hAnsi="Times New Roman"/>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Automatizar la Ingesta y Calidad de Datos (ETL):</w:t>
        <w:br w:type="textWrapping"/>
        <w:t xml:space="preserve">Implementar un flujo de trabajo en Google Cloud Dataproc que procese los archivos crudos diariamente, aplicando reglas de negocio automáticas para sanear inconsistencias, estandarizar formatos y eliminar registros corruptos, reduciendo a cero la intervención manual en la preparación de datos.</w:t>
      </w:r>
    </w:p>
    <w:p w:rsidR="00000000" w:rsidDel="00000000" w:rsidP="00000000" w:rsidRDefault="00000000" w:rsidRPr="00000000" w14:paraId="0000002A">
      <w:pPr>
        <w:pStyle w:val="Heading2"/>
        <w:keepNext w:val="0"/>
        <w:keepLines w:val="0"/>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jc w:val="both"/>
        <w:rPr>
          <w:rFonts w:ascii="Times New Roman" w:cs="Times New Roman" w:eastAsia="Times New Roman" w:hAnsi="Times New Roman"/>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Centralizar la Información Histórica (Data Warehouse):</w:t>
        <w:br w:type="textWrapping"/>
        <w:t xml:space="preserve">Consolidar la data depurada en Google BigQuery, creando una "Fuente Única de la Verdad" que almacene el histórico de operaciones de manera segura y accesible, permitiendo análisis comparativos de largo plazo sin impactar los sistemas transaccionales.</w:t>
      </w:r>
    </w:p>
    <w:p w:rsidR="00000000" w:rsidDel="00000000" w:rsidP="00000000" w:rsidRDefault="00000000" w:rsidRPr="00000000" w14:paraId="0000002B">
      <w:pPr>
        <w:pStyle w:val="Heading2"/>
        <w:keepNext w:val="0"/>
        <w:keepLines w:val="0"/>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jc w:val="both"/>
        <w:rPr>
          <w:rFonts w:ascii="Times New Roman" w:cs="Times New Roman" w:eastAsia="Times New Roman" w:hAnsi="Times New Roman"/>
          <w:sz w:val="24"/>
          <w:szCs w:val="24"/>
        </w:rPr>
      </w:pPr>
      <w:bookmarkStart w:colFirst="0" w:colLast="0" w:name="_heading=h.lfx0zr726gaj" w:id="2"/>
      <w:bookmarkEnd w:id="2"/>
      <w:r w:rsidDel="00000000" w:rsidR="00000000" w:rsidRPr="00000000">
        <w:rPr>
          <w:rFonts w:ascii="Times New Roman" w:cs="Times New Roman" w:eastAsia="Times New Roman" w:hAnsi="Times New Roman"/>
          <w:color w:val="1b1c1d"/>
          <w:sz w:val="24"/>
          <w:szCs w:val="24"/>
          <w:rtl w:val="0"/>
        </w:rPr>
        <w:t xml:space="preserve">Implementar Analítica Visual Avanzada (Dashboard):</w:t>
        <w:br w:type="textWrapping"/>
        <w:t xml:space="preserve">Desarrollar un tablero de control interactivo en Microsoft Power BI (conectado vía DirectQuery) que permita visualizar KPIs críticos como el Volumen de Ventas vs. SOTs ejecutadas y los Promedios de Dilación por departamento, facilitando la identificación proactiva de demoras operativas.</w:t>
      </w:r>
    </w:p>
    <w:p w:rsidR="00000000" w:rsidDel="00000000" w:rsidP="00000000" w:rsidRDefault="00000000" w:rsidRPr="00000000" w14:paraId="0000002C">
      <w:pPr>
        <w:pStyle w:val="Heading2"/>
        <w:keepNext w:val="0"/>
        <w:keepLines w:val="0"/>
        <w:numPr>
          <w:ilvl w:val="0"/>
          <w:numId w:val="15"/>
        </w:numPr>
        <w:pBdr>
          <w:top w:color="auto" w:space="0" w:sz="0" w:val="none"/>
          <w:left w:color="auto" w:space="0" w:sz="0" w:val="none"/>
          <w:bottom w:color="auto" w:space="0" w:sz="0" w:val="none"/>
          <w:right w:color="auto" w:space="0" w:sz="0" w:val="none"/>
          <w:between w:color="auto" w:space="0" w:sz="0" w:val="none"/>
        </w:pBdr>
        <w:spacing w:after="360" w:before="0" w:line="276" w:lineRule="auto"/>
        <w:ind w:left="720" w:hanging="360"/>
        <w:jc w:val="both"/>
        <w:rPr>
          <w:rFonts w:ascii="Times New Roman" w:cs="Times New Roman" w:eastAsia="Times New Roman" w:hAnsi="Times New Roman"/>
          <w:sz w:val="24"/>
          <w:szCs w:val="24"/>
        </w:rPr>
      </w:pPr>
      <w:bookmarkStart w:colFirst="0" w:colLast="0" w:name="_heading=h.p6lxab4jjegw" w:id="6"/>
      <w:bookmarkEnd w:id="6"/>
      <w:r w:rsidDel="00000000" w:rsidR="00000000" w:rsidRPr="00000000">
        <w:rPr>
          <w:rFonts w:ascii="Times New Roman" w:cs="Times New Roman" w:eastAsia="Times New Roman" w:hAnsi="Times New Roman"/>
          <w:color w:val="1b1c1d"/>
          <w:sz w:val="24"/>
          <w:szCs w:val="24"/>
          <w:rtl w:val="0"/>
        </w:rPr>
        <w:t xml:space="preserve">Optimización de Costos Operativos:</w:t>
        <w:br w:type="textWrapping"/>
        <w:t xml:space="preserve">Asegurar que la arquitectura propuesta sea financieramente sostenible mediante el uso de recursos efímeros (Serverless) y estrategias de almacenamiento inteligente, garantizando un bajo Costo Total de Propiedad (TCO) frente a soluciones tradicionales.</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color w:val="1b1c1d"/>
          <w:sz w:val="24"/>
          <w:szCs w:val="24"/>
        </w:rPr>
      </w:pPr>
      <w:bookmarkStart w:colFirst="0" w:colLast="0" w:name="_heading=h.lfx0zr726gaj" w:id="2"/>
      <w:bookmarkEnd w:id="2"/>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color w:val="1b1c1d"/>
          <w:sz w:val="24"/>
          <w:szCs w:val="24"/>
        </w:rPr>
      </w:pPr>
      <w:bookmarkStart w:colFirst="0" w:colLast="0" w:name="_heading=h.64ib7pm8cpij" w:id="7"/>
      <w:bookmarkEnd w:id="7"/>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color w:val="1b1c1d"/>
          <w:sz w:val="24"/>
          <w:szCs w:val="24"/>
        </w:rPr>
      </w:pPr>
      <w:bookmarkStart w:colFirst="0" w:colLast="0" w:name="_heading=h.hpb96apgnw77" w:id="8"/>
      <w:bookmarkEnd w:id="8"/>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color w:val="1b1c1d"/>
          <w:sz w:val="24"/>
          <w:szCs w:val="24"/>
        </w:rPr>
      </w:pPr>
      <w:bookmarkStart w:colFirst="0" w:colLast="0" w:name="_heading=h.gfcv1ajwg0lj" w:id="9"/>
      <w:bookmarkEnd w:id="9"/>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color w:val="1b1c1d"/>
          <w:sz w:val="24"/>
          <w:szCs w:val="24"/>
        </w:rPr>
      </w:pPr>
      <w:bookmarkStart w:colFirst="0" w:colLast="0" w:name="_heading=h.mn36vvpapmw5" w:id="10"/>
      <w:bookmarkEnd w:id="10"/>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color w:val="1b1c1d"/>
          <w:sz w:val="24"/>
          <w:szCs w:val="24"/>
        </w:rPr>
      </w:pPr>
      <w:bookmarkStart w:colFirst="0" w:colLast="0" w:name="_heading=h.l2916r1co2de" w:id="11"/>
      <w:bookmarkEnd w:id="11"/>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danbpcr3okri" w:id="12"/>
      <w:bookmarkEnd w:id="12"/>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9c63pzepyze3" w:id="13"/>
      <w:bookmarkEnd w:id="13"/>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4pzitzjorzwz" w:id="14"/>
      <w:bookmarkEnd w:id="14"/>
      <w:r w:rsidDel="00000000" w:rsidR="00000000" w:rsidRPr="00000000">
        <w:rPr>
          <w:rFonts w:ascii="Times New Roman" w:cs="Times New Roman" w:eastAsia="Times New Roman" w:hAnsi="Times New Roman"/>
          <w:b w:val="1"/>
          <w:bCs w:val="1"/>
          <w:color w:val="1b1c1d"/>
          <w:sz w:val="24"/>
          <w:szCs w:val="24"/>
          <w:rtl w:val="0"/>
        </w:rPr>
        <w:t xml:space="preserve">2. Justificación del uso de la Nube</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ned9e8myzddz" w:id="15"/>
      <w:bookmarkEnd w:id="15"/>
      <w:r w:rsidDel="00000000" w:rsidR="00000000" w:rsidRPr="00000000">
        <w:rPr>
          <w:rFonts w:ascii="Times New Roman" w:cs="Times New Roman" w:eastAsia="Times New Roman" w:hAnsi="Times New Roman"/>
          <w:b w:val="1"/>
          <w:bCs w:val="1"/>
          <w:color w:val="1b1c1d"/>
          <w:sz w:val="24"/>
          <w:szCs w:val="24"/>
          <w:rtl w:val="0"/>
        </w:rPr>
        <w:t xml:space="preserve">2.1. Naturaleza del Problema de Negocio y Estrategia Híbrida</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El requerimiento central del proyecto es procesar un pipeline de Inteligencia de Negocios (BI) bajo una modalidad D-1 (Batch). Esto implica que la carga de trabajo es intermitente: una ventana de procesamiento intensivo de una hora diaria (durante la madrugada) seguida de 23 horas de inactividad en el flujo de escritura, pero con alta disponibilidad para consultas de lectura durante el día.</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abordar esto, hemos descartado una infraestructura </w:t>
      </w:r>
      <w:r w:rsidDel="00000000" w:rsidR="00000000" w:rsidRPr="00000000">
        <w:rPr>
          <w:rFonts w:ascii="Times New Roman" w:cs="Times New Roman" w:eastAsia="Times New Roman" w:hAnsi="Times New Roman"/>
          <w:i w:val="1"/>
          <w:iCs w:val="1"/>
          <w:color w:val="1b1c1d"/>
          <w:rtl w:val="0"/>
        </w:rPr>
        <w:t xml:space="preserve">On-Premise</w:t>
      </w:r>
      <w:r w:rsidDel="00000000" w:rsidR="00000000" w:rsidRPr="00000000">
        <w:rPr>
          <w:rFonts w:ascii="Times New Roman" w:cs="Times New Roman" w:eastAsia="Times New Roman" w:hAnsi="Times New Roman"/>
          <w:color w:val="1b1c1d"/>
          <w:rtl w:val="0"/>
        </w:rPr>
        <w:t xml:space="preserve"> por su alto costo de capacidad ociosa. En su lugar, adoptamos una arquitectura Cloud Híbrida / Multi-cloud funcional:</w:t>
      </w:r>
    </w:p>
    <w:p w:rsidR="00000000" w:rsidDel="00000000" w:rsidP="00000000" w:rsidRDefault="00000000" w:rsidRPr="00000000" w14:paraId="00000039">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Backend (Ingeniería de Datos): Utilizamos la nube para procesar y almacenar datos de forma elástica y "Serverless", pagando solo por el uso puntual.</w:t>
      </w:r>
    </w:p>
    <w:p w:rsidR="00000000" w:rsidDel="00000000" w:rsidP="00000000" w:rsidRDefault="00000000" w:rsidRPr="00000000" w14:paraId="0000003A">
      <w:pPr>
        <w:numPr>
          <w:ilvl w:val="0"/>
          <w:numId w:val="16"/>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Frontend (Visualización): Desacoplamos la capa de presentación para usar la herramienta estándar del mercado (Power BI), conectándola eficientemente a nuestro almacén de datos en la nube.</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teb2w27ufsew" w:id="16"/>
      <w:bookmarkEnd w:id="16"/>
      <w:r w:rsidDel="00000000" w:rsidR="00000000" w:rsidRPr="00000000">
        <w:rPr>
          <w:rFonts w:ascii="Times New Roman" w:cs="Times New Roman" w:eastAsia="Times New Roman" w:hAnsi="Times New Roman"/>
          <w:b w:val="1"/>
          <w:bCs w:val="1"/>
          <w:color w:val="1b1c1d"/>
          <w:sz w:val="24"/>
          <w:szCs w:val="24"/>
          <w:rtl w:val="0"/>
        </w:rPr>
        <w:t xml:space="preserve">2.2. Análisis Comparativo de Proveedores de Nube y Ecosistemas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validar esta arquitectura, comparamos los tres grandes proveedores (GCP, AWS, Azure) analizando 6 características críticas, con énfasis en cómo sus ecosistemas de datos interactúan con herramientas de terceros como Power BI.</w:t>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35"/>
        <w:gridCol w:w="1860"/>
        <w:gridCol w:w="1890"/>
        <w:gridCol w:w="1815"/>
        <w:tblGridChange w:id="0">
          <w:tblGrid>
            <w:gridCol w:w="1605"/>
            <w:gridCol w:w="1335"/>
            <w:gridCol w:w="1860"/>
            <w:gridCol w:w="1890"/>
            <w:gridCol w:w="1815"/>
          </w:tblGrid>
        </w:tblGridChange>
      </w:tblGrid>
      <w:tr>
        <w:trPr>
          <w:cantSplit w:val="0"/>
          <w:trHeight w:val="81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Característica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Criterio de Evaluación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Google Cloud (GCP)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Amazon Web Services (AWS)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Microsoft Azure</w:t>
            </w:r>
            <w:r w:rsidDel="00000000" w:rsidR="00000000" w:rsidRPr="00000000">
              <w:rPr>
                <w:rtl w:val="0"/>
              </w:rPr>
            </w:r>
          </w:p>
        </w:tc>
      </w:tr>
      <w:tr>
        <w:trPr>
          <w:cantSplit w:val="0"/>
          <w:trHeight w:val="28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1. Data Warehouse (DW)</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Arquitectura y Conectividad Externa.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BigQuery:</w:t>
            </w:r>
            <w:r w:rsidDel="00000000" w:rsidR="00000000" w:rsidRPr="00000000">
              <w:rPr>
                <w:rFonts w:ascii="Times New Roman" w:cs="Times New Roman" w:eastAsia="Times New Roman" w:hAnsi="Times New Roman"/>
                <w:color w:val="1b1c1d"/>
                <w:sz w:val="20"/>
                <w:szCs w:val="20"/>
                <w:rtl w:val="0"/>
              </w:rPr>
              <w:t xml:space="preserve"> Arquitectura </w:t>
            </w:r>
            <w:r w:rsidDel="00000000" w:rsidR="00000000" w:rsidRPr="00000000">
              <w:rPr>
                <w:rFonts w:ascii="Times New Roman" w:cs="Times New Roman" w:eastAsia="Times New Roman" w:hAnsi="Times New Roman"/>
                <w:i w:val="1"/>
                <w:iCs w:val="1"/>
                <w:color w:val="1b1c1d"/>
                <w:sz w:val="20"/>
                <w:szCs w:val="20"/>
                <w:rtl w:val="0"/>
              </w:rPr>
              <w:t xml:space="preserve">Serverless</w:t>
            </w:r>
            <w:r w:rsidDel="00000000" w:rsidR="00000000" w:rsidRPr="00000000">
              <w:rPr>
                <w:rFonts w:ascii="Times New Roman" w:cs="Times New Roman" w:eastAsia="Times New Roman" w:hAnsi="Times New Roman"/>
                <w:color w:val="1b1c1d"/>
                <w:sz w:val="20"/>
                <w:szCs w:val="20"/>
                <w:rtl w:val="0"/>
              </w:rPr>
              <w:t xml:space="preserve">. Destaca por sus conectores nativos de alto rendimiento para Power BI (DirectQuery), permitiendo análisis sin mover la data.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Redshift:</w:t>
            </w:r>
            <w:r w:rsidDel="00000000" w:rsidR="00000000" w:rsidRPr="00000000">
              <w:rPr>
                <w:rFonts w:ascii="Times New Roman" w:cs="Times New Roman" w:eastAsia="Times New Roman" w:hAnsi="Times New Roman"/>
                <w:color w:val="1b1c1d"/>
                <w:sz w:val="20"/>
                <w:szCs w:val="20"/>
                <w:rtl w:val="0"/>
              </w:rPr>
              <w:t xml:space="preserve"> Potente, pero su gestión de clústeres es más compleja. La conexión con Power BI es buena pero a veces requiere gateways intermedios para rendimiento óptimo.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Synapse Analytics:</w:t>
            </w:r>
            <w:r w:rsidDel="00000000" w:rsidR="00000000" w:rsidRPr="00000000">
              <w:rPr>
                <w:rFonts w:ascii="Times New Roman" w:cs="Times New Roman" w:eastAsia="Times New Roman" w:hAnsi="Times New Roman"/>
                <w:color w:val="1b1c1d"/>
                <w:sz w:val="20"/>
                <w:szCs w:val="20"/>
                <w:rtl w:val="0"/>
              </w:rPr>
              <w:t xml:space="preserve"> Integración nativa perfecta con Power BI, pero suele ser más costoso para cargas de trabajo pequeñas o intermitentes.</w:t>
            </w:r>
          </w:p>
        </w:tc>
      </w:tr>
      <w:tr>
        <w:trPr>
          <w:cantSplit w:val="0"/>
          <w:trHeight w:val="267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2. Motor ETL (Spark)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Velocidad para Jobs Batch Cortos.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Dataproc:</w:t>
            </w:r>
            <w:r w:rsidDel="00000000" w:rsidR="00000000" w:rsidRPr="00000000">
              <w:rPr>
                <w:rFonts w:ascii="Times New Roman" w:cs="Times New Roman" w:eastAsia="Times New Roman" w:hAnsi="Times New Roman"/>
                <w:color w:val="1b1c1d"/>
                <w:sz w:val="20"/>
                <w:szCs w:val="20"/>
                <w:rtl w:val="0"/>
              </w:rPr>
              <w:t xml:space="preserve"> Tiempos de inicio de clúster ultra-rápidos (90 seg), ideal para jobs efímeros de 1 hora.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EMR:</w:t>
            </w:r>
            <w:r w:rsidDel="00000000" w:rsidR="00000000" w:rsidRPr="00000000">
              <w:rPr>
                <w:rFonts w:ascii="Times New Roman" w:cs="Times New Roman" w:eastAsia="Times New Roman" w:hAnsi="Times New Roman"/>
                <w:color w:val="1b1c1d"/>
                <w:sz w:val="20"/>
                <w:szCs w:val="20"/>
                <w:rtl w:val="0"/>
              </w:rPr>
              <w:t xml:space="preserve"> Líder en funcionalidad, pero el </w:t>
            </w:r>
            <w:r w:rsidDel="00000000" w:rsidR="00000000" w:rsidRPr="00000000">
              <w:rPr>
                <w:rFonts w:ascii="Times New Roman" w:cs="Times New Roman" w:eastAsia="Times New Roman" w:hAnsi="Times New Roman"/>
                <w:i w:val="1"/>
                <w:iCs w:val="1"/>
                <w:color w:val="1b1c1d"/>
                <w:sz w:val="20"/>
                <w:szCs w:val="20"/>
                <w:rtl w:val="0"/>
              </w:rPr>
              <w:t xml:space="preserve">overhead</w:t>
            </w:r>
            <w:r w:rsidDel="00000000" w:rsidR="00000000" w:rsidRPr="00000000">
              <w:rPr>
                <w:rFonts w:ascii="Times New Roman" w:cs="Times New Roman" w:eastAsia="Times New Roman" w:hAnsi="Times New Roman"/>
                <w:color w:val="1b1c1d"/>
                <w:sz w:val="20"/>
                <w:szCs w:val="20"/>
                <w:rtl w:val="0"/>
              </w:rPr>
              <w:t xml:space="preserve"> de inicio y configuración es mayor, lo que puede costar más tiempo que el propio procesamiento D-1.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Databricks / HDInsight:</w:t>
            </w:r>
            <w:r w:rsidDel="00000000" w:rsidR="00000000" w:rsidRPr="00000000">
              <w:rPr>
                <w:rFonts w:ascii="Times New Roman" w:cs="Times New Roman" w:eastAsia="Times New Roman" w:hAnsi="Times New Roman"/>
                <w:color w:val="1b1c1d"/>
                <w:sz w:val="20"/>
                <w:szCs w:val="20"/>
                <w:rtl w:val="0"/>
              </w:rPr>
              <w:t xml:space="preserve"> Excelentes capacidades, pero Databricks tiene un modelo de costos premium y HDInsight es más rígido en configuración.</w:t>
            </w:r>
          </w:p>
        </w:tc>
      </w:tr>
      <w:tr>
        <w:trPr>
          <w:cantSplit w:val="0"/>
          <w:trHeight w:val="249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3. Ecosistema de BI (Nativo vs. Mercado)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Capacidad de Visualización y Modelado.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Looker Studio:</w:t>
            </w:r>
            <w:r w:rsidDel="00000000" w:rsidR="00000000" w:rsidRPr="00000000">
              <w:rPr>
                <w:rFonts w:ascii="Times New Roman" w:cs="Times New Roman" w:eastAsia="Times New Roman" w:hAnsi="Times New Roman"/>
                <w:color w:val="1b1c1d"/>
                <w:sz w:val="20"/>
                <w:szCs w:val="20"/>
                <w:rtl w:val="0"/>
              </w:rPr>
              <w:t xml:space="preserve"> Gratuito y web, pero limitado en modelado de datos complejo (DAX) y gobernanza corporativa.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QuickSight:</w:t>
            </w:r>
            <w:r w:rsidDel="00000000" w:rsidR="00000000" w:rsidRPr="00000000">
              <w:rPr>
                <w:rFonts w:ascii="Times New Roman" w:cs="Times New Roman" w:eastAsia="Times New Roman" w:hAnsi="Times New Roman"/>
                <w:color w:val="1b1c1d"/>
                <w:sz w:val="20"/>
                <w:szCs w:val="20"/>
                <w:rtl w:val="0"/>
              </w:rPr>
              <w:t xml:space="preserve"> Modelo de pago por sesión. Menor adopción en el mercado y capacidades de modelado inferiores a Power BI.</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Power BI:</w:t>
            </w:r>
            <w:r w:rsidDel="00000000" w:rsidR="00000000" w:rsidRPr="00000000">
              <w:rPr>
                <w:rFonts w:ascii="Times New Roman" w:cs="Times New Roman" w:eastAsia="Times New Roman" w:hAnsi="Times New Roman"/>
                <w:color w:val="1b1c1d"/>
                <w:sz w:val="20"/>
                <w:szCs w:val="20"/>
                <w:rtl w:val="0"/>
              </w:rPr>
              <w:t xml:space="preserve"> Líder indiscutible (Gartner). Potente motor de modelado, seguridad a nivel de fila (RLS) y estándar en la mayoría de empresas.</w:t>
            </w:r>
          </w:p>
        </w:tc>
      </w:tr>
      <w:tr>
        <w:trPr>
          <w:cantSplit w:val="0"/>
          <w:trHeight w:val="271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4. Pricing (Costos)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Flexibilidad y Descuentos.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Facturación por segundo. Ofrece </w:t>
            </w:r>
            <w:r w:rsidDel="00000000" w:rsidR="00000000" w:rsidRPr="00000000">
              <w:rPr>
                <w:rFonts w:ascii="Times New Roman" w:cs="Times New Roman" w:eastAsia="Times New Roman" w:hAnsi="Times New Roman"/>
                <w:b w:val="1"/>
                <w:bCs w:val="1"/>
                <w:color w:val="1b1c1d"/>
                <w:sz w:val="20"/>
                <w:szCs w:val="20"/>
                <w:rtl w:val="0"/>
              </w:rPr>
              <w:t xml:space="preserve">Spot VMs</w:t>
            </w:r>
            <w:r w:rsidDel="00000000" w:rsidR="00000000" w:rsidRPr="00000000">
              <w:rPr>
                <w:rFonts w:ascii="Times New Roman" w:cs="Times New Roman" w:eastAsia="Times New Roman" w:hAnsi="Times New Roman"/>
                <w:color w:val="1b1c1d"/>
                <w:sz w:val="20"/>
                <w:szCs w:val="20"/>
                <w:rtl w:val="0"/>
              </w:rPr>
              <w:t xml:space="preserve"> (Preemptibles) muy agresivas en precio (hasta 80% dscto) fáciles de integrar en Dataproc.</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Facturación por segundo. Las instancias </w:t>
            </w:r>
            <w:r w:rsidDel="00000000" w:rsidR="00000000" w:rsidRPr="00000000">
              <w:rPr>
                <w:rFonts w:ascii="Times New Roman" w:cs="Times New Roman" w:eastAsia="Times New Roman" w:hAnsi="Times New Roman"/>
                <w:i w:val="1"/>
                <w:iCs w:val="1"/>
                <w:color w:val="1b1c1d"/>
                <w:sz w:val="20"/>
                <w:szCs w:val="20"/>
                <w:rtl w:val="0"/>
              </w:rPr>
              <w:t xml:space="preserve">Spot</w:t>
            </w:r>
            <w:r w:rsidDel="00000000" w:rsidR="00000000" w:rsidRPr="00000000">
              <w:rPr>
                <w:rFonts w:ascii="Times New Roman" w:cs="Times New Roman" w:eastAsia="Times New Roman" w:hAnsi="Times New Roman"/>
                <w:color w:val="1b1c1d"/>
                <w:sz w:val="20"/>
                <w:szCs w:val="20"/>
                <w:rtl w:val="0"/>
              </w:rPr>
              <w:t xml:space="preserve"> existen pero su política de recuperación es más agresiva, pudiendo interrumpir el ETL con mayor frecuencia.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Facturación por minuto/segundo. Modelo de licencias complejo. Costos de cómputo suelen ser ligeramente más altos sin contratos Enterprise (EA).</w:t>
            </w:r>
          </w:p>
        </w:tc>
      </w:tr>
      <w:tr>
        <w:trPr>
          <w:cantSplit w:val="0"/>
          <w:trHeight w:val="31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5. Interoperabilidad y Multi-cloud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Facilidad para integrar herramientas externas.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Alta:</w:t>
            </w:r>
            <w:r w:rsidDel="00000000" w:rsidR="00000000" w:rsidRPr="00000000">
              <w:rPr>
                <w:rFonts w:ascii="Times New Roman" w:cs="Times New Roman" w:eastAsia="Times New Roman" w:hAnsi="Times New Roman"/>
                <w:color w:val="1b1c1d"/>
                <w:sz w:val="20"/>
                <w:szCs w:val="20"/>
                <w:rtl w:val="0"/>
              </w:rPr>
              <w:t xml:space="preserve"> GCP promueve una estrategia abierta. BigQuery permite lecturas externas y tiene APIs optimizadas (Storage API) para que herramientas como Power BI lean grandes volúmenes rápido.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Media:</w:t>
            </w:r>
            <w:r w:rsidDel="00000000" w:rsidR="00000000" w:rsidRPr="00000000">
              <w:rPr>
                <w:rFonts w:ascii="Times New Roman" w:cs="Times New Roman" w:eastAsia="Times New Roman" w:hAnsi="Times New Roman"/>
                <w:color w:val="1b1c1d"/>
                <w:sz w:val="20"/>
                <w:szCs w:val="20"/>
                <w:rtl w:val="0"/>
              </w:rPr>
              <w:t xml:space="preserve"> AWS tiende a priorizar su propio ecosistema. Extraer datos masivos hacia herramientas externas puede incurrir en altos costos de </w:t>
            </w:r>
            <w:r w:rsidDel="00000000" w:rsidR="00000000" w:rsidRPr="00000000">
              <w:rPr>
                <w:rFonts w:ascii="Times New Roman" w:cs="Times New Roman" w:eastAsia="Times New Roman" w:hAnsi="Times New Roman"/>
                <w:i w:val="1"/>
                <w:iCs w:val="1"/>
                <w:color w:val="1b1c1d"/>
                <w:sz w:val="20"/>
                <w:szCs w:val="20"/>
                <w:rtl w:val="0"/>
              </w:rPr>
              <w:t xml:space="preserve">Egress</w:t>
            </w:r>
            <w:r w:rsidDel="00000000" w:rsidR="00000000" w:rsidRPr="00000000">
              <w:rPr>
                <w:rFonts w:ascii="Times New Roman" w:cs="Times New Roman" w:eastAsia="Times New Roman" w:hAnsi="Times New Roman"/>
                <w:color w:val="1b1c1d"/>
                <w:sz w:val="20"/>
                <w:szCs w:val="20"/>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Alta (Entorno Microsoft):</w:t>
            </w:r>
            <w:r w:rsidDel="00000000" w:rsidR="00000000" w:rsidRPr="00000000">
              <w:rPr>
                <w:rFonts w:ascii="Times New Roman" w:cs="Times New Roman" w:eastAsia="Times New Roman" w:hAnsi="Times New Roman"/>
                <w:color w:val="1b1c1d"/>
                <w:sz w:val="20"/>
                <w:szCs w:val="20"/>
                <w:rtl w:val="0"/>
              </w:rPr>
              <w:t xml:space="preserve"> Diseñado para funcionar con Office 365, pero integrar servicios de datos externos (no Azure) a veces requiere configuración extra de redes.</w:t>
            </w:r>
          </w:p>
        </w:tc>
      </w:tr>
      <w:tr>
        <w:trPr>
          <w:cantSplit w:val="0"/>
          <w:trHeight w:val="268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6. Seguridad y Gobernanza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Control de acceso al dato.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IAM simplificado. BigQuery permite compartir datasets específicos con cuentas de servicio que Power BI puede utilizar de forma segura (autenticación OAuth2).</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IAM muy granular y potente, pero con una curva de aprendizaje alta para configurar accesos seguros desde aplicaciones externas.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Active Directory (Entra ID) es el estándar de oro, facilitando la gestión de usuarios de Power BI, pero añade complejidad si la data no está en Azure.</w:t>
            </w:r>
          </w:p>
        </w:tc>
      </w:tr>
    </w:tbl>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38whokljofn2" w:id="17"/>
      <w:bookmarkEnd w:id="17"/>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xgkgr1asiaf4" w:id="18"/>
      <w:bookmarkEnd w:id="18"/>
      <w:r w:rsidDel="00000000" w:rsidR="00000000" w:rsidRPr="00000000">
        <w:rPr>
          <w:rFonts w:ascii="Times New Roman" w:cs="Times New Roman" w:eastAsia="Times New Roman" w:hAnsi="Times New Roman"/>
          <w:b w:val="1"/>
          <w:bCs w:val="1"/>
          <w:color w:val="1b1c1d"/>
          <w:sz w:val="24"/>
          <w:szCs w:val="24"/>
          <w:rtl w:val="0"/>
        </w:rPr>
        <w:t xml:space="preserve">2.3. Selección de la Plataforma y Alineación con Requerimientos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Basado en el análisis, la decisión final es una Arquitectura Híbrida: GCP (Backend) + Power BI (Frontend).</w:t>
      </w:r>
    </w:p>
    <w:p w:rsidR="00000000" w:rsidDel="00000000" w:rsidP="00000000" w:rsidRDefault="00000000" w:rsidRPr="00000000" w14:paraId="00000063">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¿Por qué elegimos Google Cloud Platform (GCP) para el Backend?</w:t>
      </w:r>
    </w:p>
    <w:p w:rsidR="00000000" w:rsidDel="00000000" w:rsidP="00000000" w:rsidRDefault="00000000" w:rsidRPr="00000000" w14:paraId="00000064">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 pesar de usar Power BI, elegimos GCP sobre Azure para el procesamiento y almacenamiento por dos razones financieras y técnicas alineadas al caso D-1:</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Eficiencia en Procesos Efímeros (Dataproc): Nuestro ETL corre solo 1 hora al día. Dataproc permite crear clústeres que "mueren" al terminar, y su integración con instancias </w:t>
      </w:r>
      <w:r w:rsidDel="00000000" w:rsidR="00000000" w:rsidRPr="00000000">
        <w:rPr>
          <w:rFonts w:ascii="Times New Roman" w:cs="Times New Roman" w:eastAsia="Times New Roman" w:hAnsi="Times New Roman"/>
          <w:i w:val="1"/>
          <w:iCs w:val="1"/>
          <w:color w:val="1b1c1d"/>
          <w:rtl w:val="0"/>
        </w:rPr>
        <w:t xml:space="preserve">Preemptibles</w:t>
      </w:r>
      <w:r w:rsidDel="00000000" w:rsidR="00000000" w:rsidRPr="00000000">
        <w:rPr>
          <w:rFonts w:ascii="Times New Roman" w:cs="Times New Roman" w:eastAsia="Times New Roman" w:hAnsi="Times New Roman"/>
          <w:color w:val="1b1c1d"/>
          <w:rtl w:val="0"/>
        </w:rPr>
        <w:t xml:space="preserve"> es más estable y barata que las opciones de AWS o Azure para este volumen de datos.</w:t>
      </w:r>
    </w:p>
    <w:p w:rsidR="00000000" w:rsidDel="00000000" w:rsidP="00000000" w:rsidRDefault="00000000" w:rsidRPr="00000000" w14:paraId="00000066">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BigQuery como Motor de Consulta: BigQuery separa el cómputo del almacenamiento. Esto nos permite almacenar terabytes de historia a bajo costo (GCP) y que Power BI solo pague por el cómputo de las consultas que realiza al actualizar el tablero, sin tener un servidor de base de datos encendido 24/7 (como requeriría una instancia tradicional de SQL Server o Redshift provisionado).</w:t>
      </w:r>
    </w:p>
    <w:p w:rsidR="00000000" w:rsidDel="00000000" w:rsidP="00000000" w:rsidRDefault="00000000" w:rsidRPr="00000000" w14:paraId="00000067">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¿Por qué elegimos Power BI sobre Looker Studio (Nativo de GCP)?</w:t>
      </w:r>
    </w:p>
    <w:p w:rsidR="00000000" w:rsidDel="00000000" w:rsidP="00000000" w:rsidRDefault="00000000" w:rsidRPr="00000000" w14:paraId="00000068">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Aunque Looker Studio es gratuito, seleccionamos Power BI para la capa de visualización por requerimientos funcionales avanzados:</w:t>
      </w:r>
    </w:p>
    <w:p w:rsidR="00000000" w:rsidDel="00000000" w:rsidP="00000000" w:rsidRDefault="00000000" w:rsidRPr="00000000" w14:paraId="00000069">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Capacidad de Modelado (DAX): El negocio requiere métricas complejas (ej. comparativas de tiempo inteligentes, acumulados YTD) que son nativas en DAX pero muy difíciles de mantener en Looker Studio.</w:t>
      </w:r>
    </w:p>
    <w:p w:rsidR="00000000" w:rsidDel="00000000" w:rsidP="00000000" w:rsidRDefault="00000000" w:rsidRPr="00000000" w14:paraId="0000006A">
      <w:pPr>
        <w:numPr>
          <w:ilvl w:val="0"/>
          <w:numId w:val="14"/>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Conectividad DirectQuery: Power BI tiene un conector certificado para BigQuery. Utilizaremos el modo DirectQuery, lo que significa que los datos no se duplican en el reporte; Power BI consulta directamente a BigQuery, garantizando que el usuario siempre vea el dato "D-1" real sin esperar tiempos de recarga de importación.</w:t>
      </w:r>
    </w:p>
    <w:p w:rsidR="00000000" w:rsidDel="00000000" w:rsidP="00000000" w:rsidRDefault="00000000" w:rsidRPr="00000000" w14:paraId="0000006B">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Esta combinación nos otorga la infraestructura más costo-eficiente (GCP) junto con la herramienta de análisis más potente (Power BI), optimizando tanto el presupuesto operativo (OPEX) como la calidad de los insights entregados.</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4we76sbaoh8q" w:id="19"/>
      <w:bookmarkEnd w:id="19"/>
      <w:r w:rsidDel="00000000" w:rsidR="00000000" w:rsidRPr="00000000">
        <w:rPr>
          <w:rFonts w:ascii="Times New Roman" w:cs="Times New Roman" w:eastAsia="Times New Roman" w:hAnsi="Times New Roman"/>
          <w:b w:val="1"/>
          <w:bCs w:val="1"/>
          <w:color w:val="1b1c1d"/>
          <w:sz w:val="24"/>
          <w:szCs w:val="24"/>
          <w:rtl w:val="0"/>
        </w:rPr>
        <w:t xml:space="preserve">3. Selección de Servicios Cloud y Arquitectura</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h65uxqcx1904" w:id="20"/>
      <w:bookmarkEnd w:id="20"/>
      <w:r w:rsidDel="00000000" w:rsidR="00000000" w:rsidRPr="00000000">
        <w:rPr>
          <w:rFonts w:ascii="Times New Roman" w:cs="Times New Roman" w:eastAsia="Times New Roman" w:hAnsi="Times New Roman"/>
          <w:b w:val="1"/>
          <w:bCs w:val="1"/>
          <w:color w:val="1b1c1d"/>
          <w:sz w:val="24"/>
          <w:szCs w:val="24"/>
          <w:rtl w:val="0"/>
        </w:rPr>
        <w:t xml:space="preserve">3.1. Diagrama de Arquitectura del Pipeline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responder al requerimiento de un procesamiento tipo D-1 (Batch), hemos diseñado una arquitectura de datos moderna y desacoplada. Este diseño prioriza la especialización de servicios: utilizamos la infraestructura de Google Cloud para el movimiento y procesamiento pesado de datos (Backend), e integramos Microsoft Power BI para la capa de inteligencia y visualización (Frontend), aprovechando las fortalezas de ambos ecosistemas.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El flujo de datos sigue una secuencia lineal lógica: Ingesta (Data Lake), Transformación (ETL), Almacenamiento (Data Warehouse), Visualización (BI).</w:t>
      </w:r>
    </w:p>
    <w:p w:rsidR="00000000" w:rsidDel="00000000" w:rsidP="00000000" w:rsidRDefault="00000000" w:rsidRPr="00000000" w14:paraId="00000070">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shd w:fill="cfe2f3" w:val="clear"/>
        </w:rPr>
        <w:drawing>
          <wp:inline distB="114300" distT="114300" distL="114300" distR="114300">
            <wp:extent cx="5915978" cy="1739446"/>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15978" cy="1739446"/>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 continuación, detallamos la selección técnica de cada componente y su rol en el ecosistema.</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r5tro1ivsg7" w:id="21"/>
      <w:bookmarkEnd w:id="21"/>
      <w:r w:rsidDel="00000000" w:rsidR="00000000" w:rsidRPr="00000000">
        <w:rPr>
          <w:rFonts w:ascii="Times New Roman" w:cs="Times New Roman" w:eastAsia="Times New Roman" w:hAnsi="Times New Roman"/>
          <w:b w:val="1"/>
          <w:bCs w:val="1"/>
          <w:color w:val="1b1c1d"/>
          <w:sz w:val="24"/>
          <w:szCs w:val="24"/>
          <w:rtl w:val="0"/>
        </w:rPr>
        <w:t xml:space="preserve">3.2. Fase de Ingesta y Data Lake: Google Cloud Storage (GCS)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Servicio Seleccionado:</w:t>
      </w:r>
      <w:r w:rsidDel="00000000" w:rsidR="00000000" w:rsidRPr="00000000">
        <w:rPr>
          <w:rFonts w:ascii="Times New Roman" w:cs="Times New Roman" w:eastAsia="Times New Roman" w:hAnsi="Times New Roman"/>
          <w:color w:val="1b1c1d"/>
          <w:rtl w:val="0"/>
        </w:rPr>
        <w:t xml:space="preserve"> Google Cloud Storage (Standard Storage)</w:t>
      </w:r>
    </w:p>
    <w:p w:rsidR="00000000" w:rsidDel="00000000" w:rsidP="00000000" w:rsidRDefault="00000000" w:rsidRPr="00000000" w14:paraId="00000074">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Función en el Flujo BI:</w:t>
      </w:r>
    </w:p>
    <w:p w:rsidR="00000000" w:rsidDel="00000000" w:rsidP="00000000" w:rsidRDefault="00000000" w:rsidRPr="00000000" w14:paraId="00000075">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GCS funciona como nuestro Data Lake, proveyendo un repositorio centralizado, escalable y de bajo costo para los archivos planos antes de ser procesados.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En nuestra arquitectura, definimos dos zonas lógicas dentro de GCS:</w:t>
      </w:r>
    </w:p>
    <w:p w:rsidR="00000000" w:rsidDel="00000000" w:rsidP="00000000" w:rsidRDefault="00000000" w:rsidRPr="00000000" w14:paraId="00000077">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Zona "Raw" (Aterrizaje): Aquí se ingesta el archivo fuente </w:t>
      </w:r>
      <w:r w:rsidDel="00000000" w:rsidR="00000000" w:rsidRPr="00000000">
        <w:rPr>
          <w:rFonts w:ascii="Times New Roman" w:cs="Times New Roman" w:eastAsia="Times New Roman" w:hAnsi="Times New Roman"/>
          <w:color w:val="444746"/>
          <w:rtl w:val="0"/>
        </w:rPr>
        <w:t xml:space="preserve">sot_historico.csv</w:t>
      </w:r>
      <w:r w:rsidDel="00000000" w:rsidR="00000000" w:rsidRPr="00000000">
        <w:rPr>
          <w:rFonts w:ascii="Times New Roman" w:cs="Times New Roman" w:eastAsia="Times New Roman" w:hAnsi="Times New Roman"/>
          <w:color w:val="1b1c1d"/>
          <w:rtl w:val="0"/>
        </w:rPr>
        <w:t xml:space="preserve">. Es la zona de "datos inmutables", donde la información reside tal cual fue extraída de los sistemas transaccionales.</w:t>
      </w:r>
    </w:p>
    <w:p w:rsidR="00000000" w:rsidDel="00000000" w:rsidP="00000000" w:rsidRDefault="00000000" w:rsidRPr="00000000" w14:paraId="00000078">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Zona "Staging" (Intermedia): Utilizamos el bucket </w:t>
      </w:r>
      <w:r w:rsidDel="00000000" w:rsidR="00000000" w:rsidRPr="00000000">
        <w:rPr>
          <w:rFonts w:ascii="Times New Roman" w:cs="Times New Roman" w:eastAsia="Times New Roman" w:hAnsi="Times New Roman"/>
          <w:color w:val="444746"/>
          <w:rtl w:val="0"/>
        </w:rPr>
        <w:t xml:space="preserve">bucket-prueba-mia-analisis-sot</w:t>
      </w:r>
      <w:r w:rsidDel="00000000" w:rsidR="00000000" w:rsidRPr="00000000">
        <w:rPr>
          <w:rFonts w:ascii="Times New Roman" w:cs="Times New Roman" w:eastAsia="Times New Roman" w:hAnsi="Times New Roman"/>
          <w:color w:val="1b1c1d"/>
          <w:rtl w:val="0"/>
        </w:rPr>
        <w:t xml:space="preserve"> como área de intercambio. Este espacio es vital para que Dataproc guarde logs de ejecución y archivos temporales durante el proceso de transformación, y para que BigQuery gestione cargas masivas sin impactar el rendimiento.</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5bbifbddbbl8" w:id="22"/>
      <w:bookmarkEnd w:id="22"/>
      <w:r w:rsidDel="00000000" w:rsidR="00000000" w:rsidRPr="00000000">
        <w:rPr>
          <w:rFonts w:ascii="Times New Roman" w:cs="Times New Roman" w:eastAsia="Times New Roman" w:hAnsi="Times New Roman"/>
          <w:b w:val="1"/>
          <w:bCs w:val="1"/>
          <w:color w:val="1b1c1d"/>
          <w:sz w:val="24"/>
          <w:szCs w:val="24"/>
          <w:rtl w:val="0"/>
        </w:rPr>
        <w:t xml:space="preserve">3.3. Fase de Procesamiento y Transformación (ETL): Google Cloud Dataproc</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Servicio Seleccionado:</w:t>
      </w:r>
      <w:r w:rsidDel="00000000" w:rsidR="00000000" w:rsidRPr="00000000">
        <w:rPr>
          <w:rFonts w:ascii="Times New Roman" w:cs="Times New Roman" w:eastAsia="Times New Roman" w:hAnsi="Times New Roman"/>
          <w:color w:val="1b1c1d"/>
          <w:rtl w:val="0"/>
        </w:rPr>
        <w:t xml:space="preserve"> Google Cloud Dataproc (Apache Spark gestionado)</w:t>
      </w:r>
    </w:p>
    <w:p w:rsidR="00000000" w:rsidDel="00000000" w:rsidP="00000000" w:rsidRDefault="00000000" w:rsidRPr="00000000" w14:paraId="0000007B">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Función en el Flujo BI:</w:t>
      </w:r>
    </w:p>
    <w:p w:rsidR="00000000" w:rsidDel="00000000" w:rsidP="00000000" w:rsidRDefault="00000000" w:rsidRPr="00000000" w14:paraId="0000007C">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Dataproc actúa como el motor de cómputo distribuido. Elegimos este servicio por su capacidad de levantar clústeres de Hadoop/Spark en segundos, permitiéndonos procesar grandes volúmenes de datos (sot_historico.csv) en una ventana de tiempo reducida.</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La lógica ETL se ejecuta mediante scripts de </w:t>
      </w:r>
      <w:r w:rsidDel="00000000" w:rsidR="00000000" w:rsidRPr="00000000">
        <w:rPr>
          <w:rFonts w:ascii="Times New Roman" w:cs="Times New Roman" w:eastAsia="Times New Roman" w:hAnsi="Times New Roman"/>
          <w:b w:val="1"/>
          <w:bCs w:val="1"/>
          <w:color w:val="1b1c1d"/>
          <w:rtl w:val="0"/>
        </w:rPr>
        <w:t xml:space="preserve">PySpark</w:t>
      </w:r>
      <w:r w:rsidDel="00000000" w:rsidR="00000000" w:rsidRPr="00000000">
        <w:rPr>
          <w:rFonts w:ascii="Times New Roman" w:cs="Times New Roman" w:eastAsia="Times New Roman" w:hAnsi="Times New Roman"/>
          <w:color w:val="1b1c1d"/>
          <w:rtl w:val="0"/>
        </w:rPr>
        <w:t xml:space="preserve">, realizando tareas críticas de calidad de datos:</w:t>
      </w:r>
    </w:p>
    <w:p w:rsidR="00000000" w:rsidDel="00000000" w:rsidP="00000000" w:rsidRDefault="00000000" w:rsidRPr="00000000" w14:paraId="0000007E">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b w:val="1"/>
          <w:bCs w:val="1"/>
          <w:color w:val="1b1c1d"/>
          <w:rtl w:val="0"/>
        </w:rPr>
        <w:t xml:space="preserve">Saneamiento:</w:t>
      </w:r>
      <w:r w:rsidDel="00000000" w:rsidR="00000000" w:rsidRPr="00000000">
        <w:rPr>
          <w:rFonts w:ascii="Times New Roman" w:cs="Times New Roman" w:eastAsia="Times New Roman" w:hAnsi="Times New Roman"/>
          <w:color w:val="1b1c1d"/>
          <w:rtl w:val="0"/>
        </w:rPr>
        <w:t xml:space="preserve"> Filtrado de registros corruptos y eliminación de espacios con </w:t>
      </w:r>
      <w:r w:rsidDel="00000000" w:rsidR="00000000" w:rsidRPr="00000000">
        <w:rPr>
          <w:rFonts w:ascii="Times New Roman" w:cs="Times New Roman" w:eastAsia="Times New Roman" w:hAnsi="Times New Roman"/>
          <w:color w:val="444746"/>
          <w:rtl w:val="0"/>
        </w:rPr>
        <w:t xml:space="preserve">trim()</w:t>
      </w:r>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07F">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b w:val="1"/>
          <w:bCs w:val="1"/>
          <w:color w:val="1b1c1d"/>
          <w:rtl w:val="0"/>
        </w:rPr>
        <w:t xml:space="preserve">Estandarización:</w:t>
      </w:r>
      <w:r w:rsidDel="00000000" w:rsidR="00000000" w:rsidRPr="00000000">
        <w:rPr>
          <w:rFonts w:ascii="Times New Roman" w:cs="Times New Roman" w:eastAsia="Times New Roman" w:hAnsi="Times New Roman"/>
          <w:color w:val="1b1c1d"/>
          <w:rtl w:val="0"/>
        </w:rPr>
        <w:t xml:space="preserve"> Normalización de textos (ej. nombres de ciudades) mediante </w:t>
      </w:r>
      <w:r w:rsidDel="00000000" w:rsidR="00000000" w:rsidRPr="00000000">
        <w:rPr>
          <w:rFonts w:ascii="Times New Roman" w:cs="Times New Roman" w:eastAsia="Times New Roman" w:hAnsi="Times New Roman"/>
          <w:color w:val="444746"/>
          <w:rtl w:val="0"/>
        </w:rPr>
        <w:t xml:space="preserve">initcap()</w:t>
      </w:r>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b w:val="1"/>
          <w:bCs w:val="1"/>
          <w:color w:val="1b1c1d"/>
          <w:rtl w:val="0"/>
        </w:rPr>
        <w:t xml:space="preserve">Tipado Fuerte:</w:t>
      </w:r>
      <w:r w:rsidDel="00000000" w:rsidR="00000000" w:rsidRPr="00000000">
        <w:rPr>
          <w:rFonts w:ascii="Times New Roman" w:cs="Times New Roman" w:eastAsia="Times New Roman" w:hAnsi="Times New Roman"/>
          <w:color w:val="1b1c1d"/>
          <w:rtl w:val="0"/>
        </w:rPr>
        <w:t xml:space="preserve"> Conversión de cadenas de texto a tipos </w:t>
      </w:r>
      <w:r w:rsidDel="00000000" w:rsidR="00000000" w:rsidRPr="00000000">
        <w:rPr>
          <w:rFonts w:ascii="Times New Roman" w:cs="Times New Roman" w:eastAsia="Times New Roman" w:hAnsi="Times New Roman"/>
          <w:color w:val="444746"/>
          <w:rtl w:val="0"/>
        </w:rPr>
        <w:t xml:space="preserve">Date</w:t>
      </w:r>
      <w:r w:rsidDel="00000000" w:rsidR="00000000" w:rsidRPr="00000000">
        <w:rPr>
          <w:rFonts w:ascii="Times New Roman" w:cs="Times New Roman" w:eastAsia="Times New Roman" w:hAnsi="Times New Roman"/>
          <w:color w:val="1b1c1d"/>
          <w:rtl w:val="0"/>
        </w:rPr>
        <w:t xml:space="preserve"> y numéricos (</w:t>
      </w:r>
      <w:r w:rsidDel="00000000" w:rsidR="00000000" w:rsidRPr="00000000">
        <w:rPr>
          <w:rFonts w:ascii="Times New Roman" w:cs="Times New Roman" w:eastAsia="Times New Roman" w:hAnsi="Times New Roman"/>
          <w:color w:val="444746"/>
          <w:rtl w:val="0"/>
        </w:rPr>
        <w:t xml:space="preserve">to_date</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444746"/>
          <w:rtl w:val="0"/>
        </w:rPr>
        <w:t xml:space="preserve">cast</w:t>
      </w:r>
      <w:r w:rsidDel="00000000" w:rsidR="00000000" w:rsidRPr="00000000">
        <w:rPr>
          <w:rFonts w:ascii="Times New Roman" w:cs="Times New Roman" w:eastAsia="Times New Roman" w:hAnsi="Times New Roman"/>
          <w:color w:val="1b1c1d"/>
          <w:rtl w:val="0"/>
        </w:rPr>
        <w:t xml:space="preserve">), preparando la data para el análisis temporal.</w:t>
      </w:r>
    </w:p>
    <w:p w:rsidR="00000000" w:rsidDel="00000000" w:rsidP="00000000" w:rsidRDefault="00000000" w:rsidRPr="00000000" w14:paraId="00000081">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Arquitectura Efímera:</w:t>
      </w:r>
    </w:p>
    <w:p w:rsidR="00000000" w:rsidDel="00000000" w:rsidP="00000000" w:rsidRDefault="00000000" w:rsidRPr="00000000" w14:paraId="00000082">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optimizar costos, el clúster se configura como efímero con una política de ciclo de vida (--max-idle 1800s). El clúster se aprovisiona automáticamente cuando inicia el job diario y se autodestruye al finalizar, garantizando que no pagamos por servidores ociosos.</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gmwxswos52au" w:id="23"/>
      <w:bookmarkEnd w:id="23"/>
      <w:r w:rsidDel="00000000" w:rsidR="00000000" w:rsidRPr="00000000">
        <w:rPr>
          <w:rFonts w:ascii="Times New Roman" w:cs="Times New Roman" w:eastAsia="Times New Roman" w:hAnsi="Times New Roman"/>
          <w:b w:val="1"/>
          <w:bCs w:val="1"/>
          <w:color w:val="1b1c1d"/>
          <w:sz w:val="24"/>
          <w:szCs w:val="24"/>
          <w:rtl w:val="0"/>
        </w:rPr>
        <w:t xml:space="preserve">3.4. Fase de Almacenamiento Analítico (Data Warehouse): Google BigQuery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Servicio Seleccionado:</w:t>
      </w:r>
      <w:r w:rsidDel="00000000" w:rsidR="00000000" w:rsidRPr="00000000">
        <w:rPr>
          <w:rFonts w:ascii="Times New Roman" w:cs="Times New Roman" w:eastAsia="Times New Roman" w:hAnsi="Times New Roman"/>
          <w:color w:val="1b1c1d"/>
          <w:rtl w:val="0"/>
        </w:rPr>
        <w:t xml:space="preserve"> Google BigQuery</w:t>
      </w:r>
    </w:p>
    <w:p w:rsidR="00000000" w:rsidDel="00000000" w:rsidP="00000000" w:rsidRDefault="00000000" w:rsidRPr="00000000" w14:paraId="00000085">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Función en el Flujo BI:</w:t>
      </w:r>
    </w:p>
    <w:p w:rsidR="00000000" w:rsidDel="00000000" w:rsidP="00000000" w:rsidRDefault="00000000" w:rsidRPr="00000000" w14:paraId="00000086">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BigQuery es el corazón analítico de la solución. Su arquitectura Serverless nos permite consolidar terabytes de historia sin administrar infraestructura.</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La estrategia de modelado en BigQuery consta de dos niveles:</w:t>
      </w:r>
    </w:p>
    <w:p w:rsidR="00000000" w:rsidDel="00000000" w:rsidP="00000000" w:rsidRDefault="00000000" w:rsidRPr="00000000" w14:paraId="00000088">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Capa Física (Tabla Maestra): La tabla </w:t>
      </w:r>
      <w:r w:rsidDel="00000000" w:rsidR="00000000" w:rsidRPr="00000000">
        <w:rPr>
          <w:rFonts w:ascii="Times New Roman" w:cs="Times New Roman" w:eastAsia="Times New Roman" w:hAnsi="Times New Roman"/>
          <w:color w:val="444746"/>
          <w:rtl w:val="0"/>
        </w:rPr>
        <w:t xml:space="preserve">reporte_ventas_d1</w:t>
      </w:r>
      <w:r w:rsidDel="00000000" w:rsidR="00000000" w:rsidRPr="00000000">
        <w:rPr>
          <w:rFonts w:ascii="Times New Roman" w:cs="Times New Roman" w:eastAsia="Times New Roman" w:hAnsi="Times New Roman"/>
          <w:color w:val="1b1c1d"/>
          <w:rtl w:val="0"/>
        </w:rPr>
        <w:t xml:space="preserve"> almacena los datos limpios y estructurados generados por Dataproc. Esta tabla actúa como el histórico persistente.</w:t>
      </w:r>
    </w:p>
    <w:p w:rsidR="00000000" w:rsidDel="00000000" w:rsidP="00000000" w:rsidRDefault="00000000" w:rsidRPr="00000000" w14:paraId="00000089">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Capa Semántica (Vista SQL): Implementamos la vista </w:t>
      </w:r>
      <w:r w:rsidDel="00000000" w:rsidR="00000000" w:rsidRPr="00000000">
        <w:rPr>
          <w:rFonts w:ascii="Times New Roman" w:cs="Times New Roman" w:eastAsia="Times New Roman" w:hAnsi="Times New Roman"/>
          <w:color w:val="444746"/>
          <w:rtl w:val="0"/>
        </w:rPr>
        <w:t xml:space="preserve">v_resumen_sot</w:t>
      </w:r>
      <w:r w:rsidDel="00000000" w:rsidR="00000000" w:rsidRPr="00000000">
        <w:rPr>
          <w:rFonts w:ascii="Times New Roman" w:cs="Times New Roman" w:eastAsia="Times New Roman" w:hAnsi="Times New Roman"/>
          <w:color w:val="1b1c1d"/>
          <w:rtl w:val="0"/>
        </w:rPr>
        <w:t xml:space="preserve"> como interfaz de consumo. Aquí centralizamos la lógica de negocio (cálculo de indicadores como </w:t>
      </w:r>
      <w:r w:rsidDel="00000000" w:rsidR="00000000" w:rsidRPr="00000000">
        <w:rPr>
          <w:rFonts w:ascii="Times New Roman" w:cs="Times New Roman" w:eastAsia="Times New Roman" w:hAnsi="Times New Roman"/>
          <w:color w:val="444746"/>
          <w:rtl w:val="0"/>
        </w:rPr>
        <w:t xml:space="preserve">Dilacion_Creacion</w:t>
      </w:r>
      <w:r w:rsidDel="00000000" w:rsidR="00000000" w:rsidRPr="00000000">
        <w:rPr>
          <w:rFonts w:ascii="Times New Roman" w:cs="Times New Roman" w:eastAsia="Times New Roman" w:hAnsi="Times New Roman"/>
          <w:color w:val="1b1c1d"/>
          <w:rtl w:val="0"/>
        </w:rPr>
        <w:t xml:space="preserve"> usando </w:t>
      </w:r>
      <w:r w:rsidDel="00000000" w:rsidR="00000000" w:rsidRPr="00000000">
        <w:rPr>
          <w:rFonts w:ascii="Times New Roman" w:cs="Times New Roman" w:eastAsia="Times New Roman" w:hAnsi="Times New Roman"/>
          <w:color w:val="444746"/>
          <w:rtl w:val="0"/>
        </w:rPr>
        <w:t xml:space="preserve">DATE_DIFF</w:t>
      </w:r>
      <w:r w:rsidDel="00000000" w:rsidR="00000000" w:rsidRPr="00000000">
        <w:rPr>
          <w:rFonts w:ascii="Times New Roman" w:cs="Times New Roman" w:eastAsia="Times New Roman" w:hAnsi="Times New Roman"/>
          <w:color w:val="1b1c1d"/>
          <w:rtl w:val="0"/>
        </w:rPr>
        <w:t xml:space="preserve"> y agregaciones). Esta vista es crucial para la integración con Power BI, ya que presenta los datos "pre-masajeados" y listos para consumir.</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hlfcyglxi9rb" w:id="24"/>
      <w:bookmarkEnd w:id="24"/>
      <w:r w:rsidDel="00000000" w:rsidR="00000000" w:rsidRPr="00000000">
        <w:rPr>
          <w:rFonts w:ascii="Times New Roman" w:cs="Times New Roman" w:eastAsia="Times New Roman" w:hAnsi="Times New Roman"/>
          <w:b w:val="1"/>
          <w:bCs w:val="1"/>
          <w:color w:val="1b1c1d"/>
          <w:sz w:val="24"/>
          <w:szCs w:val="24"/>
          <w:rtl w:val="0"/>
        </w:rPr>
        <w:t xml:space="preserve">3.5. Fase de Visualización: Microsoft Power BI</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Servicio Seleccionado:</w:t>
      </w:r>
      <w:r w:rsidDel="00000000" w:rsidR="00000000" w:rsidRPr="00000000">
        <w:rPr>
          <w:rFonts w:ascii="Times New Roman" w:cs="Times New Roman" w:eastAsia="Times New Roman" w:hAnsi="Times New Roman"/>
          <w:color w:val="1b1c1d"/>
          <w:rtl w:val="0"/>
        </w:rPr>
        <w:t xml:space="preserve"> Microsoft Power BI (Servicio SaaS + Desktop)</w:t>
      </w:r>
    </w:p>
    <w:p w:rsidR="00000000" w:rsidDel="00000000" w:rsidP="00000000" w:rsidRDefault="00000000" w:rsidRPr="00000000" w14:paraId="0000008C">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Función en el Flujo BI:</w:t>
      </w:r>
    </w:p>
    <w:p w:rsidR="00000000" w:rsidDel="00000000" w:rsidP="00000000" w:rsidRDefault="00000000" w:rsidRPr="00000000" w14:paraId="0000008D">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Power BI se selecciona como la herramienta de Inteligencia de Negocios para la entrega de información a los usuarios finales. Su rol es conectarse al Data Warehouse y permitir la exploración interactiva de los KPIs.</w:t>
      </w:r>
    </w:p>
    <w:p w:rsidR="00000000" w:rsidDel="00000000" w:rsidP="00000000" w:rsidRDefault="00000000" w:rsidRPr="00000000" w14:paraId="0000008E">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Integración Híbrida (Conector BigQuery):</w:t>
      </w:r>
    </w:p>
    <w:p w:rsidR="00000000" w:rsidDel="00000000" w:rsidP="00000000" w:rsidRDefault="00000000" w:rsidRPr="00000000" w14:paraId="0000008F">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conectar el mundo de Microsoft con Google Cloud de forma eficiente, utilizamos el conector nativo de BigQuery en modo DirectQuery.</w:t>
      </w:r>
    </w:p>
    <w:p w:rsidR="00000000" w:rsidDel="00000000" w:rsidP="00000000" w:rsidRDefault="00000000" w:rsidRPr="00000000" w14:paraId="00000090">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b w:val="1"/>
          <w:bCs w:val="1"/>
          <w:color w:val="1b1c1d"/>
          <w:rtl w:val="0"/>
        </w:rPr>
        <w:t xml:space="preserve">Justificación Técnica:</w:t>
      </w:r>
      <w:r w:rsidDel="00000000" w:rsidR="00000000" w:rsidRPr="00000000">
        <w:rPr>
          <w:rFonts w:ascii="Times New Roman" w:cs="Times New Roman" w:eastAsia="Times New Roman" w:hAnsi="Times New Roman"/>
          <w:color w:val="1b1c1d"/>
          <w:rtl w:val="0"/>
        </w:rPr>
        <w:t xml:space="preserve"> A diferencia del modo "Import" (que copia los datos al reporte), DirectQuery mantiene los datos en BigQuery. Cuando un usuario filtra el dashboard en Power BI, la herramienta envía una consulta SQL a BigQuery en tiempo real.</w:t>
      </w:r>
    </w:p>
    <w:p w:rsidR="00000000" w:rsidDel="00000000" w:rsidP="00000000" w:rsidRDefault="00000000" w:rsidRPr="00000000" w14:paraId="00000091">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b w:val="1"/>
          <w:bCs w:val="1"/>
          <w:color w:val="1b1c1d"/>
          <w:rtl w:val="0"/>
        </w:rPr>
        <w:t xml:space="preserve">Beneficio:</w:t>
      </w:r>
      <w:r w:rsidDel="00000000" w:rsidR="00000000" w:rsidRPr="00000000">
        <w:rPr>
          <w:rFonts w:ascii="Times New Roman" w:cs="Times New Roman" w:eastAsia="Times New Roman" w:hAnsi="Times New Roman"/>
          <w:color w:val="1b1c1d"/>
          <w:rtl w:val="0"/>
        </w:rPr>
        <w:t xml:space="preserve"> Esto asegura una "Única Fuente de la Verdad". No duplicamos datos en archivos </w:t>
      </w:r>
      <w:r w:rsidDel="00000000" w:rsidR="00000000" w:rsidRPr="00000000">
        <w:rPr>
          <w:rFonts w:ascii="Times New Roman" w:cs="Times New Roman" w:eastAsia="Times New Roman" w:hAnsi="Times New Roman"/>
          <w:color w:val="444746"/>
          <w:rtl w:val="0"/>
        </w:rPr>
        <w:t xml:space="preserve">.pbix</w:t>
      </w:r>
      <w:r w:rsidDel="00000000" w:rsidR="00000000" w:rsidRPr="00000000">
        <w:rPr>
          <w:rFonts w:ascii="Times New Roman" w:cs="Times New Roman" w:eastAsia="Times New Roman" w:hAnsi="Times New Roman"/>
          <w:color w:val="1b1c1d"/>
          <w:rtl w:val="0"/>
        </w:rPr>
        <w:t xml:space="preserve"> locales, garantizando que el dashboard siempre muestre la data D-1 más reciente procesada por el pipeline, aprovechando la potencia de cálculo de Google para resolver las consultas pesadas y la capacidad gráfica de Microsoft para visualizarlas.</w:t>
      </w:r>
      <w:r w:rsidDel="00000000" w:rsidR="00000000" w:rsidRPr="00000000">
        <w:rPr>
          <w:rtl w:val="0"/>
        </w:rPr>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vnx6tppay4gk" w:id="25"/>
      <w:bookmarkEnd w:id="25"/>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io3jddao2k7r" w:id="26"/>
      <w:bookmarkEnd w:id="26"/>
      <w:r w:rsidDel="00000000" w:rsidR="00000000" w:rsidRPr="00000000">
        <w:rPr>
          <w:rFonts w:ascii="Times New Roman" w:cs="Times New Roman" w:eastAsia="Times New Roman" w:hAnsi="Times New Roman"/>
          <w:b w:val="1"/>
          <w:bCs w:val="1"/>
          <w:color w:val="1b1c1d"/>
          <w:sz w:val="24"/>
          <w:szCs w:val="24"/>
          <w:rtl w:val="0"/>
        </w:rPr>
        <w:t xml:space="preserve">4. Matriz de Costos y Proyección de Uso</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q02c9yxvvcb4" w:id="27"/>
      <w:bookmarkEnd w:id="27"/>
      <w:r w:rsidDel="00000000" w:rsidR="00000000" w:rsidRPr="00000000">
        <w:rPr>
          <w:rFonts w:ascii="Times New Roman" w:cs="Times New Roman" w:eastAsia="Times New Roman" w:hAnsi="Times New Roman"/>
          <w:b w:val="1"/>
          <w:bCs w:val="1"/>
          <w:color w:val="1b1c1d"/>
          <w:sz w:val="24"/>
          <w:szCs w:val="24"/>
          <w:rtl w:val="0"/>
        </w:rPr>
        <w:t xml:space="preserve">4.1. Premisas del Escenario Base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realizar una estimación financiera realista y alineada con la arquitectura híbrida propuesta, hemos definido un escenario operativo estándar para el pipeline D-1:</w:t>
      </w:r>
    </w:p>
    <w:p w:rsidR="00000000" w:rsidDel="00000000" w:rsidP="00000000" w:rsidRDefault="00000000" w:rsidRPr="00000000" w14:paraId="00000096">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80" w:hanging="360"/>
        <w:jc w:val="both"/>
        <w:rPr/>
      </w:pPr>
      <w:r w:rsidDel="00000000" w:rsidR="00000000" w:rsidRPr="00000000">
        <w:rPr>
          <w:rFonts w:ascii="Times New Roman" w:cs="Times New Roman" w:eastAsia="Times New Roman" w:hAnsi="Times New Roman"/>
          <w:color w:val="1b1c1d"/>
          <w:rtl w:val="0"/>
        </w:rPr>
        <w:t xml:space="preserve">Volumen de Datos: Ingesta diaria de 10 GB de datos crudos y un acumulado histórico proyectado de 300 GB.</w:t>
      </w:r>
    </w:p>
    <w:p w:rsidR="00000000" w:rsidDel="00000000" w:rsidP="00000000" w:rsidRDefault="00000000" w:rsidRPr="00000000" w14:paraId="00000097">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80" w:hanging="360"/>
        <w:jc w:val="both"/>
        <w:rPr/>
      </w:pPr>
      <w:r w:rsidDel="00000000" w:rsidR="00000000" w:rsidRPr="00000000">
        <w:rPr>
          <w:rFonts w:ascii="Times New Roman" w:cs="Times New Roman" w:eastAsia="Times New Roman" w:hAnsi="Times New Roman"/>
          <w:color w:val="1b1c1d"/>
          <w:rtl w:val="0"/>
        </w:rPr>
        <w:t xml:space="preserve">Frecuencia ETL: Ejecución batch diaria (una vez al día) con una duración promedio de 1 hora de procesamiento en Dataproc.</w:t>
      </w:r>
    </w:p>
    <w:p w:rsidR="00000000" w:rsidDel="00000000" w:rsidP="00000000" w:rsidRDefault="00000000" w:rsidRPr="00000000" w14:paraId="00000098">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80" w:hanging="360"/>
        <w:jc w:val="both"/>
        <w:rPr/>
      </w:pPr>
      <w:r w:rsidDel="00000000" w:rsidR="00000000" w:rsidRPr="00000000">
        <w:rPr>
          <w:rFonts w:ascii="Times New Roman" w:cs="Times New Roman" w:eastAsia="Times New Roman" w:hAnsi="Times New Roman"/>
          <w:color w:val="1b1c1d"/>
          <w:rtl w:val="0"/>
        </w:rPr>
        <w:t xml:space="preserve">Usuarios de Negocio: 10 usuarios activos consultando el dashboard de Power BI diariamente.</w:t>
      </w:r>
    </w:p>
    <w:p w:rsidR="00000000" w:rsidDel="00000000" w:rsidP="00000000" w:rsidRDefault="00000000" w:rsidRPr="00000000" w14:paraId="00000099">
      <w:pPr>
        <w:numPr>
          <w:ilvl w:val="0"/>
          <w:numId w:val="17"/>
        </w:numPr>
        <w:pBdr>
          <w:top w:color="auto" w:space="0" w:sz="0" w:val="none"/>
          <w:bottom w:color="auto" w:space="0" w:sz="0" w:val="none"/>
          <w:right w:color="auto" w:space="0" w:sz="0" w:val="none"/>
          <w:between w:color="auto" w:space="0" w:sz="0" w:val="none"/>
        </w:pBdr>
        <w:spacing w:after="360" w:line="276" w:lineRule="auto"/>
        <w:ind w:left="780" w:hanging="360"/>
        <w:jc w:val="both"/>
        <w:rPr/>
      </w:pPr>
      <w:r w:rsidDel="00000000" w:rsidR="00000000" w:rsidRPr="00000000">
        <w:rPr>
          <w:rFonts w:ascii="Times New Roman" w:cs="Times New Roman" w:eastAsia="Times New Roman" w:hAnsi="Times New Roman"/>
          <w:color w:val="1b1c1d"/>
          <w:rtl w:val="0"/>
        </w:rPr>
        <w:t xml:space="preserve">Región GCP: </w:t>
      </w:r>
      <w:r w:rsidDel="00000000" w:rsidR="00000000" w:rsidRPr="00000000">
        <w:rPr>
          <w:rFonts w:ascii="Times New Roman" w:cs="Times New Roman" w:eastAsia="Times New Roman" w:hAnsi="Times New Roman"/>
          <w:color w:val="444746"/>
          <w:rtl w:val="0"/>
        </w:rPr>
        <w:t xml:space="preserve">southamerica-west1</w:t>
      </w:r>
      <w:r w:rsidDel="00000000" w:rsidR="00000000" w:rsidRPr="00000000">
        <w:rPr>
          <w:rFonts w:ascii="Times New Roman" w:cs="Times New Roman" w:eastAsia="Times New Roman" w:hAnsi="Times New Roman"/>
          <w:color w:val="1b1c1d"/>
          <w:rtl w:val="0"/>
        </w:rPr>
        <w:t xml:space="preserve"> para servicios de backend, optimizando latencia.</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59c0as2p2qb9" w:id="28"/>
      <w:bookmarkEnd w:id="28"/>
      <w:r w:rsidDel="00000000" w:rsidR="00000000" w:rsidRPr="00000000">
        <w:rPr>
          <w:rFonts w:ascii="Times New Roman" w:cs="Times New Roman" w:eastAsia="Times New Roman" w:hAnsi="Times New Roman"/>
          <w:b w:val="1"/>
          <w:bCs w:val="1"/>
          <w:color w:val="1b1c1d"/>
          <w:sz w:val="24"/>
          <w:szCs w:val="24"/>
          <w:rtl w:val="0"/>
        </w:rPr>
        <w:t xml:space="preserve">4.2. Matriz de Estimación de Costos Mensuales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 diferencia de una solución 100% nativa, esta estructura de costos se divide en Costos de Infraestructura (GCP), que son variables por uso, y Costos de Licenciamiento (Microsoft), que son fijos por usuario.</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995"/>
        <w:gridCol w:w="3240"/>
        <w:gridCol w:w="1515"/>
        <w:tblGridChange w:id="0">
          <w:tblGrid>
            <w:gridCol w:w="1755"/>
            <w:gridCol w:w="1995"/>
            <w:gridCol w:w="3240"/>
            <w:gridCol w:w="151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a4c2f4" w:val="clear"/>
            <w:tcMar>
              <w:top w:w="120.0" w:type="dxa"/>
              <w:left w:w="180.0" w:type="dxa"/>
              <w:bottom w:w="120.0" w:type="dxa"/>
              <w:right w:w="180.0" w:type="dxa"/>
            </w:tcMar>
            <w:vAlign w:val="top"/>
          </w:tcPr>
          <w:p w:rsidR="00000000" w:rsidDel="00000000" w:rsidP="00000000" w:rsidRDefault="00000000" w:rsidRPr="00000000" w14:paraId="0000009C">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Servicio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a4c2f4" w:val="clear"/>
            <w:tcMar>
              <w:top w:w="120.0" w:type="dxa"/>
              <w:left w:w="180.0" w:type="dxa"/>
              <w:bottom w:w="120.0" w:type="dxa"/>
              <w:right w:w="180.0" w:type="dxa"/>
            </w:tcMar>
            <w:vAlign w:val="top"/>
          </w:tcPr>
          <w:p w:rsidR="00000000" w:rsidDel="00000000" w:rsidP="00000000" w:rsidRDefault="00000000" w:rsidRPr="00000000" w14:paraId="0000009D">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Función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a4c2f4" w:val="clear"/>
            <w:tcMar>
              <w:top w:w="120.0" w:type="dxa"/>
              <w:left w:w="180.0" w:type="dxa"/>
              <w:bottom w:w="120.0" w:type="dxa"/>
              <w:right w:w="180.0" w:type="dxa"/>
            </w:tcMar>
            <w:vAlign w:val="top"/>
          </w:tcPr>
          <w:p w:rsidR="00000000" w:rsidDel="00000000" w:rsidP="00000000" w:rsidRDefault="00000000" w:rsidRPr="00000000" w14:paraId="0000009E">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Modelo de Costo (Driver)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a4c2f4" w:val="clear"/>
            <w:tcMar>
              <w:top w:w="120.0" w:type="dxa"/>
              <w:left w:w="180.0" w:type="dxa"/>
              <w:bottom w:w="120.0" w:type="dxa"/>
              <w:right w:w="180.0" w:type="dxa"/>
            </w:tcMar>
            <w:vAlign w:val="top"/>
          </w:tcPr>
          <w:p w:rsidR="00000000" w:rsidDel="00000000" w:rsidP="00000000" w:rsidRDefault="00000000" w:rsidRPr="00000000" w14:paraId="0000009F">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Estimación Mensual (USD)</w:t>
            </w:r>
            <w:r w:rsidDel="00000000" w:rsidR="00000000" w:rsidRPr="00000000">
              <w:rPr>
                <w:rtl w:val="0"/>
              </w:rPr>
            </w:r>
          </w:p>
        </w:tc>
      </w:tr>
      <w:tr>
        <w:trPr>
          <w:cantSplit w:val="0"/>
          <w:trHeight w:val="1335"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A0">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Google Cloud Storage (GCS)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Data Lake &amp; Staging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Almacenamiento (GB/mes): Costo por mantener archivos crudos y de staging (Clase Standard). Incluye proyección de crecimiento de datos.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color w:val="444746"/>
                <w:sz w:val="20"/>
                <w:szCs w:val="20"/>
                <w:highlight w:val="white"/>
                <w:vertAlign w:val="superscript"/>
              </w:rPr>
            </w:pPr>
            <w:r w:rsidDel="00000000" w:rsidR="00000000" w:rsidRPr="00000000">
              <w:rPr>
                <w:rFonts w:ascii="Times New Roman" w:cs="Times New Roman" w:eastAsia="Times New Roman" w:hAnsi="Times New Roman"/>
                <w:color w:val="1b1c1d"/>
                <w:sz w:val="20"/>
                <w:szCs w:val="20"/>
                <w:rtl w:val="0"/>
              </w:rPr>
              <w:t xml:space="preserve">$5 - $10</w:t>
            </w:r>
            <w:r w:rsidDel="00000000" w:rsidR="00000000" w:rsidRPr="00000000">
              <w:rPr>
                <w:rtl w:val="0"/>
              </w:rPr>
            </w:r>
          </w:p>
        </w:tc>
      </w:tr>
      <w:tr>
        <w:trPr>
          <w:cantSplit w:val="0"/>
          <w:trHeight w:val="1305"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A4">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Google Cloud Dataproc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Procesamiento ETL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Cómputo (vCPU/hora): Clúster efímero activado solo 1 hora diaria. Se factura por la capacidad de cómputo utilizada durante la ventana de carga.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color w:val="444746"/>
                <w:sz w:val="20"/>
                <w:szCs w:val="20"/>
                <w:highlight w:val="white"/>
                <w:vertAlign w:val="superscript"/>
              </w:rPr>
            </w:pPr>
            <w:r w:rsidDel="00000000" w:rsidR="00000000" w:rsidRPr="00000000">
              <w:rPr>
                <w:rFonts w:ascii="Times New Roman" w:cs="Times New Roman" w:eastAsia="Times New Roman" w:hAnsi="Times New Roman"/>
                <w:color w:val="1b1c1d"/>
                <w:sz w:val="20"/>
                <w:szCs w:val="20"/>
                <w:rtl w:val="0"/>
              </w:rPr>
              <w:t xml:space="preserve">$5 - $15</w:t>
            </w:r>
            <w:r w:rsidDel="00000000" w:rsidR="00000000" w:rsidRPr="00000000">
              <w:rPr>
                <w:rtl w:val="0"/>
              </w:rPr>
            </w:r>
          </w:p>
        </w:tc>
      </w:tr>
      <w:tr>
        <w:trPr>
          <w:cantSplit w:val="0"/>
          <w:trHeight w:val="1500"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A8">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Google BigQuery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Data Warehouse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Almacenamiento Activo + Cómputo: Costo por almacenar la data limpia (~$6) y por los TB procesados en las consultas SQL enviadas desde Power BI (~$5-$20).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color w:val="444746"/>
                <w:sz w:val="20"/>
                <w:szCs w:val="20"/>
                <w:highlight w:val="white"/>
                <w:vertAlign w:val="superscript"/>
              </w:rPr>
            </w:pPr>
            <w:r w:rsidDel="00000000" w:rsidR="00000000" w:rsidRPr="00000000">
              <w:rPr>
                <w:rFonts w:ascii="Times New Roman" w:cs="Times New Roman" w:eastAsia="Times New Roman" w:hAnsi="Times New Roman"/>
                <w:color w:val="1b1c1d"/>
                <w:sz w:val="20"/>
                <w:szCs w:val="20"/>
                <w:rtl w:val="0"/>
              </w:rPr>
              <w:t xml:space="preserve">$11 - $26</w:t>
            </w:r>
            <w:r w:rsidDel="00000000" w:rsidR="00000000" w:rsidRPr="00000000">
              <w:rPr>
                <w:rtl w:val="0"/>
              </w:rPr>
            </w:r>
          </w:p>
        </w:tc>
      </w:tr>
      <w:tr>
        <w:trPr>
          <w:cantSplit w:val="0"/>
          <w:trHeight w:val="1770"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AC">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Microsoft Power BI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Visualización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Licenciamiento SaaS: Se requiere licencia Power BI Pro para publicar y compartir el dashboard de forma segura.</w:t>
            </w:r>
          </w:p>
          <w:p w:rsidR="00000000" w:rsidDel="00000000" w:rsidP="00000000" w:rsidRDefault="00000000" w:rsidRPr="00000000" w14:paraId="000000AF">
            <w:pPr>
              <w:spacing w:after="0" w:line="240" w:lineRule="auto"/>
              <w:jc w:val="both"/>
              <w:rPr>
                <w:rFonts w:ascii="Times New Roman" w:cs="Times New Roman" w:eastAsia="Times New Roman" w:hAnsi="Times New Roman"/>
                <w:color w:val="1b1c1d"/>
                <w:sz w:val="20"/>
                <w:szCs w:val="20"/>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i w:val="1"/>
                <w:iCs w:val="1"/>
                <w:color w:val="1b1c1d"/>
                <w:sz w:val="20"/>
                <w:szCs w:val="20"/>
              </w:rPr>
            </w:pPr>
            <w:r w:rsidDel="00000000" w:rsidR="00000000" w:rsidRPr="00000000">
              <w:rPr>
                <w:rFonts w:ascii="Times New Roman" w:cs="Times New Roman" w:eastAsia="Times New Roman" w:hAnsi="Times New Roman"/>
                <w:i w:val="1"/>
                <w:iCs w:val="1"/>
                <w:color w:val="1b1c1d"/>
                <w:sz w:val="20"/>
                <w:szCs w:val="20"/>
                <w:rtl w:val="0"/>
              </w:rPr>
              <w:t xml:space="preserve">Cálculo: 10 usuarios x $10 USD/mes.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$100</w:t>
            </w:r>
          </w:p>
        </w:tc>
      </w:tr>
      <w:tr>
        <w:trPr>
          <w:cantSplit w:val="0"/>
          <w:trHeight w:val="1515"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B2">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Transferencia de Red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Movimiento de datos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Egress (Salida de datos): Al usar </w:t>
            </w:r>
            <w:r w:rsidDel="00000000" w:rsidR="00000000" w:rsidRPr="00000000">
              <w:rPr>
                <w:rFonts w:ascii="Times New Roman" w:cs="Times New Roman" w:eastAsia="Times New Roman" w:hAnsi="Times New Roman"/>
                <w:i w:val="1"/>
                <w:iCs w:val="1"/>
                <w:color w:val="1b1c1d"/>
                <w:sz w:val="20"/>
                <w:szCs w:val="20"/>
                <w:rtl w:val="0"/>
              </w:rPr>
              <w:t xml:space="preserve">DirectQuery</w:t>
            </w:r>
            <w:r w:rsidDel="00000000" w:rsidR="00000000" w:rsidRPr="00000000">
              <w:rPr>
                <w:rFonts w:ascii="Times New Roman" w:cs="Times New Roman" w:eastAsia="Times New Roman" w:hAnsi="Times New Roman"/>
                <w:color w:val="1b1c1d"/>
                <w:sz w:val="20"/>
                <w:szCs w:val="20"/>
                <w:rtl w:val="0"/>
              </w:rPr>
              <w:t xml:space="preserve">, Power BI extrae resultados agregados de GCP. Aunque bajo, se considera un margen por tráfico de salida hacia la nube de Microsoft.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$1 - $5</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B6">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TOTAL ESTIMADO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0" w:line="240" w:lineRule="auto"/>
              <w:jc w:val="both"/>
              <w:rPr>
                <w:rFonts w:ascii="Times New Roman" w:cs="Times New Roman" w:eastAsia="Times New Roman" w:hAnsi="Times New Roman"/>
                <w:color w:val="1b1c1d"/>
                <w:sz w:val="20"/>
                <w:szCs w:val="20"/>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OPEX Mensual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~$122 - $156 USD</w:t>
            </w:r>
            <w:r w:rsidDel="00000000" w:rsidR="00000000" w:rsidRPr="00000000">
              <w:rPr>
                <w:rtl w:val="0"/>
              </w:rPr>
            </w:r>
          </w:p>
        </w:tc>
      </w:tr>
    </w:tbl>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8t2vj2paphdn" w:id="29"/>
      <w:bookmarkEnd w:id="29"/>
      <w:r w:rsidDel="00000000" w:rsidR="00000000" w:rsidRPr="00000000">
        <w:rPr>
          <w:rtl w:val="0"/>
        </w:rPr>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o4jhosoyctdr" w:id="30"/>
      <w:bookmarkEnd w:id="30"/>
      <w:r w:rsidDel="00000000" w:rsidR="00000000" w:rsidRPr="00000000">
        <w:rPr>
          <w:rFonts w:ascii="Times New Roman" w:cs="Times New Roman" w:eastAsia="Times New Roman" w:hAnsi="Times New Roman"/>
          <w:b w:val="1"/>
          <w:bCs w:val="1"/>
          <w:color w:val="1b1c1d"/>
          <w:sz w:val="24"/>
          <w:szCs w:val="24"/>
          <w:rtl w:val="0"/>
        </w:rPr>
        <w:t xml:space="preserve">4.3. Proyección de Uso (Semestral y Anual)</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El cambio a Power BI introduce un costo operativo fijo más alto comparado con herramientas gratuitas, pero garantiza gobernanza empresarial. A continuación, la proyección financiera requerida para la viabilidad del proyecto:</w:t>
      </w:r>
    </w:p>
    <w:p w:rsidR="00000000" w:rsidDel="00000000" w:rsidP="00000000" w:rsidRDefault="00000000" w:rsidRPr="00000000" w14:paraId="000000BD">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Proyección a 6 Meses (Semestral):</w:t>
      </w:r>
    </w:p>
    <w:p w:rsidR="00000000" w:rsidDel="00000000" w:rsidP="00000000" w:rsidRDefault="00000000" w:rsidRPr="00000000" w14:paraId="000000BE">
      <w:pPr>
        <w:numPr>
          <w:ilvl w:val="1"/>
          <w:numId w:val="12"/>
        </w:numPr>
        <w:pBdr>
          <w:top w:color="auto" w:space="0" w:sz="0" w:val="none"/>
          <w:bottom w:color="auto" w:space="0" w:sz="0" w:val="none"/>
          <w:right w:color="auto" w:space="0" w:sz="0" w:val="none"/>
          <w:between w:color="auto" w:space="0" w:sz="0" w:val="none"/>
        </w:pBd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Considerando un costo promedio mensual de ~$140 USD (licencias + consumo variable).</w:t>
      </w:r>
    </w:p>
    <w:p w:rsidR="00000000" w:rsidDel="00000000" w:rsidP="00000000" w:rsidRDefault="00000000" w:rsidRPr="00000000" w14:paraId="000000BF">
      <w:pPr>
        <w:numPr>
          <w:ilvl w:val="1"/>
          <w:numId w:val="12"/>
        </w:numPr>
        <w:pBdr>
          <w:top w:color="auto" w:space="0" w:sz="0" w:val="none"/>
          <w:bottom w:color="auto" w:space="0" w:sz="0" w:val="none"/>
          <w:right w:color="auto" w:space="0" w:sz="0" w:val="none"/>
          <w:between w:color="auto" w:space="0" w:sz="0" w:val="none"/>
        </w:pBdr>
        <w:spacing w:after="0" w:afterAutospacing="0" w:line="276" w:lineRule="auto"/>
        <w:ind w:left="1440" w:hanging="360"/>
        <w:jc w:val="both"/>
        <w:rPr/>
      </w:pPr>
      <w:r w:rsidDel="00000000" w:rsidR="00000000" w:rsidRPr="00000000">
        <w:rPr>
          <w:rFonts w:ascii="Times New Roman" w:cs="Times New Roman" w:eastAsia="Times New Roman" w:hAnsi="Times New Roman"/>
          <w:color w:val="1b1c1d"/>
          <w:rtl w:val="0"/>
        </w:rPr>
        <w:t xml:space="preserve">Total Estimado: ~$840 USD.</w:t>
      </w:r>
    </w:p>
    <w:p w:rsidR="00000000" w:rsidDel="00000000" w:rsidP="00000000" w:rsidRDefault="00000000" w:rsidRPr="00000000" w14:paraId="000000C0">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Proyección Anual (12 Meses):</w:t>
      </w:r>
    </w:p>
    <w:p w:rsidR="00000000" w:rsidDel="00000000" w:rsidP="00000000" w:rsidRDefault="00000000" w:rsidRPr="00000000" w14:paraId="000000C1">
      <w:pPr>
        <w:numPr>
          <w:ilvl w:val="1"/>
          <w:numId w:val="12"/>
        </w:numPr>
        <w:pBdr>
          <w:top w:color="auto" w:space="0" w:sz="0" w:val="none"/>
          <w:bottom w:color="auto" w:space="0" w:sz="0" w:val="none"/>
          <w:right w:color="auto" w:space="0" w:sz="0" w:val="none"/>
          <w:between w:color="auto" w:space="0" w:sz="0" w:val="none"/>
        </w:pBdr>
        <w:spacing w:after="600" w:line="276" w:lineRule="auto"/>
        <w:ind w:left="1500" w:hanging="360"/>
        <w:jc w:val="both"/>
        <w:rPr/>
      </w:pPr>
      <w:r w:rsidDel="00000000" w:rsidR="00000000" w:rsidRPr="00000000">
        <w:rPr>
          <w:rFonts w:ascii="Times New Roman" w:cs="Times New Roman" w:eastAsia="Times New Roman" w:hAnsi="Times New Roman"/>
          <w:color w:val="1b1c1d"/>
          <w:rtl w:val="0"/>
        </w:rPr>
        <w:t xml:space="preserve">Total Estimado: ~$1,680 USD.</w:t>
      </w: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Análisis de Viabilidad: A pesar del costo de licencias, el total anual (~$1.6k) sigue siendo drásticamente inferior al costo de adquirir y mantener un servidor físico </w:t>
      </w:r>
      <w:r w:rsidDel="00000000" w:rsidR="00000000" w:rsidRPr="00000000">
        <w:rPr>
          <w:rFonts w:ascii="Times New Roman" w:cs="Times New Roman" w:eastAsia="Times New Roman" w:hAnsi="Times New Roman"/>
          <w:i w:val="1"/>
          <w:iCs w:val="1"/>
          <w:color w:val="1b1c1d"/>
          <w:rtl w:val="0"/>
        </w:rPr>
        <w:t xml:space="preserve">on-premise</w:t>
      </w:r>
      <w:r w:rsidDel="00000000" w:rsidR="00000000" w:rsidRPr="00000000">
        <w:rPr>
          <w:rFonts w:ascii="Times New Roman" w:cs="Times New Roman" w:eastAsia="Times New Roman" w:hAnsi="Times New Roman"/>
          <w:color w:val="1b1c1d"/>
          <w:rtl w:val="0"/>
        </w:rPr>
        <w:t xml:space="preserve"> equivalente (Hardware + Energía + Licencia SQL Server Enterprise), validando el modelo Cloud.</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uryh6spovyxz" w:id="31"/>
      <w:bookmarkEnd w:id="31"/>
      <w:r w:rsidDel="00000000" w:rsidR="00000000" w:rsidRPr="00000000">
        <w:rPr>
          <w:rFonts w:ascii="Times New Roman" w:cs="Times New Roman" w:eastAsia="Times New Roman" w:hAnsi="Times New Roman"/>
          <w:b w:val="1"/>
          <w:bCs w:val="1"/>
          <w:color w:val="1b1c1d"/>
          <w:sz w:val="24"/>
          <w:szCs w:val="24"/>
          <w:rtl w:val="0"/>
        </w:rPr>
        <w:t xml:space="preserve">4.4. Análisis de Escalabilidad</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La arquitectura está diseñada para soportar crecimiento masivo sin rediseño:</w:t>
      </w:r>
    </w:p>
    <w:p w:rsidR="00000000" w:rsidDel="00000000" w:rsidP="00000000" w:rsidRDefault="00000000" w:rsidRPr="00000000" w14:paraId="000000C5">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Almacenamiento (GCP): Servicios como GCS y BigQuery son elásticos. Si los datos crecen 100x, el sistema lo soporta automáticamente, incrementando solo el costo variable por GB.</w:t>
      </w:r>
    </w:p>
    <w:p w:rsidR="00000000" w:rsidDel="00000000" w:rsidP="00000000" w:rsidRDefault="00000000" w:rsidRPr="00000000" w14:paraId="000000C6">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Visualización (Power BI): El modelo de licenciamiento escala por usuario, no por datos. Si la empresa crece a 50 empleados, simplemente se adquieren más licencias Pro, sin necesidad de mejorar el hardware del servidor de reportes.</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jv2hbq1ui62l" w:id="32"/>
      <w:bookmarkEnd w:id="32"/>
      <w:r w:rsidDel="00000000" w:rsidR="00000000" w:rsidRPr="00000000">
        <w:rPr>
          <w:rFonts w:ascii="Times New Roman" w:cs="Times New Roman" w:eastAsia="Times New Roman" w:hAnsi="Times New Roman"/>
          <w:b w:val="1"/>
          <w:bCs w:val="1"/>
          <w:color w:val="1b1c1d"/>
          <w:sz w:val="24"/>
          <w:szCs w:val="24"/>
          <w:rtl w:val="0"/>
        </w:rPr>
        <w:t xml:space="preserve">4.5. Propuestas de Optimización de Costos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maximizar el retorno de inversión (ROI) y controlar el presupuesto variable de GCP, se implementarán tres estrategias técnicas avanzadas: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1. Gestión de Ciclo de Vida (Cold Storage) en GCS</w:t>
      </w:r>
    </w:p>
    <w:p w:rsidR="00000000" w:rsidDel="00000000" w:rsidP="00000000" w:rsidRDefault="00000000" w:rsidRPr="00000000" w14:paraId="000000CA">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Estrategia: Configurar </w:t>
      </w:r>
      <w:r w:rsidDel="00000000" w:rsidR="00000000" w:rsidRPr="00000000">
        <w:rPr>
          <w:rFonts w:ascii="Times New Roman" w:cs="Times New Roman" w:eastAsia="Times New Roman" w:hAnsi="Times New Roman"/>
          <w:i w:val="1"/>
          <w:iCs w:val="1"/>
          <w:color w:val="1b1c1d"/>
          <w:rtl w:val="0"/>
        </w:rPr>
        <w:t xml:space="preserve">Lifecycle Rules</w:t>
      </w:r>
      <w:r w:rsidDel="00000000" w:rsidR="00000000" w:rsidRPr="00000000">
        <w:rPr>
          <w:rFonts w:ascii="Times New Roman" w:cs="Times New Roman" w:eastAsia="Times New Roman" w:hAnsi="Times New Roman"/>
          <w:color w:val="1b1c1d"/>
          <w:rtl w:val="0"/>
        </w:rPr>
        <w:t xml:space="preserve"> en el bucket del Data Lake.</w:t>
      </w:r>
    </w:p>
    <w:p w:rsidR="00000000" w:rsidDel="00000000" w:rsidP="00000000" w:rsidRDefault="00000000" w:rsidRPr="00000000" w14:paraId="000000CB">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Acción: Mover automáticamente los archivos CSV crudos con antigüedad mayor a 90 días de la clase </w:t>
      </w:r>
      <w:r w:rsidDel="00000000" w:rsidR="00000000" w:rsidRPr="00000000">
        <w:rPr>
          <w:rFonts w:ascii="Times New Roman" w:cs="Times New Roman" w:eastAsia="Times New Roman" w:hAnsi="Times New Roman"/>
          <w:i w:val="1"/>
          <w:iCs w:val="1"/>
          <w:color w:val="1b1c1d"/>
          <w:rtl w:val="0"/>
        </w:rPr>
        <w:t xml:space="preserve">Standard</w:t>
      </w:r>
      <w:r w:rsidDel="00000000" w:rsidR="00000000" w:rsidRPr="00000000">
        <w:rPr>
          <w:rFonts w:ascii="Times New Roman" w:cs="Times New Roman" w:eastAsia="Times New Roman" w:hAnsi="Times New Roman"/>
          <w:color w:val="1b1c1d"/>
          <w:rtl w:val="0"/>
        </w:rPr>
        <w:t xml:space="preserve"> a </w:t>
      </w:r>
      <w:r w:rsidDel="00000000" w:rsidR="00000000" w:rsidRPr="00000000">
        <w:rPr>
          <w:rFonts w:ascii="Times New Roman" w:cs="Times New Roman" w:eastAsia="Times New Roman" w:hAnsi="Times New Roman"/>
          <w:i w:val="1"/>
          <w:iCs w:val="1"/>
          <w:color w:val="1b1c1d"/>
          <w:rtl w:val="0"/>
        </w:rPr>
        <w:t xml:space="preserve">Coldline</w:t>
      </w:r>
      <w:r w:rsidDel="00000000" w:rsidR="00000000" w:rsidRPr="00000000">
        <w:rPr>
          <w:rFonts w:ascii="Times New Roman" w:cs="Times New Roman" w:eastAsia="Times New Roman" w:hAnsi="Times New Roman"/>
          <w:color w:val="1b1c1d"/>
          <w:rtl w:val="0"/>
        </w:rPr>
        <w:t xml:space="preserve"> o </w:t>
      </w:r>
      <w:r w:rsidDel="00000000" w:rsidR="00000000" w:rsidRPr="00000000">
        <w:rPr>
          <w:rFonts w:ascii="Times New Roman" w:cs="Times New Roman" w:eastAsia="Times New Roman" w:hAnsi="Times New Roman"/>
          <w:i w:val="1"/>
          <w:iCs w:val="1"/>
          <w:color w:val="1b1c1d"/>
          <w:rtl w:val="0"/>
        </w:rPr>
        <w:t xml:space="preserve">Archive</w:t>
      </w:r>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0CC">
      <w:pPr>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Impacto: Reduce el costo de retención histórica en aproximadamente un 80%, permitiendo guardar años de historia por centavos</w:t>
      </w:r>
      <w:r w:rsidDel="00000000" w:rsidR="00000000" w:rsidRPr="00000000">
        <w:rPr>
          <w:rFonts w:ascii="Times New Roman" w:cs="Times New Roman" w:eastAsia="Times New Roman" w:hAnsi="Times New Roman"/>
          <w:color w:val="444746"/>
          <w:vertAlign w:val="superscript"/>
          <w:rtl w:val="0"/>
        </w:rPr>
        <w:t xml:space="preserve">.</w:t>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2. Uso de Instancias Spot (Preemptibles) en Dataproc</w:t>
      </w:r>
    </w:p>
    <w:p w:rsidR="00000000" w:rsidDel="00000000" w:rsidP="00000000" w:rsidRDefault="00000000" w:rsidRPr="00000000" w14:paraId="000000CE">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Estrategia: Aprovechar la capacidad excedente de Google para el procesamiento Batch.</w:t>
      </w:r>
    </w:p>
    <w:p w:rsidR="00000000" w:rsidDel="00000000" w:rsidP="00000000" w:rsidRDefault="00000000" w:rsidRPr="00000000" w14:paraId="000000CF">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Acción: Configurar los nodos "workers" del clúster Spark como instancias Preemptibles. Dado que el job D-1 es tolerante a fallos, si un nodo se reclama, el job simplemente reintenta.</w:t>
      </w:r>
    </w:p>
    <w:p w:rsidR="00000000" w:rsidDel="00000000" w:rsidP="00000000" w:rsidRDefault="00000000" w:rsidRPr="00000000" w14:paraId="000000D0">
      <w:pPr>
        <w:numPr>
          <w:ilvl w:val="0"/>
          <w:numId w:val="10"/>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Impacto: Descuento de hasta un 80% en el costo de cómputo del ETL diario.</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3. Particionamiento de Tablas en BigQuery</w:t>
      </w:r>
    </w:p>
    <w:p w:rsidR="00000000" w:rsidDel="00000000" w:rsidP="00000000" w:rsidRDefault="00000000" w:rsidRPr="00000000" w14:paraId="000000D2">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Estrategia: Optimizar el consumo de recursos de las consultas de Power BI.</w:t>
      </w:r>
    </w:p>
    <w:p w:rsidR="00000000" w:rsidDel="00000000" w:rsidP="00000000" w:rsidRDefault="00000000" w:rsidRPr="00000000" w14:paraId="000000D3">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Acción: Particionar la tabla </w:t>
      </w:r>
      <w:r w:rsidDel="00000000" w:rsidR="00000000" w:rsidRPr="00000000">
        <w:rPr>
          <w:rFonts w:ascii="Times New Roman" w:cs="Times New Roman" w:eastAsia="Times New Roman" w:hAnsi="Times New Roman"/>
          <w:color w:val="444746"/>
          <w:rtl w:val="0"/>
        </w:rPr>
        <w:t xml:space="preserve">reporte_ventas_d1</w:t>
      </w:r>
      <w:r w:rsidDel="00000000" w:rsidR="00000000" w:rsidRPr="00000000">
        <w:rPr>
          <w:rFonts w:ascii="Times New Roman" w:cs="Times New Roman" w:eastAsia="Times New Roman" w:hAnsi="Times New Roman"/>
          <w:color w:val="1b1c1d"/>
          <w:rtl w:val="0"/>
        </w:rPr>
        <w:t xml:space="preserve"> por el campo </w:t>
      </w:r>
      <w:r w:rsidDel="00000000" w:rsidR="00000000" w:rsidRPr="00000000">
        <w:rPr>
          <w:rFonts w:ascii="Times New Roman" w:cs="Times New Roman" w:eastAsia="Times New Roman" w:hAnsi="Times New Roman"/>
          <w:color w:val="444746"/>
          <w:rtl w:val="0"/>
        </w:rPr>
        <w:t xml:space="preserve">Fecha_Creacion_DATE</w:t>
      </w:r>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0D4">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Impacto: Cuando un usuario filtre el dashboard por "Último Mes", BigQuery solo procesará (y cobrará) por esa partición específica, ignorando el resto del historial. Esto reduce el costo de las consultas de Power BI en un 99%.</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A7476"/>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A7476"/>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A7476"/>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A7476"/>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FA7476"/>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FA7476"/>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A7476"/>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A7476"/>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A7476"/>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A7476"/>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A7476"/>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A7476"/>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A7476"/>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A7476"/>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A7476"/>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A7476"/>
    <w:rPr>
      <w:i w:val="1"/>
      <w:iCs w:val="1"/>
      <w:color w:val="404040" w:themeColor="text1" w:themeTint="0000BF"/>
    </w:rPr>
  </w:style>
  <w:style w:type="paragraph" w:styleId="Prrafodelista">
    <w:name w:val="List Paragraph"/>
    <w:basedOn w:val="Normal"/>
    <w:uiPriority w:val="34"/>
    <w:qFormat w:val="1"/>
    <w:rsid w:val="00FA7476"/>
    <w:pPr>
      <w:ind w:left="720"/>
      <w:contextualSpacing w:val="1"/>
    </w:pPr>
  </w:style>
  <w:style w:type="character" w:styleId="nfasisintenso">
    <w:name w:val="Intense Emphasis"/>
    <w:basedOn w:val="Fuentedeprrafopredeter"/>
    <w:uiPriority w:val="21"/>
    <w:qFormat w:val="1"/>
    <w:rsid w:val="00FA7476"/>
    <w:rPr>
      <w:i w:val="1"/>
      <w:iCs w:val="1"/>
      <w:color w:val="0f4761" w:themeColor="accent1" w:themeShade="0000BF"/>
    </w:rPr>
  </w:style>
  <w:style w:type="paragraph" w:styleId="Citadestacada">
    <w:name w:val="Intense Quote"/>
    <w:basedOn w:val="Normal"/>
    <w:next w:val="Normal"/>
    <w:link w:val="CitadestacadaCar"/>
    <w:uiPriority w:val="30"/>
    <w:qFormat w:val="1"/>
    <w:rsid w:val="00FA747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A7476"/>
    <w:rPr>
      <w:i w:val="1"/>
      <w:iCs w:val="1"/>
      <w:color w:val="0f4761" w:themeColor="accent1" w:themeShade="0000BF"/>
    </w:rPr>
  </w:style>
  <w:style w:type="character" w:styleId="Referenciaintensa">
    <w:name w:val="Intense Reference"/>
    <w:basedOn w:val="Fuentedeprrafopredeter"/>
    <w:uiPriority w:val="32"/>
    <w:qFormat w:val="1"/>
    <w:rsid w:val="00FA7476"/>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nmMyRhgobDOeB+ioQqodi8pMA==">CgMxLjAyDmguZjc0NzRrZjJoZTJzMg5oLnplYmJqemNlMDF6MDIOaC5sZngwenI3MjZnYWoyDmgubGZ4MHpyNzI2Z2FqMg5oLm9ybDBiOTNtNDgybjIOaC5sZngwenI3MjZnYWoyDmgubGZ4MHpyNzI2Z2FqMg5oLmxmeDB6cjcyNmdhajIOaC5sZngwenI3MjZnYWoyDmgubGZ4MHpyNzI2Z2FqMg5oLjhvbjR2Mm5icXVhbzIOaC5sZngwenI3MjZnYWoyDmgubGZ4MHpyNzI2Z2FqMg5oLmxmeDB6cjcyNmdhajIOaC5sZngwenI3MjZnYWoyDmgubGZ4MHpyNzI2Z2FqMg5oLmxmeDB6cjcyNmdhajIOaC5pZWlvbWkxZHE1a2YyDmgubGZ4MHpyNzI2Z2FqMg5oLmxmeDB6cjcyNmdhajIOaC5sZngwenI3MjZnYWoyDmgubGZ4MHpyNzI2Z2FqMg5oLmxmeDB6cjcyNmdhajIOaC5sZngwenI3MjZnYWoyDmgubGZ4MHpyNzI2Z2FqMg5oLnA2bHhhYjRqamVndzIOaC5sZngwenI3MjZnYWoyDmguNjRpYjdwbThjcGlqMg5oLmhwYjk2YXBnbnc3NzIOaC5nZmN2MWFqd2cwbGoyDmgubW4zNnZ2cGFwbXc1Mg5oLmwyOTE2cjFjbzJkZTIOaC5kYW5icGNyM29rcmkyDmguOWM2M3B6ZXB5emUzMg5oLjRweml0empvcnp3ejIOaC5uZWQ5ZThteXpkZHoyDmgudGViMncyN3Vmc2V3Mg5oLjM4d2hva2xqb2ZuMjIOaC54Z2tncjFhc2lhZjQyDmguNHdlNzZzYmFvaDhxMg5oLmg2NXV4cWN4MTkwNDINaC5yNXRybzFpdnNnNzIOaC41YmJpZmJkZGJibDgyDmguZ213eHN3b3M1MmF1Mg5oLmhsZmN5Z2x4aTlyYjIOaC52bng2dHBwYXk0Z2syDmguaW8zamRkYW8yazdyMg5oLnEwMmM5eXh2dmNiNDIOaC41OWMwYXMycDJxYjkyDmguOHQydmoycGFwaGRuMg5oLm80amhvc295Y3RkcjIOaC51cnloNnNwb3Z5eHoyDmguanYyaGJxMXVpNjJsOAByITFCekw3LUNabXRUS0xLaUlaM1JUeGZXTFRpNWR1THlZ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2025-11-17T19:02:00Z</dcterms:created>
  <dc:creator>USER</dc:creator>
</cp:coreProperties>
</file>