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Certificado de autodeclaración para la aplicación del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artículo 252 de la Ley 1753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El titular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de la colección biológica  (abajo firmante) certifica que los especímenes a registrar en cumplimiento del artículo 252 de la Ley 1753 de 2015 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  <w:rPr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1) Se encuentran depositados en la colección biológica.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3) Fueron obtenidos EXCLUSIVAMENTE en el marco de actividades de recolección, de proyectos de investigación científica y/o prácticas docentes universitarias finalizadas.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4) Cumplen con la reglamentación de consulta previa en el caso de ser aplicable.  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both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5)  Que los especímenes a registrar son los que se resumen a continuación y se relacionan en detalle en el anexo (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http://bit.do/plantilla-datos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según los estándares para documentación de registros biológicos del Sistema de Información sobre Biodiversidad de Colombia (SiB Colombia)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80"/>
        <w:gridCol w:w="1320"/>
        <w:gridCol w:w="1620"/>
        <w:gridCol w:w="1290"/>
        <w:gridCol w:w="1503"/>
        <w:tblGridChange w:id="0">
          <w:tblGrid>
            <w:gridCol w:w="1725"/>
            <w:gridCol w:w="1380"/>
            <w:gridCol w:w="1320"/>
            <w:gridCol w:w="1620"/>
            <w:gridCol w:w="1290"/>
            <w:gridCol w:w="150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Grupo biológico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Número de especímenes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Cobertura temporal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Grupo biológico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Número de especímenes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Cobertura temporal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Plantas vasculares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Invertebrados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Plantas no vasculares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Vertebrados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Hongos y líquenes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Microorganismos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 expide a los  días ____ del mes ___________ del año 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Firma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139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349"/>
        <w:tblGridChange w:id="0">
          <w:tblGrid>
            <w:gridCol w:w="2790"/>
            <w:gridCol w:w="534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Nombre de la colección: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Acrónimo: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Titular de la colección: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Representante legal: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Cédula de ciudadanía: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701" w:top="1701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38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Titular de la colección: entidad que tiene a su cargo la colección biológica. En el caso de las personas naturales que registran colecciones biológicas el titular y el representante legal serán las mismas personas.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Firma del titular de la colección biológica. </w:t>
      </w:r>
      <w:r w:rsidDel="00000000" w:rsidR="00000000" w:rsidRPr="00000000">
        <w:rPr>
          <w:rtl w:val="0"/>
        </w:rPr>
      </w:r>
    </w:p>
  </w:footnote>
</w:footnote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do/plantilla-datos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