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3.png" ContentType="image/png"/>
  <Override PartName="/word/media/image4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invoice-connector-api-http-rest"/>
    <w:p>
      <w:pPr>
        <w:pStyle w:val="Heading1"/>
      </w:pPr>
      <w:r>
        <w:t xml:space="preserve">Invoice Connector API — HTTP REST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arxi_invoice_connector</w:t>
      </w:r>
      <w:r>
        <w:t xml:space="preserve"> </w:t>
      </w:r>
      <w:r>
        <w:t xml:space="preserve">module exposes an HTTP REST API that creates invoices, partial credit notes, and partner updates in Odoo fully and automatically: it validates the data, creates or reuses the partner by VAT number, selects the correct product and tax, and confirms the document — all in a single call.</w:t>
      </w:r>
    </w:p>
    <w:p>
      <w:pPr>
        <w:pStyle w:val="BodyText"/>
      </w:pPr>
      <w:r>
        <w:t xml:space="preserve">This API is distinct from Odoo’s native XML-RPC API. No XML-RPC library is required — just send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with a JSON body.</w:t>
      </w:r>
    </w:p>
    <w:p>
      <w:r>
        <w:pict>
          <v:rect style="width:0;height:1.5pt" o:hralign="center" o:hrstd="t" o:hr="t"/>
        </w:pict>
      </w:r>
    </w:p>
    <w:bookmarkEnd w:id="20"/>
    <w:bookmarkStart w:id="21" w:name="endpoints"/>
    <w:p>
      <w:pPr>
        <w:pStyle w:val="Heading2"/>
      </w:pPr>
      <w:r>
        <w:t xml:space="preserve">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6"/>
        <w:gridCol w:w="5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/api/create_invoice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single invoice (draft → posted)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/api/create_batch_invoice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list of invoices in 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/api/create_credit_note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credit note (full or partial) against a posted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/api/create_batch_credit_note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list of credit notes in 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/api/update_partner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billing fields on a partner already known by VAT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/api/invoice_pdf/&lt;id&gt;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PDF for an invoice or credit note by its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/api/invoice_credit_notes/&lt;id&gt;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every credit note issued against an invoice, by the invoice’s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authentication"/>
    <w:p>
      <w:pPr>
        <w:pStyle w:val="Heading2"/>
      </w:pPr>
      <w:r>
        <w:t xml:space="preserve">1. Authentication</w:t>
      </w:r>
    </w:p>
    <w:p>
      <w:pPr>
        <w:pStyle w:val="FirstParagraph"/>
      </w:pPr>
      <w:r>
        <w:t xml:space="preserve">All calls require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Two schemes are supported.</w:t>
      </w:r>
    </w:p>
    <w:bookmarkStart w:id="25" w:name="a.-basic-auth-odoo-user"/>
    <w:p>
      <w:pPr>
        <w:pStyle w:val="Heading3"/>
      </w:pPr>
      <w:r>
        <w:t xml:space="preserve">1a. Basic Auth (Odoo user)</w:t>
      </w:r>
    </w:p>
    <w:p>
      <w:pPr>
        <w:pStyle w:val="FirstParagraph"/>
      </w:pPr>
      <w:r>
        <w:t xml:space="preserve">Uses the login and password of an existing Odoo user.</w:t>
      </w:r>
    </w:p>
    <w:bookmarkStart w:id="22" w:name="postman"/>
    <w:p>
      <w:pPr>
        <w:pStyle w:val="Heading4"/>
      </w:pPr>
      <w:r>
        <w:t xml:space="preserve">Postman</w:t>
      </w:r>
    </w:p>
    <w:p>
      <w:pPr>
        <w:numPr>
          <w:ilvl w:val="0"/>
          <w:numId w:val="1001"/>
        </w:numPr>
        <w:pStyle w:val="Compact"/>
      </w:pPr>
      <w:r>
        <w:t xml:space="preserve">Open the request →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tab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rPr>
          <w:rStyle w:val="VerbatimChar"/>
        </w:rPr>
        <w:t xml:space="preserve">Basic Auth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(or the user’s login)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the user’s password</w:t>
      </w:r>
    </w:p>
    <w:p>
      <w:pPr>
        <w:numPr>
          <w:ilvl w:val="0"/>
          <w:numId w:val="1001"/>
        </w:numPr>
        <w:pStyle w:val="Compact"/>
      </w:pPr>
      <w:r>
        <w:t xml:space="preserve">Postman generates the header automatically — no need to calculate the base64 manually</w:t>
      </w:r>
    </w:p>
    <w:bookmarkEnd w:id="22"/>
    <w:bookmarkStart w:id="23" w:name="python"/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.encode()).decode()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curl"/>
    <w:p>
      <w:pPr>
        <w:pStyle w:val="Heading4"/>
      </w:pPr>
      <w:r>
        <w:t xml:space="preserve">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"http://&lt;host&gt;/api/create_invoice"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... }'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b.-api-key"/>
    <w:p>
      <w:pPr>
        <w:pStyle w:val="Heading3"/>
      </w:pPr>
      <w:r>
        <w:t xml:space="preserve">1b. API Key</w:t>
      </w:r>
    </w:p>
    <w:p>
      <w:pPr>
        <w:pStyle w:val="FirstParagraph"/>
      </w:pPr>
      <w:r>
        <w:t xml:space="preserve">Uses an API key generated in Odoo. Does not expose the user’s password.</w:t>
      </w:r>
    </w:p>
    <w:p>
      <w:pPr>
        <w:pStyle w:val="BodyText"/>
      </w:pPr>
      <w:r>
        <w:rPr>
          <w:bCs/>
          <w:b/>
        </w:rPr>
        <w:t xml:space="preserve">How to generate:</w:t>
      </w:r>
      <w:r>
        <w:t xml:space="preserve"> </w:t>
      </w:r>
      <w:r>
        <w:t xml:space="preserve">Odoo → Settings → Technical → API Keys → New</w:t>
      </w:r>
    </w:p>
    <w:bookmarkStart w:id="26" w:name="postman-1"/>
    <w:p>
      <w:pPr>
        <w:pStyle w:val="Heading4"/>
      </w:pPr>
      <w:r>
        <w:t xml:space="preserve">Postman</w:t>
      </w:r>
    </w:p>
    <w:p>
      <w:pPr>
        <w:numPr>
          <w:ilvl w:val="0"/>
          <w:numId w:val="1002"/>
        </w:numPr>
        <w:pStyle w:val="Compact"/>
      </w:pPr>
      <w:r>
        <w:t xml:space="preserve">Open the request →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tab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rPr>
          <w:rStyle w:val="VerbatimChar"/>
        </w:rPr>
        <w:t xml:space="preserve">API Key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Key:</w:t>
      </w:r>
      <w:r>
        <w:t xml:space="preserve"> </w:t>
      </w:r>
      <w:r>
        <w:rPr>
          <w:rStyle w:val="VerbatimChar"/>
        </w:rPr>
        <w:t xml:space="preserve">Authorization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Value:</w:t>
      </w:r>
      <w:r>
        <w:t xml:space="preserve"> </w:t>
      </w:r>
      <w:r>
        <w:rPr>
          <w:rStyle w:val="VerbatimChar"/>
        </w:rPr>
        <w:t xml:space="preserve">Bearer &lt;api_key&gt;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to:</w:t>
      </w:r>
      <w:r>
        <w:t xml:space="preserve"> </w:t>
      </w:r>
      <w:r>
        <w:rPr>
          <w:rStyle w:val="VerbatimChar"/>
        </w:rPr>
        <w:t xml:space="preserve">Header</w:t>
      </w:r>
    </w:p>
    <w:bookmarkEnd w:id="26"/>
    <w:bookmarkStart w:id="27" w:name="python-1"/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&lt;api_key&gt;"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curl-1"/>
    <w:p>
      <w:pPr>
        <w:pStyle w:val="Heading4"/>
      </w:pPr>
      <w:r>
        <w:t xml:space="preserve">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"http://&lt;host&gt;/api/create_invoice"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&lt;api_key&gt;"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... }'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request-structure"/>
    <w:p>
      <w:pPr>
        <w:pStyle w:val="Heading2"/>
      </w:pPr>
      <w:r>
        <w:t xml:space="preserve">2. Request Structure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03"/>
        </w:numPr>
        <w:pStyle w:val="Compact"/>
      </w:pPr>
      <w:r>
        <w:t xml:space="preserve">Body: JSON object for single endpoints; JSON array for batch endpoints</w:t>
      </w:r>
    </w:p>
    <w:p>
      <w:r>
        <w:pict>
          <v:rect style="width:0;height:1.5pt" o:hralign="center" o:hrstd="t" o:hr="t"/>
        </w:pict>
      </w:r>
    </w:p>
    <w:bookmarkEnd w:id="31"/>
    <w:bookmarkStart w:id="41" w:name="endpoint-single-invoice"/>
    <w:p>
      <w:pPr>
        <w:pStyle w:val="Heading2"/>
      </w:pPr>
      <w:r>
        <w:t xml:space="preserve">3. Endpoint: Single Invoice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/api/create_invoice</w:t>
      </w:r>
    </w:p>
    <w:bookmarkStart w:id="36" w:name="payload"/>
    <w:p>
      <w:pPr>
        <w:pStyle w:val="Heading3"/>
      </w:pPr>
      <w:r>
        <w:t xml:space="preserve">Payload</w:t>
      </w:r>
    </w:p>
    <w:bookmarkStart w:id="32" w:name="root-fields"/>
    <w:p>
      <w:pPr>
        <w:pStyle w:val="Heading4"/>
      </w:pPr>
      <w:r>
        <w:t xml:space="preserve">Root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576"/>
        <w:gridCol w:w="720"/>
        <w:gridCol w:w="5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name of the issuing company as it appears in Odoo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). Defaults to today 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). Defaults to</w:t>
            </w:r>
            <w:r>
              <w:t xml:space="preserve"> </w:t>
            </w:r>
            <w:r>
              <w:rPr>
                <w:rStyle w:val="VerbatimChar"/>
              </w:rPr>
              <w:t xml:space="preserve">invoice_date</w:t>
            </w:r>
            <w:r>
              <w:t xml:space="preserve"> </w:t>
            </w:r>
            <w:r>
              <w:t xml:space="preserve">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Customer’s preferred language code (</w:t>
            </w:r>
            <w:r>
              <w:rPr>
                <w:rStyle w:val="VerbatimChar"/>
              </w:rPr>
              <w:t xml:space="preserve">pt_PT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en_US</w:t>
            </w:r>
            <w:r>
              <w:t xml:space="preserve">, …). See</w:t>
            </w:r>
            <w:r>
              <w:t xml:space="preserve"> </w:t>
            </w:r>
            <w:hyperlink w:anchor="language">
              <w:r>
                <w:rPr>
                  <w:rStyle w:val="Hyperlink"/>
                </w:rPr>
                <w:t xml:space="preserve">Language</w:t>
              </w:r>
            </w:hyperlink>
            <w:r>
              <w:t xml:space="preserve"> </w:t>
            </w:r>
            <w:r>
              <w:t xml:space="preserve">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data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lines — at least one required (see below)</w:t>
            </w:r>
          </w:p>
        </w:tc>
      </w:tr>
    </w:tbl>
    <w:bookmarkEnd w:id="32"/>
    <w:bookmarkStart w:id="33" w:name="partner-object"/>
    <w:p>
      <w:pPr>
        <w:pStyle w:val="Heading4"/>
      </w:pPr>
      <w:r>
        <w:rPr>
          <w:rStyle w:val="VerbatimChar"/>
        </w:rPr>
        <w:t xml:space="preserve">partner</w:t>
      </w:r>
      <w:r>
        <w:t xml:space="preserve"> </w:t>
      </w:r>
      <w:r>
        <w:t xml:space="preserve">object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81"/>
        <w:gridCol w:w="630"/>
        <w:gridCol w:w="700"/>
        <w:gridCol w:w="56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number with country prefix (</w:t>
            </w:r>
            <w:r>
              <w:rPr>
                <w:rStyle w:val="VerbatimChar"/>
              </w:rPr>
              <w:t xml:space="preserve">PT123456789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ES12345678A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"CONSUMIDOR_FINAL"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name (used on creation; ignored if the VAT already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ID from</w:t>
            </w:r>
            <w:r>
              <w:t xml:space="preserve"> </w:t>
            </w:r>
            <w:r>
              <w:rPr>
                <w:rStyle w:val="VerbatimChar"/>
              </w:rPr>
              <w:t xml:space="preserve">res.country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68</w:t>
            </w:r>
            <w:r>
              <w:t xml:space="preserve"> </w:t>
            </w:r>
            <w:r>
              <w:t xml:space="preserve">= Spain,</w:t>
            </w:r>
            <w:r>
              <w:t xml:space="preserve"> </w:t>
            </w:r>
            <w:r>
              <w:rPr>
                <w:rStyle w:val="VerbatimChar"/>
              </w:rPr>
              <w:t xml:space="preserve">183</w:t>
            </w:r>
            <w:r>
              <w:t xml:space="preserve"> </w:t>
            </w:r>
            <w:r>
              <w:t xml:space="preserve">= Portugal)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</w:t>
            </w:r>
          </w:p>
        </w:tc>
      </w:tr>
    </w:tbl>
    <w:p>
      <w:pPr>
        <w:pStyle w:val="BlockText"/>
      </w:pPr>
      <w:r>
        <w:rPr>
          <w:bCs/>
          <w:b/>
        </w:rPr>
        <w:t xml:space="preserve">Final Consumer: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vat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"CONSUMIDOR_FINAL"</w:t>
      </w:r>
      <w:r>
        <w:t xml:space="preserve">, the company’s pre-configured</w:t>
      </w:r>
      <w:r>
        <w:t xml:space="preserve"> </w:t>
      </w:r>
      <w:r>
        <w:t xml:space="preserve">“</w:t>
      </w:r>
      <w:r>
        <w:t xml:space="preserve">Default Simplified Invoice Partner</w:t>
      </w:r>
      <w:r>
        <w:t xml:space="preserve">”</w:t>
      </w:r>
      <w:r>
        <w:t xml:space="preserve"> </w:t>
      </w:r>
      <w:r>
        <w:t xml:space="preserve">is used automatically (Odoo → Settings → Companies → Invoice Connector). The partner must be configured beforehand — it is not created automatically, and the call fails if it isn’t set.</w:t>
      </w:r>
    </w:p>
    <w:p>
      <w:pPr>
        <w:pStyle w:val="BlockText"/>
      </w:pPr>
      <w:r>
        <w:rPr>
          <w:bCs/>
          <w:b/>
        </w:rPr>
        <w:t xml:space="preserve">For regular VAT numbers:</w:t>
      </w:r>
      <w:r>
        <w:t xml:space="preserve"> </w:t>
      </w:r>
      <w:r>
        <w:t xml:space="preserve">the partner is looked up by</w:t>
      </w:r>
      <w:r>
        <w:t xml:space="preserve"> </w:t>
      </w:r>
      <w:r>
        <w:rPr>
          <w:rStyle w:val="VerbatimChar"/>
        </w:rPr>
        <w:t xml:space="preserve">vat</w:t>
      </w:r>
      <w:r>
        <w:t xml:space="preserve">. If found, it is reused and every other field in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 </w:t>
      </w:r>
      <w:r>
        <w:t xml:space="preserve">is ignored —</w:t>
      </w:r>
      <w:r>
        <w:t xml:space="preserve"> </w:t>
      </w:r>
      <w:r>
        <w:rPr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lang</w:t>
      </w:r>
      <w:r>
        <w:t xml:space="preserve"> </w:t>
      </w:r>
      <w:r>
        <w:t xml:space="preserve">(see below). If not found, a new partner is created with the fields provided.</w:t>
      </w:r>
    </w:p>
    <w:p>
      <w:pPr>
        <w:pStyle w:val="BlockText"/>
      </w:pPr>
      <w:r>
        <w:rPr>
          <w:bCs/>
          <w:b/>
        </w:rPr>
        <w:t xml:space="preserve">To correct billing details on a partner that already exists</w:t>
      </w:r>
      <w:r>
        <w:t xml:space="preserve"> </w:t>
      </w:r>
      <w:r>
        <w:t xml:space="preserve">(name, address, email, phone), use</w:t>
      </w:r>
      <w:r>
        <w:t xml:space="preserve"> </w:t>
      </w:r>
      <w:r>
        <w:rPr>
          <w:rStyle w:val="VerbatimChar"/>
        </w:rPr>
        <w:t xml:space="preserve">/api/update_partner</w:t>
      </w:r>
      <w:r>
        <w:t xml:space="preserve"> </w:t>
      </w:r>
      <w:r>
        <w:t xml:space="preserve">(section 7) —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never writes those fields onto an existing partner.</w:t>
      </w:r>
    </w:p>
    <w:bookmarkEnd w:id="33"/>
    <w:bookmarkStart w:id="34" w:name="language"/>
    <w:p>
      <w:pPr>
        <w:pStyle w:val="Heading4"/>
      </w:pPr>
      <w:r>
        <w:t xml:space="preserve">Language</w:t>
      </w:r>
    </w:p>
    <w:p>
      <w:pPr>
        <w:pStyle w:val="FirstParagraph"/>
      </w:pPr>
      <w:r>
        <w:rPr>
          <w:rStyle w:val="VerbatimChar"/>
        </w:rPr>
        <w:t xml:space="preserve">lang</w:t>
      </w:r>
      <w:r>
        <w:t xml:space="preserve"> </w:t>
      </w:r>
      <w:r>
        <w:t xml:space="preserve">sets the customer’s preferred rendering language for the invoice PDF and any further documents. Rules:</w:t>
      </w:r>
    </w:p>
    <w:p>
      <w:pPr>
        <w:numPr>
          <w:ilvl w:val="0"/>
          <w:numId w:val="1004"/>
        </w:numPr>
        <w:pStyle w:val="Compact"/>
      </w:pPr>
      <w:r>
        <w:t xml:space="preserve">Must be an</w:t>
      </w:r>
      <w:r>
        <w:t xml:space="preserve"> </w:t>
      </w:r>
      <w:r>
        <w:rPr>
          <w:bCs/>
          <w:b/>
        </w:rPr>
        <w:t xml:space="preserve">installed and active</w:t>
      </w:r>
      <w:r>
        <w:t xml:space="preserve"> </w:t>
      </w:r>
      <w:r>
        <w:t xml:space="preserve">language in Odoo (</w:t>
      </w:r>
      <w:r>
        <w:rPr>
          <w:rStyle w:val="VerbatimChar"/>
        </w:rPr>
        <w:t xml:space="preserve">Settings → Translations → Languages</w:t>
      </w:r>
      <w:r>
        <w:t xml:space="preserve">), otherwise the request fails with</w:t>
      </w:r>
      <w:r>
        <w:t xml:space="preserve"> </w:t>
      </w:r>
      <w:r>
        <w:rPr>
          <w:rStyle w:val="VerbatimChar"/>
        </w:rPr>
        <w:t xml:space="preserve">400</w:t>
      </w:r>
      <w:r>
        <w:t xml:space="preserve">. See the</w:t>
      </w:r>
      <w:r>
        <w:t xml:space="preserve"> </w:t>
      </w:r>
      <w:hyperlink w:anchor="language-codes">
        <w:r>
          <w:rPr>
            <w:rStyle w:val="Hyperlink"/>
          </w:rPr>
          <w:t xml:space="preserve">Language Codes</w:t>
        </w:r>
      </w:hyperlink>
      <w:r>
        <w:t xml:space="preserve"> </w:t>
      </w:r>
      <w:r>
        <w:t xml:space="preserve">reference at the end of this document for the full list of codes Odoo recognizes.</w:t>
      </w:r>
    </w:p>
    <w:p>
      <w:pPr>
        <w:numPr>
          <w:ilvl w:val="0"/>
          <w:numId w:val="1004"/>
        </w:numPr>
        <w:pStyle w:val="Compact"/>
      </w:pPr>
      <w:r>
        <w:t xml:space="preserve">If provided, it is written onto the partner (</w:t>
      </w:r>
      <w:r>
        <w:rPr>
          <w:rStyle w:val="VerbatimChar"/>
        </w:rPr>
        <w:t xml:space="preserve">res.partner.lang</w:t>
      </w:r>
      <w:r>
        <w:t xml:space="preserve">) — so it becomes that customer’s standing preference for future documents too, not just this one call. 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to the</w:t>
      </w:r>
      <w:r>
        <w:t xml:space="preserve"> </w:t>
      </w:r>
      <w:r>
        <w:rPr>
          <w:rStyle w:val="VerbatimChar"/>
        </w:rPr>
        <w:t xml:space="preserve">CONSUMIDOR_FINAL</w:t>
      </w:r>
      <w:r>
        <w:t xml:space="preserve"> </w:t>
      </w:r>
      <w:r>
        <w:t xml:space="preserve">shared partner, which is never modified.</w:t>
      </w:r>
    </w:p>
    <w:p>
      <w:pPr>
        <w:numPr>
          <w:ilvl w:val="0"/>
          <w:numId w:val="1004"/>
        </w:numPr>
        <w:pStyle w:val="Compact"/>
      </w:pPr>
      <w:r>
        <w:t xml:space="preserve">If omitted, the invoice falls back to the partner’s existing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then the company’s default language.</w:t>
      </w:r>
    </w:p>
    <w:p>
      <w:pPr>
        <w:pStyle w:val="BlockText"/>
      </w:pPr>
      <w:r>
        <w:t xml:space="preserve">Activating a language in Odoo only makes it selectable unless its translations are also loaded (</w:t>
      </w:r>
      <w:r>
        <w:rPr>
          <w:rStyle w:val="VerbatimChar"/>
        </w:rPr>
        <w:t xml:space="preserve">Settings → Translations → Languages → Activate</w:t>
      </w:r>
      <w:r>
        <w:t xml:space="preserve"> </w:t>
      </w:r>
      <w:r>
        <w:t xml:space="preserve">— not just flipping the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checkbox). If invoices still render in English despite a correct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value, check that the target language is fully installed, not just present in the list.</w:t>
      </w:r>
    </w:p>
    <w:bookmarkEnd w:id="34"/>
    <w:bookmarkStart w:id="35" w:name="lines-items"/>
    <w:p>
      <w:pPr>
        <w:pStyle w:val="Heading4"/>
      </w:pPr>
      <w:r>
        <w:rPr>
          <w:rStyle w:val="VerbatimChar"/>
        </w:rPr>
        <w:t xml:space="preserve">lines</w:t>
      </w:r>
      <w:r>
        <w:t xml:space="preserve"> </w:t>
      </w:r>
      <w:r>
        <w:t xml:space="preserve">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4"/>
        <w:gridCol w:w="592"/>
        <w:gridCol w:w="740"/>
        <w:gridCol w:w="54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rate as a percentage (</w:t>
            </w: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23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"product"</w:t>
            </w:r>
            <w:r>
              <w:t xml:space="preserve"> </w:t>
            </w:r>
            <w:r>
              <w:t xml:space="preserve">(physical good) or</w:t>
            </w:r>
            <w:r>
              <w:t xml:space="preserve"> </w:t>
            </w:r>
            <w:r>
              <w:rPr>
                <w:rStyle w:val="VerbatimChar"/>
              </w:rPr>
              <w:t xml:space="preserve">"service"</w:t>
            </w:r>
            <w:r>
              <w:t xml:space="preserve">. Default:</w:t>
            </w:r>
            <w:r>
              <w:t xml:space="preserve"> </w:t>
            </w:r>
            <w:r>
              <w:rPr>
                <w:rStyle w:val="VerbatimChar"/>
              </w:rPr>
              <w:t xml:space="preserve">"product"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Quantity. Default: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 excluding tax. Default: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percentage (</w:t>
            </w:r>
            <w:r>
              <w:rPr>
                <w:rStyle w:val="VerbatimChar"/>
              </w:rPr>
              <w:t xml:space="preserve">10.0</w:t>
            </w:r>
            <w:r>
              <w:t xml:space="preserve"> </w:t>
            </w:r>
            <w:r>
              <w:t xml:space="preserve">= 10%). Default: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description</w:t>
            </w:r>
          </w:p>
        </w:tc>
      </w:tr>
    </w:tbl>
    <w:bookmarkEnd w:id="35"/>
    <w:bookmarkEnd w:id="36"/>
    <w:bookmarkStart w:id="37" w:name="request-example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base64, urllib.request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"http://&lt;host&gt;/api/create_invoice"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.encode()).decode()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"2026-06-05"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"pt_PT"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 Customer Lda"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"Rua das Flores, 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"Lisbon"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"zip"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"1000-001"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"country_id"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"discount"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 with 10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iscount"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"Reduced rate product 4%"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final-consumer-example"/>
    <w:p>
      <w:pPr>
        <w:pStyle w:val="Heading3"/>
      </w:pPr>
      <w:r>
        <w:t xml:space="preserve">Final Consumer Example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"2026-06-05"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"CONSUMIDOR_FINAL"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30.00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response-success-http-200"/>
    <w:p>
      <w:pPr>
        <w:pStyle w:val="Heading3"/>
      </w:pPr>
      <w:r>
        <w:t xml:space="preserve">Response (success —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Customer Lda"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"invoice_date_due"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"amount_untaxed"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269.0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"360imprimir, SL"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"pt_PT"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"portal_pdf_url"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"http://&lt;host&gt;/my/invoices/1201?access_token=b41cd246-...&amp;report_type=pdf&amp;download=true"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in the response is the invoice’s internal identifier in Odoo. It must be stored by the integrating system — it is the value to pass in the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field when creating a credit note for this invoice (see section 5).</w:t>
      </w:r>
    </w:p>
    <w:bookmarkEnd w:id="39"/>
    <w:bookmarkStart w:id="40" w:name="response-fields"/>
    <w:p>
      <w:pPr>
        <w:pStyle w:val="Heading3"/>
      </w:pPr>
      <w:r>
        <w:t xml:space="preserve">Response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on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"Created"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account.move</w:t>
            </w:r>
            <w:r>
              <w:t xml:space="preserve"> </w:t>
            </w:r>
            <w:r>
              <w:t xml:space="preserve">record ID —</w:t>
            </w:r>
            <w:r>
              <w:t xml:space="preserve"> </w:t>
            </w:r>
            <w:r>
              <w:rPr>
                <w:bCs/>
                <w:b/>
              </w:rPr>
              <w:t xml:space="preserve">store this for use in credit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number (e.g. </w:t>
            </w:r>
            <w:r>
              <w:rPr>
                <w:rStyle w:val="VerbatimChar"/>
              </w:rPr>
              <w:t xml:space="preserve">INV/2026/00001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amount_untaxed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Taxable base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tax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amount including 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"posted"</w:t>
            </w:r>
            <w:r>
              <w:t xml:space="preserve"> </w:t>
            </w:r>
            <w:r>
              <w:t xml:space="preserve">(confirmed invoice)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"paid"</w:t>
            </w:r>
            <w:r>
              <w:t xml:space="preserve"> </w:t>
            </w:r>
            <w:r>
              <w:t xml:space="preserve">— this connector marks invoices as paid immediately on creation (it does not model real payment collection)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company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used for this document (from the request, the partner, or the company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portal_pdf_url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PDF download URL (includes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endpoint-batch-invoice"/>
    <w:p>
      <w:pPr>
        <w:pStyle w:val="Heading2"/>
      </w:pPr>
      <w:r>
        <w:t xml:space="preserve">4. Endpoint: Batch Invoice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/api/create_batch_invoice</w:t>
      </w:r>
    </w:p>
    <w:p>
      <w:pPr>
        <w:pStyle w:val="BodyText"/>
      </w:pPr>
      <w:r>
        <w:t xml:space="preserve">The body must be a JSON array. Each item uses the same payload described above. Each invoice is handled independently — a failure on one does not affect the others.</w:t>
      </w:r>
    </w:p>
    <w:bookmarkStart w:id="42" w:name="response-http-200"/>
    <w:p>
      <w:pPr>
        <w:pStyle w:val="Heading3"/>
      </w:pPr>
      <w:r>
        <w:t xml:space="preserve">Response (HTTP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 2 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'X'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array contains one response per item, in the same order as the request.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endpoint-credit-note"/>
    <w:p>
      <w:pPr>
        <w:pStyle w:val="Heading2"/>
      </w:pPr>
      <w:r>
        <w:t xml:space="preserve">5. Endpoint: Credit Note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/api/create_credit_note</w:t>
      </w:r>
    </w:p>
    <w:p>
      <w:pPr>
        <w:pStyle w:val="BodyText"/>
      </w:pPr>
      <w:r>
        <w:t xml:space="preserve">Creates a credit note (</w:t>
      </w:r>
      <w:r>
        <w:rPr>
          <w:rStyle w:val="VerbatimChar"/>
        </w:rPr>
        <w:t xml:space="preserve">out_refund</w:t>
      </w:r>
      <w:r>
        <w:t xml:space="preserve">) against an existing posted invoice, using the lines supplied in the request — full or partial, depending on the quantities/lines you send. Unlike Odoo’s manual credit-note wizard, this endpoint does not mirror the original invoice’s lines into a draft for later editing — the lines to credit are supplied directly, exactly like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. The credit note is posted immediately and its receivable line is reconciled against the original invoice’s, so the invoice’s</w:t>
      </w:r>
      <w:r>
        <w:t xml:space="preserve"> </w:t>
      </w:r>
      <w:r>
        <w:rPr>
          <w:rStyle w:val="VerbatimChar"/>
        </w:rPr>
        <w:t xml:space="preserve">payment_state</w:t>
      </w:r>
      <w:r>
        <w:t xml:space="preserve">/residual balance reflects the credit.</w:t>
      </w:r>
    </w:p>
    <w:p>
      <w:pPr>
        <w:pStyle w:val="BodyText"/>
      </w:pPr>
      <w:r>
        <w:t xml:space="preserve">The original invoice must be in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state, and the credit note’s partner must match the original invoice’s partner. The link between the invoice and the credit note is maintained by Odoo (</w:t>
      </w:r>
      <w:r>
        <w:rPr>
          <w:rStyle w:val="VerbatimChar"/>
        </w:rPr>
        <w:t xml:space="preserve">reversed_entry_id</w:t>
      </w:r>
      <w:r>
        <w:t xml:space="preserve">).</w:t>
      </w:r>
    </w:p>
    <w:bookmarkStart w:id="44" w:name="payload-1"/>
    <w:p>
      <w:pPr>
        <w:pStyle w:val="Heading3"/>
      </w:pPr>
      <w:r>
        <w:t xml:space="preserve">Payload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field corresponds to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returned by</w:t>
      </w:r>
      <w:r>
        <w:t xml:space="preserve"> </w:t>
      </w:r>
      <w:r>
        <w:rPr>
          <w:rStyle w:val="VerbatimChar"/>
        </w:rPr>
        <w:t xml:space="preserve">/api/create_invoice</w:t>
      </w:r>
      <w:r>
        <w:t xml:space="preserve">. It must have been stored when the original invoice was created.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5"/>
        <w:gridCol w:w="446"/>
        <w:gridCol w:w="557"/>
        <w:gridCol w:w="5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name of the issuing company, same as on the original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invoice ID — the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 from the invoice creation response.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the invoice’s name/number (see note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). Defaults to today 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). Defaults to</w:t>
            </w:r>
            <w:r>
              <w:t xml:space="preserve"> </w:t>
            </w:r>
            <w:r>
              <w:rPr>
                <w:rStyle w:val="VerbatimChar"/>
              </w:rPr>
              <w:t xml:space="preserve">invoice_date</w:t>
            </w:r>
            <w:r>
              <w:t xml:space="preserve"> </w:t>
            </w:r>
            <w:r>
              <w:t xml:space="preserve">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Customer’s preferred language — same rules as in</w:t>
            </w:r>
            <w:r>
              <w:t xml:space="preserve"> </w:t>
            </w:r>
            <w:r>
              <w:rPr>
                <w:rStyle w:val="VerbatimChar"/>
              </w:rPr>
              <w:t xml:space="preserve">create_invoice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language">
              <w:r>
                <w:rPr>
                  <w:rStyle w:val="Hyperlink"/>
                </w:rPr>
                <w:t xml:space="preserve">Language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shape as</w:t>
            </w:r>
            <w:r>
              <w:t xml:space="preserve"> </w:t>
            </w:r>
            <w:r>
              <w:rPr>
                <w:rStyle w:val="VerbatimChar"/>
              </w:rPr>
              <w:t xml:space="preserve">create_invoice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Must resolve to the same partner as the original invoice</w:t>
            </w:r>
            <w:r>
              <w:t xml:space="preserve">, or the request is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lines to credit — same shape as</w:t>
            </w:r>
            <w:r>
              <w:t xml:space="preserve"> </w:t>
            </w:r>
            <w:r>
              <w:rPr>
                <w:rStyle w:val="VerbatimChar"/>
              </w:rPr>
              <w:t xml:space="preserve">create_invoice</w:t>
            </w:r>
            <w:r>
              <w:t xml:space="preserve">’s.</w:t>
            </w:r>
            <w:r>
              <w:t xml:space="preserve"> </w:t>
            </w:r>
            <w:r>
              <w:rPr>
                <w:bCs/>
                <w:b/>
              </w:rPr>
              <w:t xml:space="preserve">Omit it entirely for a full credit note</w:t>
            </w:r>
            <w:r>
              <w:t xml:space="preserve"> </w:t>
            </w:r>
            <w:r>
              <w:t xml:space="preserve">(see below); provide it only for a partial one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invoice_id</w:t>
      </w:r>
      <w:r>
        <w:rPr>
          <w:bCs/>
          <w:b/>
        </w:rPr>
        <w:t xml:space="preserve"> </w:t>
      </w:r>
      <w:r>
        <w:rPr>
          <w:bCs/>
          <w:b/>
        </w:rPr>
        <w:t xml:space="preserve">and not the invoice name:</w:t>
      </w:r>
      <w:r>
        <w:t xml:space="preserve"> </w:t>
      </w:r>
      <w:r>
        <w:t xml:space="preserve">a purely numeric invoice number would be ambiguous with an id, so this field only accepts the numeric</w:t>
      </w:r>
      <w:r>
        <w:t xml:space="preserve"> </w:t>
      </w:r>
      <w:r>
        <w:rPr>
          <w:rStyle w:val="VerbatimChar"/>
        </w:rPr>
        <w:t xml:space="preserve">id</w:t>
      </w:r>
      <w:r>
        <w:t xml:space="preserve">. Always store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— it’s what you pass back here.</w:t>
      </w:r>
    </w:p>
    <w:p>
      <w:pPr>
        <w:pStyle w:val="BlockText"/>
      </w:pPr>
      <w:r>
        <w:rPr>
          <w:bCs/>
          <w:b/>
        </w:rPr>
        <w:t xml:space="preserve">Full vs. partial — same endpoint, no flag needed: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credit note: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entirely. The connector copies the original invoice’s own lines (product, quantity, price, discount, tax) onto the credit note automatically — you don’t need to resend anything.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Partial credit note:</w:t>
      </w:r>
      <w:r>
        <w:t xml:space="preserve"> </w:t>
      </w:r>
      <w:r>
        <w:t xml:space="preserve">provide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with just the products/quantities you want to credit — a subset of the original invoice, at any quantity. You are responsible for repeating the correct</w:t>
      </w:r>
      <w:r>
        <w:t xml:space="preserve"> </w:t>
      </w:r>
      <w:r>
        <w:rPr>
          <w:rStyle w:val="VerbatimChar"/>
        </w:rPr>
        <w:t xml:space="preserve">tax_rate</w:t>
      </w:r>
      <w:r>
        <w:t xml:space="preserve">/</w:t>
      </w:r>
      <w:r>
        <w:rPr>
          <w:rStyle w:val="VerbatimChar"/>
        </w:rPr>
        <w:t xml:space="preserve">price_unit</w:t>
      </w:r>
      <w:r>
        <w:t xml:space="preserve">; the endpoint enforces the per-product ceiling described below, but does not otherwise look up or copy the original invoice’s own lines.</w:t>
      </w:r>
    </w:p>
    <w:p>
      <w:pPr>
        <w:pStyle w:val="FirstParagraph"/>
      </w:pPr>
      <w:r>
        <w:rPr>
          <w:bCs/>
          <w:b/>
        </w:rPr>
        <w:t xml:space="preserve">Guardrails enforced by the endpoint:</w:t>
      </w:r>
    </w:p>
    <w:p>
      <w:pPr>
        <w:numPr>
          <w:ilvl w:val="0"/>
          <w:numId w:val="1005"/>
        </w:numPr>
        <w:pStyle w:val="Compact"/>
      </w:pPr>
      <w:r>
        <w:t xml:space="preserve">The original invoice must exist, belong to the given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, and be in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state.</w:t>
      </w:r>
    </w:p>
    <w:p>
      <w:pPr>
        <w:numPr>
          <w:ilvl w:val="0"/>
          <w:numId w:val="1005"/>
        </w:numPr>
        <w:pStyle w:val="Compact"/>
      </w:pPr>
      <w:r>
        <w:t xml:space="preserve">The credit note’s partner must be the same partner as the original invoice’s.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Per-product credit limit:</w:t>
      </w:r>
      <w:r>
        <w:t xml:space="preserve"> </w:t>
      </w:r>
      <w:r>
        <w:t xml:space="preserve">lines are matched to the original invoice by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. For each product, the total credited — this credit note plus every prior posted credit note against the same original invoice — cannot exceed what was invoiced for that product on the original. This is checked per product, not just on the credit note’s total, so crediting product A beyond what it was ever billed for is rejected even if the credit note’s overall total still fits within the invoice’s outstanding balance. Crediting a product that isn’t on the original invoice at all is always rejected (nothing invoiced for it → nothing available to credit).</w:t>
      </w:r>
    </w:p>
    <w:bookmarkEnd w:id="44"/>
    <w:bookmarkStart w:id="45" w:name="request-example-full-credit-note"/>
    <w:p>
      <w:pPr>
        <w:pStyle w:val="Heading3"/>
      </w:pPr>
      <w:r>
        <w:t xml:space="preserve">Request Example — full credit note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"lines" — the original invoice's lines are copied in full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request-example-partial-credit-note"/>
    <w:p>
      <w:pPr>
        <w:pStyle w:val="Heading3"/>
      </w:pPr>
      <w:r>
        <w:t xml:space="preserve">Request Example — partial credit note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 — Product with 10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iscount"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"discount"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response-success-http-200-1"/>
    <w:p>
      <w:pPr>
        <w:pStyle w:val="Heading3"/>
      </w:pPr>
      <w:r>
        <w:t xml:space="preserve">Response (success —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Customer Lda"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"amount_untaxed"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217.8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"360imprimir, SL"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"pt_PT"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"portal_pdf_url"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"http://&lt;host&gt;/my/invoices/1205?access_token=...&amp;report_type=pdf&amp;download=true"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additional-response-fields"/>
    <w:p>
      <w:pPr>
        <w:pStyle w:val="Heading3"/>
      </w:pPr>
      <w:r>
        <w:t xml:space="preserve">Additional Response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2"/>
        <w:gridCol w:w="565"/>
        <w:gridCol w:w="61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invoice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invoice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credit note’s own payment state, computed from reconciliation (</w:t>
            </w:r>
            <w:r>
              <w:rPr>
                <w:rStyle w:val="VerbatimChar"/>
              </w:rPr>
              <w:t xml:space="preserve">"paid"</w:t>
            </w:r>
            <w:r>
              <w:t xml:space="preserve"> </w:t>
            </w:r>
            <w:r>
              <w:t xml:space="preserve">when fully reconciled)</w:t>
            </w:r>
          </w:p>
        </w:tc>
      </w:tr>
    </w:tbl>
    <w:p>
      <w:pPr>
        <w:pStyle w:val="BodyText"/>
      </w:pPr>
      <w:r>
        <w:t xml:space="preserve">All other fields are identical to the invoice response.</w:t>
      </w:r>
    </w:p>
    <w:p>
      <w:pPr>
        <w:pStyle w:val="BlockText"/>
      </w:pPr>
      <w:r>
        <w:rPr>
          <w:bCs/>
          <w:b/>
        </w:rPr>
        <w:t xml:space="preserve">Effect on the original invoice:</w:t>
      </w:r>
      <w:r>
        <w:t xml:space="preserve"> </w:t>
      </w:r>
      <w:r>
        <w:t xml:space="preserve">after the credit note posts,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invoice’s</w:t>
      </w:r>
      <w:r>
        <w:t xml:space="preserve"> </w:t>
      </w:r>
      <w:r>
        <w:rPr>
          <w:rStyle w:val="VerbatimChar"/>
        </w:rPr>
        <w:t xml:space="preserve">payment_state</w:t>
      </w:r>
      <w:r>
        <w:t xml:space="preserve">/</w:t>
      </w:r>
      <w:r>
        <w:rPr>
          <w:rStyle w:val="VerbatimChar"/>
        </w:rPr>
        <w:t xml:space="preserve">amount_residual</w:t>
      </w:r>
      <w:r>
        <w:t xml:space="preserve"> </w:t>
      </w:r>
      <w:r>
        <w:t xml:space="preserve">is also recomputed from the actual reconciliation — it is no longer forced to</w:t>
      </w:r>
      <w:r>
        <w:t xml:space="preserve"> </w:t>
      </w:r>
      <w:r>
        <w:rPr>
          <w:rStyle w:val="VerbatimChar"/>
        </w:rPr>
        <w:t xml:space="preserve">"paid"</w:t>
      </w:r>
      <w:r>
        <w:t xml:space="preserve">. E.g. an invoice totaling 240.79 credited for 72.24 shows</w:t>
      </w:r>
      <w:r>
        <w:t xml:space="preserve"> </w:t>
      </w:r>
      <w:r>
        <w:rPr>
          <w:rStyle w:val="VerbatimChar"/>
        </w:rPr>
        <w:t xml:space="preserve">payment_state: "partial"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amount_residual: 168.55</w:t>
      </w:r>
      <w:r>
        <w:t xml:space="preserve"> </w:t>
      </w:r>
      <w:r>
        <w:t xml:space="preserve">afterwards; a credit note for the full amount leaves the original invoice as</w:t>
      </w:r>
      <w:r>
        <w:t xml:space="preserve"> </w:t>
      </w:r>
      <w:r>
        <w:rPr>
          <w:rStyle w:val="VerbatimChar"/>
        </w:rPr>
        <w:t xml:space="preserve">payment_state: "reversed"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ndpoint-batch-credit-note"/>
    <w:p>
      <w:pPr>
        <w:pStyle w:val="Heading2"/>
      </w:pPr>
      <w:r>
        <w:t xml:space="preserve">6. Endpoint: Batch Credit Note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/api/create_batch_credit_note</w:t>
      </w:r>
    </w:p>
    <w:p>
      <w:pPr>
        <w:pStyle w:val="BodyText"/>
      </w:pPr>
      <w:r>
        <w:t xml:space="preserve">The body must be a JSON array. Each item uses the same payload described in section 5. Each credit note is handled independently — a failure on one does not affect the others.</w:t>
      </w:r>
    </w:p>
    <w:bookmarkStart w:id="50" w:name="request-example-1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"PT987654321"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50.00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does not exist — returns error for this item only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50.00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</w:p>
    <w:bookmarkEnd w:id="50"/>
    <w:bookmarkStart w:id="51" w:name="response-http-200-1"/>
    <w:p>
      <w:pPr>
        <w:pStyle w:val="Heading3"/>
      </w:pPr>
      <w:r>
        <w:t xml:space="preserve">Response (HTTP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 3 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with id=999999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endpoint-update-partner"/>
    <w:p>
      <w:pPr>
        <w:pStyle w:val="Heading2"/>
      </w:pPr>
      <w:r>
        <w:t xml:space="preserve">7. Endpoint: Update Partner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/api/update_partner</w:t>
      </w:r>
    </w:p>
    <w:p>
      <w:pPr>
        <w:pStyle w:val="BodyText"/>
      </w:pPr>
      <w:r>
        <w:t xml:space="preserve">Updates billing fields on a partner that is already known to Odoo by VAT. 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way to correct a partner’s billing details through this API —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/</w:t>
      </w:r>
      <w:r>
        <w:rPr>
          <w:rStyle w:val="VerbatimChar"/>
        </w:rPr>
        <w:t xml:space="preserve">create_credit_note</w:t>
      </w:r>
      <w:r>
        <w:t xml:space="preserve"> </w:t>
      </w:r>
      <w:r>
        <w:t xml:space="preserve">always ignore those fields once a VAT match is found (to avoid a stale or partial payload silently overwriting good data). This endpoint never creates a partner: an unmatched VAT is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not an upsert.</w:t>
      </w:r>
    </w:p>
    <w:bookmarkStart w:id="53" w:name="payload-2"/>
    <w:p>
      <w:pPr>
        <w:pStyle w:val="Heading3"/>
      </w:pPr>
      <w:r>
        <w:t xml:space="preserve">Payload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603"/>
        <w:gridCol w:w="754"/>
        <w:gridCol w:w="55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number used to look up the existing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street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postal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country ID from</w:t>
            </w:r>
            <w:r>
              <w:t xml:space="preserve"> </w:t>
            </w:r>
            <w:r>
              <w:rPr>
                <w:rStyle w:val="VerbatimChar"/>
              </w:rPr>
              <w:t xml:space="preserve">res.country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preferred language — same validation rules as in</w:t>
            </w:r>
            <w:r>
              <w:t xml:space="preserve"> </w:t>
            </w:r>
            <w:r>
              <w:rPr>
                <w:rStyle w:val="VerbatimChar"/>
              </w:rPr>
              <w:t xml:space="preserve">create_invoice</w:t>
            </w:r>
          </w:p>
        </w:tc>
      </w:tr>
    </w:tbl>
    <w:p>
      <w:pPr>
        <w:pStyle w:val="BodyText"/>
      </w:pPr>
      <w:r>
        <w:t xml:space="preserve">Only the fields present in the payload are written — omitted fields keep their current value on the partner (partial update, not a full replace).</w:t>
      </w:r>
    </w:p>
    <w:bookmarkEnd w:id="53"/>
    <w:bookmarkStart w:id="54" w:name="request-example-2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"street"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 Street, 456"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"new-email@customer.com"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response-success-http-200-2"/>
    <w:p>
      <w:pPr>
        <w:pStyle w:val="Heading3"/>
      </w:pPr>
      <w:r>
        <w:t xml:space="preserve">Response (success —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Customer Lda"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Street, 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"Lisbon"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"new-email@customer.com"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"pt_PT"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response-not-found-http-404"/>
    <w:p>
      <w:pPr>
        <w:pStyle w:val="Heading3"/>
      </w:pPr>
      <w:r>
        <w:t xml:space="preserve">Response (not found — HTTP 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 with vat 'PT999999999' 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endpoint-invoice-credit-note-pdf"/>
    <w:p>
      <w:pPr>
        <w:pStyle w:val="Heading2"/>
      </w:pPr>
      <w:r>
        <w:t xml:space="preserve">8. Endpoint: Invoice / Credit Note PDF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/api/invoice_pdf/&lt;id&gt;</w:t>
      </w:r>
    </w:p>
    <w:p>
      <w:pPr>
        <w:pStyle w:val="BodyText"/>
      </w:pPr>
      <w:r>
        <w:t xml:space="preserve">Returns the PDF for a single invoice or credit note, generated on demand from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create_credit_note</w:t>
      </w:r>
      <w:r>
        <w:t xml:space="preserve">. Unlike</w:t>
      </w:r>
      <w:r>
        <w:t xml:space="preserve"> </w:t>
      </w:r>
      <w:r>
        <w:rPr>
          <w:rStyle w:val="VerbatimChar"/>
        </w:rPr>
        <w:t xml:space="preserve">portal_pdf_url</w:t>
      </w:r>
      <w:r>
        <w:t xml:space="preserve"> </w:t>
      </w:r>
      <w:r>
        <w:t xml:space="preserve">(a public link with an embedded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, usable without Odoo credentials), this endpoint requires the same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as every other endpoint in this API — use it when the caller is your own integration fetching the PDF back, not when handing a link to an end customer.</w:t>
      </w:r>
    </w:p>
    <w:p>
      <w:pPr>
        <w:pStyle w:val="BodyText"/>
      </w:pPr>
      <w:r>
        <w:rPr>
          <w:rStyle w:val="VerbatimChar"/>
        </w:rPr>
        <w:t xml:space="preserve">&lt;id&gt;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 </w:t>
      </w:r>
      <w:r>
        <w:t xml:space="preserve">id — the same value returned as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create_credit_note</w:t>
      </w:r>
      <w:r>
        <w:t xml:space="preserve">. Works for both invoices (</w:t>
      </w:r>
      <w:r>
        <w:rPr>
          <w:rStyle w:val="VerbatimChar"/>
        </w:rPr>
        <w:t xml:space="preserve">out_invoice</w:t>
      </w:r>
      <w:r>
        <w:t xml:space="preserve">) and credit notes (</w:t>
      </w:r>
      <w:r>
        <w:rPr>
          <w:rStyle w:val="VerbatimChar"/>
        </w:rPr>
        <w:t xml:space="preserve">out_refund</w:t>
      </w:r>
      <w:r>
        <w:t xml:space="preserve">).</w:t>
      </w:r>
    </w:p>
    <w:bookmarkStart w:id="58" w:name="request-example-3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base64, urllib.request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"http://&lt;host&gt;/api/invoice_pdf/1201"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.encode()).decode()</w:t>
      </w:r>
      <w:r>
        <w:br/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"invoice.pdf"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f.write(response.read())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invoice.pdf </w:t>
      </w:r>
      <w:r>
        <w:rPr>
          <w:rStyle w:val="StringTok"/>
        </w:rPr>
        <w:t xml:space="preserve">"http://&lt;host&gt;/api/invoice_pdf/1201"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"admin:password"</w:t>
      </w:r>
    </w:p>
    <w:bookmarkEnd w:id="58"/>
    <w:bookmarkStart w:id="59" w:name="response-success-http-200-3"/>
    <w:p>
      <w:pPr>
        <w:pStyle w:val="Heading3"/>
      </w:pPr>
      <w:r>
        <w:t xml:space="preserve">Response (success — HTTP 200)</w:t>
      </w:r>
    </w:p>
    <w:p>
      <w:pPr>
        <w:pStyle w:val="FirstParagraph"/>
      </w:pPr>
      <w:r>
        <w:t xml:space="preserve">Binary PDF (</w:t>
      </w:r>
      <w:r>
        <w:rPr>
          <w:rStyle w:val="VerbatimChar"/>
        </w:rPr>
        <w:t xml:space="preserve">Content-Type: application/pdf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Content-Disposition: attachment; filename="&lt;invoice_number&gt;.pdf"</w:t>
      </w:r>
      <w:r>
        <w:t xml:space="preserve">.</w:t>
      </w:r>
    </w:p>
    <w:bookmarkEnd w:id="59"/>
    <w:bookmarkStart w:id="60" w:name="response-errors-json"/>
    <w:p>
      <w:pPr>
        <w:pStyle w:val="Heading3"/>
      </w:pPr>
      <w:r>
        <w:t xml:space="preserve">Response (errors — JSON)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5"/>
        <w:gridCol w:w="3873"/>
        <w:gridCol w:w="3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 with id=&lt;id&gt;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account.move</w:t>
            </w:r>
            <w:r>
              <w:t xml:space="preserve"> </w:t>
            </w:r>
            <w:r>
              <w:t xml:space="preserve">with that id, or it isn’t an invoice/credit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 '&lt;name&gt;' is not posted (state=&lt;state&gt;)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 exists but hasn’t been posted yet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X85701878114875551d947faefe68747bf240531"/>
    <w:p>
      <w:pPr>
        <w:pStyle w:val="Heading2"/>
      </w:pPr>
      <w:r>
        <w:t xml:space="preserve">9. Endpoint: List Credit Notes for an Invoice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/api/invoice_credit_notes/&lt;id&gt;</w:t>
      </w:r>
    </w:p>
    <w:p>
      <w:pPr>
        <w:pStyle w:val="BodyText"/>
      </w:pPr>
      <w:r>
        <w:t xml:space="preserve">Returns every credit note (</w:t>
      </w:r>
      <w:r>
        <w:rPr>
          <w:rStyle w:val="VerbatimChar"/>
        </w:rPr>
        <w:t xml:space="preserve">out_refund</w:t>
      </w:r>
      <w:r>
        <w:t xml:space="preserve">) issued against the given invoice, in any state (draft, posted, or cancelled).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is the invoice’s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the same value returned by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. Useful to check what’s already been credited against an invoice before deciding whether to send another partial credit note (see the per-</w:t>
      </w:r>
      <w:r>
        <w:rPr>
          <w:rStyle w:val="VerbatimChar"/>
        </w:rPr>
        <w:t xml:space="preserve">price_unit</w:t>
      </w:r>
      <w:r>
        <w:t xml:space="preserve"> </w:t>
      </w:r>
      <w:r>
        <w:t xml:space="preserve">limit in section 5).</w:t>
      </w:r>
    </w:p>
    <w:bookmarkStart w:id="62" w:name="request-example-4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base64, urllib.request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"http://&lt;host&gt;/api/invoice_credit_notes/1201"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.encode()).decode()</w:t>
      </w:r>
      <w:r>
        <w:br/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(response.read())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"http://&lt;host&gt;/api/invoice_credit_notes/1201"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"admin:password"</w:t>
      </w:r>
    </w:p>
    <w:bookmarkEnd w:id="62"/>
    <w:bookmarkStart w:id="63" w:name="response-success-http-200-4"/>
    <w:p>
      <w:pPr>
        <w:pStyle w:val="Heading3"/>
      </w:pPr>
      <w:r>
        <w:t xml:space="preserve">Response (success —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1 credit note(s)"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"amount_untaxed"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"portal_pdf_url"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"http://&lt;host&gt;/my/invoices/1205?access_token=...&amp;report_type=pdf&amp;download=true"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 invoice with no credit notes returns</w:t>
      </w:r>
      <w:r>
        <w:t xml:space="preserve"> </w:t>
      </w:r>
      <w:r>
        <w:rPr>
          <w:rStyle w:val="VerbatimChar"/>
        </w:rPr>
        <w:t xml:space="preserve">"credit_notes": []</w:t>
      </w:r>
      <w:r>
        <w:t xml:space="preserve">, not an error.</w:t>
      </w:r>
    </w:p>
    <w:bookmarkEnd w:id="63"/>
    <w:bookmarkStart w:id="64" w:name="response-fields-1"/>
    <w:p>
      <w:pPr>
        <w:pStyle w:val="Heading3"/>
      </w:pPr>
      <w:r>
        <w:t xml:space="preserve">Response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66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invoice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passed in the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entry per credit note; same field shapes as the</w:t>
            </w:r>
            <w:r>
              <w:t xml:space="preserve"> </w:t>
            </w:r>
            <w:r>
              <w:rPr>
                <w:rStyle w:val="VerbatimChar"/>
              </w:rPr>
              <w:t xml:space="preserve">create_credit_note</w:t>
            </w:r>
            <w:r>
              <w:t xml:space="preserve"> </w:t>
            </w:r>
            <w:r>
              <w:t xml:space="preserve">response (section 5)</w:t>
            </w:r>
          </w:p>
        </w:tc>
      </w:tr>
    </w:tbl>
    <w:bookmarkEnd w:id="64"/>
    <w:bookmarkStart w:id="65" w:name="response-error-http-404"/>
    <w:p>
      <w:pPr>
        <w:pStyle w:val="Heading3"/>
      </w:pPr>
      <w:r>
        <w:t xml:space="preserve">Response (error — HTTP 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with id=&lt;id&gt; 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when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doesn’t exist or isn’t an invoice (e.g. it’s a credit note’s own id).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error-reference"/>
    <w:p>
      <w:pPr>
        <w:pStyle w:val="Heading2"/>
      </w:pPr>
      <w:r>
        <w:t xml:space="preserve">10. Error Reference</w:t>
      </w:r>
    </w:p>
    <w:p>
      <w:pPr>
        <w:pStyle w:val="BlockText"/>
      </w:pPr>
      <w:r>
        <w:rPr>
          <w:bCs/>
          <w:b/>
        </w:rPr>
        <w:t xml:space="preserve">Note on HTTP codes:</w:t>
      </w:r>
      <w:r>
        <w:t xml:space="preserve"> </w:t>
      </w:r>
      <w:r>
        <w:t xml:space="preserve">most business-validation errors in this connector are returned as</w:t>
      </w:r>
      <w:r>
        <w:t xml:space="preserve"> </w:t>
      </w:r>
      <w:r>
        <w:rPr>
          <w:bCs/>
          <w:b/>
        </w:rPr>
        <w:t xml:space="preserve">HTTP 500</w:t>
      </w:r>
      <w:r>
        <w:t xml:space="preserve"> </w:t>
      </w:r>
      <w:r>
        <w:t xml:space="preserve">with a descriptive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this connector does not use a fully granular REST status-code convention. Treat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text as the authoritative signal for what went wrong, not the HTTP code, except for the specific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404</w:t>
      </w:r>
      <w:r>
        <w:t xml:space="preserve"> </w:t>
      </w:r>
      <w:r>
        <w:t xml:space="preserve">cases listed explicitly below.</w:t>
      </w:r>
    </w:p>
    <w:bookmarkStart w:id="67" w:name="authentication-errors"/>
    <w:p>
      <w:pPr>
        <w:pStyle w:val="Heading3"/>
      </w:pPr>
      <w:r>
        <w:t xml:space="preserve">Authentication errors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 missing or malformed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credentials / invalid API key</w:t>
            </w:r>
          </w:p>
        </w:tc>
      </w:tr>
    </w:tbl>
    <w:bookmarkEnd w:id="67"/>
    <w:bookmarkStart w:id="68" w:name="request-shape-errors-http-400"/>
    <w:p>
      <w:pPr>
        <w:pStyle w:val="Heading3"/>
      </w:pPr>
      <w:r>
        <w:t xml:space="preserve">Request-shape errors (HTTP 400)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8"/>
        <w:gridCol w:w="4174"/>
        <w:gridCol w:w="33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 body must be 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endpoints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 '&lt;code&gt;' is not installed/active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create_credit_note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"invoice_id" must be an 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create_credit_note</w:t>
            </w:r>
          </w:p>
        </w:tc>
      </w:tr>
    </w:tbl>
    <w:bookmarkEnd w:id="68"/>
    <w:bookmarkStart w:id="69" w:name="validation-errors-invoices-http-500"/>
    <w:p>
      <w:pPr>
        <w:pStyle w:val="Heading3"/>
      </w:pPr>
      <w:r>
        <w:t xml:space="preserve">Validation errors — Invoices (HTTP 500)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"company"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 '&lt;name&gt;'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"partner.vat"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'Default Simplified Invoice Partner' configured for company '&lt;name&gt;' — please set it in Settings → Companies → Invoice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"lines" is required and must be non-empty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"tax_rate" is required on each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sale tax found for rate=&lt;rate&gt;% in company id=&lt;id&gt;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product found for type='&lt;type&gt;', tax=&lt;rate&gt;%</w:t>
            </w:r>
          </w:p>
        </w:tc>
      </w:tr>
    </w:tbl>
    <w:bookmarkEnd w:id="69"/>
    <w:bookmarkStart w:id="70" w:name="X557aff431f0a753a04e7f3f0a2256cef74b8285"/>
    <w:p>
      <w:pPr>
        <w:pStyle w:val="Heading3"/>
      </w:pPr>
      <w:r>
        <w:t xml:space="preserve">Validation errors — Credit Notes (HTTP 500 unless noted)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"invoice_id"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 with id=&lt;id&gt;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 '&lt;name&gt;' is not posted (state=&lt;state&gt;)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 note partner does not match original invoice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(plus every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Validation errors — Invoices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case above, for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company</w:t>
            </w:r>
            <w:r>
              <w:rPr>
                <w:iCs/>
                <w:i/>
              </w:rPr>
              <w:t xml:space="preserve">/</w:t>
            </w:r>
            <w:r>
              <w:rPr>
                <w:rStyle w:val="VerbatimChar"/>
                <w:iCs/>
                <w:i/>
              </w:rPr>
              <w:t xml:space="preserve">partner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lines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optional for credit notes)</w:t>
            </w:r>
          </w:p>
        </w:tc>
      </w:tr>
    </w:tbl>
    <w:bookmarkEnd w:id="70"/>
    <w:bookmarkStart w:id="71" w:name="validation-errors-credit-notes-http-400"/>
    <w:p>
      <w:pPr>
        <w:pStyle w:val="Heading3"/>
      </w:pPr>
      <w:r>
        <w:t xml:space="preserve">Validation errors — Credit Notes (HTTP 400)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 note line for '&lt;product_name&gt;' (total credited &lt;amount&gt;) exceeds invoice '&lt;name&gt;' invoiced amount for that product (&lt;amount&gt;)</w:t>
            </w:r>
          </w:p>
        </w:tc>
      </w:tr>
    </w:tbl>
    <w:bookmarkEnd w:id="71"/>
    <w:bookmarkStart w:id="72" w:name="validation-errors-update-partner"/>
    <w:p>
      <w:pPr>
        <w:pStyle w:val="Heading3"/>
      </w:pPr>
      <w:r>
        <w:t xml:space="preserve">Validation errors — Update Partner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"vat"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 with vat '&lt;vat&gt;' not found</w:t>
            </w:r>
          </w:p>
        </w:tc>
      </w:tr>
    </w:tbl>
    <w:bookmarkEnd w:id="72"/>
    <w:bookmarkStart w:id="73" w:name="server-error"/>
    <w:p>
      <w:pPr>
        <w:pStyle w:val="Heading3"/>
      </w:pPr>
      <w:r>
        <w:t xml:space="preserve">Server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"&lt;detail&gt;"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internal-flow"/>
    <w:p>
      <w:pPr>
        <w:pStyle w:val="Heading2"/>
      </w:pPr>
      <w:r>
        <w:t xml:space="preserve">11. Internal Flow</w:t>
      </w:r>
    </w:p>
    <w:bookmarkStart w:id="75" w:name="invoice"/>
    <w:p>
      <w:pPr>
        <w:pStyle w:val="Heading3"/>
      </w:pPr>
      <w:r>
        <w:t xml:space="preserve">Invoice</w:t>
      </w:r>
    </w:p>
    <w:p>
      <w:pPr>
        <w:pStyle w:val="SourceCode"/>
      </w:pPr>
      <w:r>
        <w:rPr>
          <w:rStyle w:val="VerbatimChar"/>
        </w:rPr>
        <w:t xml:space="preserve">1. Validate required fields</w:t>
      </w:r>
      <w:r>
        <w:br/>
      </w:r>
      <w:r>
        <w:rPr>
          <w:rStyle w:val="VerbatimChar"/>
        </w:rPr>
        <w:t xml:space="preserve">2. Look up company by exact name</w:t>
      </w:r>
      <w:r>
        <w:br/>
      </w:r>
      <w:r>
        <w:rPr>
          <w:rStyle w:val="VerbatimChar"/>
        </w:rPr>
        <w:t xml:space="preserve">3. Look up partner by VAT (or company's simplified partner if CONSUMIDOR_FINAL) → create if not found</w:t>
      </w:r>
      <w:r>
        <w:br/>
      </w:r>
      <w:r>
        <w:rPr>
          <w:rStyle w:val="VerbatimChar"/>
        </w:rPr>
        <w:t xml:space="preserve">4. Resolve lang (validate if provided; else fall back to partner/company) → write onto partner if provided and changed</w:t>
      </w:r>
      <w:r>
        <w:br/>
      </w:r>
      <w:r>
        <w:rPr>
          <w:rStyle w:val="VerbatimChar"/>
        </w:rPr>
        <w:t xml:space="preserve">5. Per line: select product by type + tax rate</w:t>
      </w:r>
      <w:r>
        <w:br/>
      </w:r>
      <w:r>
        <w:rPr>
          <w:rStyle w:val="VerbatimChar"/>
        </w:rPr>
        <w:t xml:space="preserve">6. Create account.move (draft, out_invoice)</w:t>
      </w:r>
      <w:r>
        <w:br/>
      </w:r>
      <w:r>
        <w:rPr>
          <w:rStyle w:val="VerbatimChar"/>
        </w:rPr>
        <w:t xml:space="preserve">7. action_post → posted</w:t>
      </w:r>
      <w:r>
        <w:br/>
      </w:r>
      <w:r>
        <w:rPr>
          <w:rStyle w:val="VerbatimChar"/>
        </w:rPr>
        <w:t xml:space="preserve">8. Force payment_state = paid</w:t>
      </w:r>
    </w:p>
    <w:bookmarkEnd w:id="75"/>
    <w:bookmarkStart w:id="76" w:name="credit-note"/>
    <w:p>
      <w:pPr>
        <w:pStyle w:val="Heading3"/>
      </w:pPr>
      <w:r>
        <w:t xml:space="preserve">Credit Note</w:t>
      </w:r>
    </w:p>
    <w:p>
      <w:pPr>
        <w:pStyle w:val="SourceCode"/>
      </w:pPr>
      <w:r>
        <w:rPr>
          <w:rStyle w:val="VerbatimChar"/>
        </w:rPr>
        <w:t xml:space="preserve">1. Validate required fields</w:t>
      </w:r>
      <w:r>
        <w:br/>
      </w:r>
      <w:r>
        <w:rPr>
          <w:rStyle w:val="VerbatimChar"/>
        </w:rPr>
        <w:t xml:space="preserve">2. Look up company by exact name</w:t>
      </w:r>
      <w:r>
        <w:br/>
      </w:r>
      <w:r>
        <w:rPr>
          <w:rStyle w:val="VerbatimChar"/>
        </w:rPr>
        <w:t xml:space="preserve">3. Look up original invoice by invoice_id + company; must be posted</w:t>
      </w:r>
      <w:r>
        <w:br/>
      </w:r>
      <w:r>
        <w:rPr>
          <w:rStyle w:val="VerbatimChar"/>
        </w:rPr>
        <w:t xml:space="preserve">4. Look up/create partner by VAT (same as invoice flow); must match original invoice's partner</w:t>
      </w:r>
      <w:r>
        <w:br/>
      </w:r>
      <w:r>
        <w:rPr>
          <w:rStyle w:val="VerbatimChar"/>
        </w:rPr>
        <w:t xml:space="preserve">5. Resolve lang (same as invoice flow)</w:t>
      </w:r>
      <w:r>
        <w:br/>
      </w:r>
      <w:r>
        <w:rPr>
          <w:rStyle w:val="VerbatimChar"/>
        </w:rPr>
        <w:t xml:space="preserve">6. Per line: select product by type + tax rate (free-form, not copied from the original invoice)</w:t>
      </w:r>
      <w:r>
        <w:br/>
      </w:r>
      <w:r>
        <w:rPr>
          <w:rStyle w:val="VerbatimChar"/>
        </w:rPr>
        <w:t xml:space="preserve">7. Create account.move (draft, out_refund, reversed_entry_id = original invoice)</w:t>
      </w:r>
      <w:r>
        <w:br/>
      </w:r>
      <w:r>
        <w:rPr>
          <w:rStyle w:val="VerbatimChar"/>
        </w:rPr>
        <w:t xml:space="preserve">8. Guard: per product, total credited (this note + prior posted credit notes against the same original) must not exceed what was invoiced for that product on the original → 400 if exceeded</w:t>
      </w:r>
      <w:r>
        <w:br/>
      </w:r>
      <w:r>
        <w:rPr>
          <w:rStyle w:val="VerbatimChar"/>
        </w:rPr>
        <w:t xml:space="preserve">9. action_post → posted</w:t>
      </w:r>
      <w:r>
        <w:br/>
      </w:r>
      <w:r>
        <w:rPr>
          <w:rStyle w:val="VerbatimChar"/>
        </w:rPr>
        <w:t xml:space="preserve">10. Reconcile the credit note's receivable line against the original invoice's</w:t>
      </w:r>
    </w:p>
    <w:bookmarkEnd w:id="76"/>
    <w:bookmarkStart w:id="77" w:name="update-partner"/>
    <w:p>
      <w:pPr>
        <w:pStyle w:val="Heading3"/>
      </w:pPr>
      <w:r>
        <w:t xml:space="preserve">Update Partner</w:t>
      </w:r>
    </w:p>
    <w:p>
      <w:pPr>
        <w:pStyle w:val="SourceCode"/>
      </w:pPr>
      <w:r>
        <w:rPr>
          <w:rStyle w:val="VerbatimChar"/>
        </w:rPr>
        <w:t xml:space="preserve">1. Validate vat is present</w:t>
      </w:r>
      <w:r>
        <w:br/>
      </w:r>
      <w:r>
        <w:rPr>
          <w:rStyle w:val="VerbatimChar"/>
        </w:rPr>
        <w:t xml:space="preserve">2. Search partner by vat (including archived/inactive partners)</w:t>
      </w:r>
      <w:r>
        <w:br/>
      </w:r>
      <w:r>
        <w:rPr>
          <w:rStyle w:val="VerbatimChar"/>
        </w:rPr>
        <w:t xml:space="preserve">3. If not found → 404, nothing written</w:t>
      </w:r>
      <w:r>
        <w:br/>
      </w:r>
      <w:r>
        <w:rPr>
          <w:rStyle w:val="VerbatimChar"/>
        </w:rPr>
        <w:t xml:space="preserve">4. Write only the fields present in the payload</w:t>
      </w:r>
    </w:p>
    <w:p>
      <w:pPr>
        <w:pStyle w:val="FirstParagraph"/>
      </w:pPr>
      <w:r>
        <w:t xml:space="preserve">On any error, the transaction is rolled back (savepoint) — this applies to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create_credit_note</w:t>
      </w:r>
      <w:r>
        <w:t xml:space="preserve">;</w:t>
      </w:r>
      <w:r>
        <w:t xml:space="preserve"> </w:t>
      </w:r>
      <w:r>
        <w:rPr>
          <w:rStyle w:val="VerbatimChar"/>
        </w:rPr>
        <w:t xml:space="preserve">update_partner</w:t>
      </w:r>
      <w:r>
        <w:t xml:space="preserve">’s only side effect (the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) is likewise inside a savepoint.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integration-notes"/>
    <w:p>
      <w:pPr>
        <w:pStyle w:val="Heading2"/>
      </w:pPr>
      <w:r>
        <w:t xml:space="preserve">12. Integration Notes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Partner reused by VAT:</w:t>
      </w:r>
      <w:r>
        <w:t xml:space="preserve"> </w:t>
      </w:r>
      <w:r>
        <w:t xml:space="preserve">if the VAT already exists in Odoo, the existing partner is used and every other field in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 </w:t>
      </w:r>
      <w:r>
        <w:t xml:space="preserve">is ignored —</w:t>
      </w:r>
      <w:r>
        <w:t xml:space="preserve"> </w:t>
      </w:r>
      <w:r>
        <w:rPr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lang</w:t>
      </w:r>
      <w:r>
        <w:t xml:space="preserve">, which is written through on every call. To fix an existing partner’s billing details, call</w:t>
      </w:r>
      <w:r>
        <w:t xml:space="preserve"> </w:t>
      </w:r>
      <w:r>
        <w:rPr>
          <w:rStyle w:val="VerbatimChar"/>
        </w:rPr>
        <w:t xml:space="preserve">/api/update_partner</w:t>
      </w:r>
      <w:r>
        <w:t xml:space="preserve"> </w:t>
      </w:r>
      <w:r>
        <w:t xml:space="preserve">instead.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Partners are archived by design:</w:t>
      </w:r>
      <w:r>
        <w:t xml:space="preserve"> </w:t>
      </w:r>
      <w:r>
        <w:t xml:space="preserve">partners created by this connector are stored with</w:t>
      </w:r>
      <w:r>
        <w:t xml:space="preserve"> </w:t>
      </w:r>
      <w:r>
        <w:rPr>
          <w:rStyle w:val="VerbatimChar"/>
        </w:rPr>
        <w:t xml:space="preserve">active = False</w:t>
      </w:r>
      <w:r>
        <w:t xml:space="preserve">. This is intentional (they’re kept out of normal contact lists) — it does not affect invoicing or lookups, which always search including archived records.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Final Consumer: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"CONSUMIDOR_FINAL"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vat</w:t>
      </w:r>
      <w:r>
        <w:t xml:space="preserve"> </w:t>
      </w:r>
      <w:r>
        <w:t xml:space="preserve">field is a sentinel — it resolves to the company’s configured</w:t>
      </w:r>
      <w:r>
        <w:t xml:space="preserve"> </w:t>
      </w:r>
      <w:r>
        <w:t xml:space="preserve">“</w:t>
      </w:r>
      <w:r>
        <w:t xml:space="preserve">Default Simplified Invoice Partner</w:t>
      </w:r>
      <w:r>
        <w:t xml:space="preserve">”</w:t>
      </w:r>
      <w:r>
        <w:t xml:space="preserve"> </w:t>
      </w:r>
      <w:r>
        <w:t xml:space="preserve">instead of a VAT lookup. That partner must be configured in Odoo beforehand (Settings → Companies → Invoice Connector) and is never modified by this API, including its</w:t>
      </w:r>
      <w:r>
        <w:t xml:space="preserve"> </w:t>
      </w:r>
      <w:r>
        <w:rPr>
          <w:rStyle w:val="VerbatimChar"/>
        </w:rPr>
        <w:t xml:space="preserve">lang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Generic products:</w:t>
      </w:r>
      <w:r>
        <w:t xml:space="preserve"> </w:t>
      </w:r>
      <w:r>
        <w:t xml:space="preserve">the product is selected by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tax_rate</w:t>
      </w:r>
      <w:r>
        <w:t xml:space="preserve">. A product of the correct type with the matching sale tax must exist in Odoo for each combination used.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PDF without authentication:</w:t>
      </w:r>
      <w:r>
        <w:t xml:space="preserve"> </w:t>
      </w:r>
      <w:r>
        <w:rPr>
          <w:rStyle w:val="VerbatimChar"/>
        </w:rPr>
        <w:t xml:space="preserve">portal_pdf_url</w:t>
      </w:r>
      <w:r>
        <w:t xml:space="preserve"> </w:t>
      </w:r>
      <w:r>
        <w:t xml:space="preserve">includes a permanent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. It can be accessed directly without Odoo credentials.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PDF with authentication:</w:t>
      </w:r>
      <w:r>
        <w:t xml:space="preserve"> </w:t>
      </w:r>
      <w:r>
        <w:rPr>
          <w:rStyle w:val="VerbatimChar"/>
        </w:rPr>
        <w:t xml:space="preserve">GET /api/invoice_pdf/&lt;id&gt;</w:t>
      </w:r>
      <w:r>
        <w:t xml:space="preserve"> </w:t>
      </w:r>
      <w:r>
        <w:t xml:space="preserve">(section 8) is the alternative when the caller is your own integration and you’d rather authenticate with the same header as every other call than store/pass around</w:t>
      </w:r>
      <w:r>
        <w:t xml:space="preserve"> </w:t>
      </w:r>
      <w:r>
        <w:rPr>
          <w:rStyle w:val="VerbatimChar"/>
        </w:rPr>
        <w:t xml:space="preserve">portal_pdf_url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Checking what’s already been credited:</w:t>
      </w:r>
      <w:r>
        <w:t xml:space="preserve"> </w:t>
      </w:r>
      <w:r>
        <w:rPr>
          <w:rStyle w:val="VerbatimChar"/>
        </w:rPr>
        <w:t xml:space="preserve">GET /api/invoice_credit_notes/&lt;id&gt;</w:t>
      </w:r>
      <w:r>
        <w:t xml:space="preserve"> </w:t>
      </w:r>
      <w:r>
        <w:t xml:space="preserve">(section 9) lists every credit note issued against an invoice — use it before sending a partial credit note if you’re not certain how much has already been credited at a given</w:t>
      </w:r>
      <w:r>
        <w:t xml:space="preserve"> </w:t>
      </w:r>
      <w:r>
        <w:rPr>
          <w:rStyle w:val="VerbatimChar"/>
        </w:rPr>
        <w:t xml:space="preserve">price_unit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Batch partial failure:</w:t>
      </w:r>
      <w:r>
        <w:t xml:space="preserve"> </w:t>
      </w:r>
      <w:r>
        <w:t xml:space="preserve">each item has its own savepoint. An error on one item does not roll back items already processed.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 notes are full or partial, on the same endpoint: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for a full credit note (the connector copies the original invoice’s lines automatically); provide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for a partial one. When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is provided, the connector does not copy, look up, or cap against the original invoice’s own lines — you are responsible for not over-crediting.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payment_state</w:t>
      </w:r>
      <w:r>
        <w:rPr>
          <w:bCs/>
          <w:b/>
        </w:rPr>
        <w:t xml:space="preserve">:</w:t>
      </w:r>
      <w:r>
        <w:t xml:space="preserve"> </w:t>
      </w:r>
      <w:r>
        <w:t xml:space="preserve">invoices are marked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at creation (this connector doesn’t model real payment collection). Once a credit note is reconciled against an invoice, the invoice’s</w:t>
      </w:r>
      <w:r>
        <w:t xml:space="preserve"> </w:t>
      </w:r>
      <w:r>
        <w:rPr>
          <w:rStyle w:val="VerbatimChar"/>
        </w:rPr>
        <w:t xml:space="preserve">payment_state</w:t>
      </w:r>
      <w:r>
        <w:t xml:space="preserve">/</w:t>
      </w:r>
      <w:r>
        <w:rPr>
          <w:rStyle w:val="VerbatimChar"/>
        </w:rPr>
        <w:t xml:space="preserve">amount_residual</w:t>
      </w:r>
      <w:r>
        <w:t xml:space="preserve"> </w:t>
      </w:r>
      <w:r>
        <w:t xml:space="preserve">reflect the real remaining balance instead of the forced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"partial"</w:t>
      </w:r>
      <w:r>
        <w:t xml:space="preserve"> </w:t>
      </w:r>
      <w:r>
        <w:t xml:space="preserve">for a partial credit note,</w:t>
      </w:r>
      <w:r>
        <w:t xml:space="preserve"> </w:t>
      </w:r>
      <w:r>
        <w:rPr>
          <w:rStyle w:val="VerbatimChar"/>
        </w:rPr>
        <w:t xml:space="preserve">"reversed"</w:t>
      </w:r>
      <w:r>
        <w:t xml:space="preserve"> </w:t>
      </w:r>
      <w:r>
        <w:t xml:space="preserve">for a full 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Language must be fully installed, not just active: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only has visible effect (translated PDFs) if that language’s translations are loaded in Odoo, not merely present in the languages list.</w:t>
      </w:r>
    </w:p>
    <w:p>
      <w:r>
        <w:pict>
          <v:rect style="width:0;height:1.5pt" o:hralign="center" o:hrstd="t" o:hr="t"/>
        </w:pict>
      </w:r>
    </w:p>
    <w:bookmarkEnd w:id="79"/>
    <w:bookmarkStart w:id="82" w:name="static-id-reference"/>
    <w:p>
      <w:pPr>
        <w:pStyle w:val="Heading2"/>
      </w:pPr>
      <w:r>
        <w:t xml:space="preserve">Static ID Reference</w:t>
      </w:r>
    </w:p>
    <w:bookmarkStart w:id="80" w:name="countries-res.country"/>
    <w:p>
      <w:pPr>
        <w:pStyle w:val="Heading3"/>
      </w:pPr>
      <w:r>
        <w:t xml:space="preserve">Countries (</w:t>
      </w:r>
      <w:r>
        <w:rPr>
          <w:rStyle w:val="VerbatimChar"/>
        </w:rPr>
        <w:t xml:space="preserve">res.country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</w:tr>
    </w:tbl>
    <w:bookmarkEnd w:id="80"/>
    <w:bookmarkStart w:id="81" w:name="language-codes"/>
    <w:p>
      <w:pPr>
        <w:pStyle w:val="Heading3"/>
      </w:pPr>
      <w:r>
        <w:t xml:space="preserve">Language Codes</w:t>
      </w:r>
    </w:p>
    <w:p>
      <w:pPr>
        <w:pStyle w:val="FirstParagraph"/>
      </w:pPr>
      <w:r>
        <w:t xml:space="preserve">The codes below are the full set Odoo 19 ships by default (</w:t>
      </w:r>
      <w:r>
        <w:rPr>
          <w:rStyle w:val="VerbatimChar"/>
        </w:rPr>
        <w:t xml:space="preserve">res.lang</w:t>
      </w:r>
      <w:r>
        <w:t xml:space="preserve">). A code only works in 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field if it is</w:t>
      </w:r>
      <w:r>
        <w:t xml:space="preserve"> </w:t>
      </w:r>
      <w:r>
        <w:rPr>
          <w:bCs/>
          <w:b/>
        </w:rPr>
        <w:t xml:space="preserve">installed and active</w:t>
      </w:r>
      <w:r>
        <w:t xml:space="preserve"> </w:t>
      </w:r>
      <w:r>
        <w:t xml:space="preserve">on the target Odoo instance (</w:t>
      </w:r>
      <w:r>
        <w:rPr>
          <w:rStyle w:val="VerbatimChar"/>
        </w:rPr>
        <w:t xml:space="preserve">Settings → Translations → Languages</w:t>
      </w:r>
      <w:r>
        <w:t xml:space="preserve">) — not every code in this list is necessarily available on every instance. Ask your Odoo administrator which ones are installed if unsure.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1"/>
        <w:gridCol w:w="2895"/>
        <w:gridCol w:w="1021"/>
        <w:gridCol w:w="2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sq_AL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Albanian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lv_LV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Latvian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am_ET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Amharic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lt_LT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Lithuanian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(Syria)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lb_LU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Luxembourgish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mk_MK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Macedonian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Azerbaijani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ms_MY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Malayalam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Belarusian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mn_MN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Mongolian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Norwegian Bokmål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bs_BA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Bosnian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fa_IR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bg_BG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Bulgarian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pl_PL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Burmese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 (AO)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 (BR)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Chinese, Simplified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zh_HK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Chinese, Traditional (HK)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ro_RO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zh_TW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Chinese, Traditional (TW)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ru_RU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Croatian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sr@Cyrl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Serbian (Cyrillic)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cs_CZ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sr@latin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Serbian (Latin)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da_DK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sk_SK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Slovak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 (BE)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sl_SI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Slovenian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nl_NL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(AU)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(BO)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(CL)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(NZ)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(UK)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et_EE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Estonian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(GT)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fi_FI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Finnish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(Latin America)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(BE)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(MX)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fr_CA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(CA)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fr_CH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(CH)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fr_FR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Galician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(UY)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ka_GE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de_CH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(CH)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de_DE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Swahili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el_GR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sv_SE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Gujarati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tl_PH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Tagalog / Filipino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he_IL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Telugu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th_TH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hu_HU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Ukrainian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uz_UZ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Uzbek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ja_JP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vi_VN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kab_DZ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Kabyle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km_KH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ko_KP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(KP)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ko_KR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(KR)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lo_LA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"/>
    <w:bookmarkEnd w:id="82"/>
    <w:bookmarkEnd w:id="83"/>
    <w:sectPr>
      <w:headerReference r:id="rId10" w:type="default"/>
      <w:headerReference r:id="rId11" w:type="first"/>
      <w:headerReference r:id="rId9" w:type="even"/>
      <w:footerReference r:id="rId13" w:type="default"/>
      <w:footerReference r:id="rId12" w:type="first"/>
      <w:pgSz w:h="15840" w:orient="portrait" w:w="12240"/>
      <w:pgMar w:bottom="1920" w:footer="0" w:header="747" w:left="1329" w:right="1284" w:top="2376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eis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Geist Mono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Noto Sans Symbols">
    <w:embedRegular w:fontKey="{00000000-0000-0000-0000-000000000000}" r:id="rId21" w:subsetted="0"/>
    <w:embedBold w:fontKey="{00000000-0000-0000-0000-000000000000}" r:id="rId22" w:subsetted="0"/>
  </w:font>
  <w:font w:name="Geist Light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  <w:font w:name="Geist Mono Light">
    <w:embedRegular w:fontKey="{00000000-0000-0000-0000-000000000000}" r:id="rId27" w:subsetted="0"/>
    <w:embedBold w:fontKey="{00000000-0000-0000-0000-000000000000}" r:id="rId28" w:subsetted="0"/>
    <w:embedItalic w:fontKey="{00000000-0000-0000-0000-000000000000}" r:id="rId29" w:subsetted="0"/>
    <w:embedBoldItalic w:fontKey="{00000000-0000-0000-0000-000000000000}" r:id="rId30" w:subsetted="0"/>
  </w:font>
  <w:font w:name="Geist Mono Medium">
    <w:embedRegular w:fontKey="{00000000-0000-0000-0000-000000000000}" r:id="rId31" w:subsetted="0"/>
    <w:embedBold w:fontKey="{00000000-0000-0000-0000-000000000000}" r:id="rId32" w:subsetted="0"/>
    <w:embedItalic w:fontKey="{00000000-0000-0000-0000-000000000000}" r:id="rId33" w:subsetted="0"/>
    <w:embedBoldItalic w:fontKey="{00000000-0000-0000-0000-000000000000}" r:id="rId3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50"/>
        <w:tab w:val="left" w:leader="none" w:pos="9350"/>
      </w:tabs>
      <w:spacing w:after="0" w:before="0" w:line="276" w:lineRule="auto"/>
      <w:ind w:left="0" w:right="0" w:firstLine="0"/>
      <w:jc w:val="left"/>
      <w:rPr>
        <w:rFonts w:ascii="Liberation Serif" w:cs="Liberation Serif" w:eastAsia="Liberation Serif" w:hAnsi="Liberation Serif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5923.0" w:type="dxa"/>
      <w:jc w:val="left"/>
      <w:tblInd w:w="368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559"/>
      <w:gridCol w:w="2531"/>
      <w:gridCol w:w="1833"/>
      <w:tblGridChange w:id="0">
        <w:tblGrid>
          <w:gridCol w:w="1559"/>
          <w:gridCol w:w="2531"/>
          <w:gridCol w:w="1833"/>
        </w:tblGrid>
      </w:tblGridChange>
    </w:tblGrid>
    <w:tr>
      <w:trPr>
        <w:cantSplit w:val="0"/>
        <w:trHeight w:val="328" w:hRule="atLeast"/>
        <w:tblHeader w:val="0"/>
      </w:trPr>
      <w:tc>
        <w:tcPr/>
        <w:p w:rsidR="00000000" w:rsidDel="00000000" w:rsidP="00000000" w:rsidRDefault="00000000" w:rsidRPr="00000000" w14:paraId="00000087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322" w:right="0" w:hanging="284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ARXI.PT</w:t>
          </w:r>
        </w:p>
      </w:tc>
      <w:tc>
        <w:tcPr/>
        <w:p w:rsidR="00000000" w:rsidDel="00000000" w:rsidP="00000000" w:rsidRDefault="00000000" w:rsidRPr="00000000" w14:paraId="00000088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465" w:right="0" w:hanging="284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+351 244 237 810</w:t>
          </w:r>
        </w:p>
      </w:tc>
      <w:tc>
        <w:tcPr/>
        <w:p w:rsidR="00000000" w:rsidDel="00000000" w:rsidP="00000000" w:rsidRDefault="00000000" w:rsidRPr="00000000" w14:paraId="00000089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324" w:right="0" w:hanging="283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GERAL@ARXI.PT</w:t>
          </w:r>
        </w:p>
      </w:tc>
    </w:tr>
  </w:tbl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  <w:tab w:val="center" w:leader="none" w:pos="4986"/>
        <w:tab w:val="right" w:leader="none" w:pos="9972"/>
      </w:tabs>
      <w:spacing w:after="0" w:line="240" w:lineRule="auto"/>
      <w:jc w:val="right"/>
      <w:rPr>
        <w:rFonts w:ascii="Lato" w:cs="Lato" w:eastAsia="Lato" w:hAnsi="Lato"/>
        <w:color w:val="999999"/>
        <w:sz w:val="24"/>
        <w:szCs w:val="24"/>
        <w:highlight w:val="white"/>
      </w:rPr>
    </w:pPr>
    <w:r w:rsidDel="00000000" w:rsidR="00000000" w:rsidRPr="00000000">
      <w:rPr>
        <w:rFonts w:ascii="Lato" w:cs="Lato" w:eastAsia="Lato" w:hAnsi="Lato"/>
        <w:color w:val="999999"/>
        <w:sz w:val="24"/>
        <w:szCs w:val="24"/>
        <w:highlight w:val="white"/>
        <w:rtl w:val="0"/>
      </w:rPr>
      <w:t xml:space="preserve">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-1003075</wp:posOffset>
          </wp:positionH>
          <wp:positionV relativeFrom="paragraph">
            <wp:posOffset>-675084</wp:posOffset>
          </wp:positionV>
          <wp:extent cx="14491560" cy="115456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91560" cy="115456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</w:tabs>
      <w:spacing w:after="0" w:line="288" w:lineRule="auto"/>
      <w:ind w:left="709" w:firstLine="0"/>
      <w:jc w:val="center"/>
      <w:rPr>
        <w:rFonts w:ascii="Geist Mono" w:cs="Geist Mono" w:eastAsia="Geist Mono" w:hAnsi="Geist Mono"/>
        <w:color w:val="eeece1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4"/>
      <w:tblW w:w="5923.0" w:type="dxa"/>
      <w:jc w:val="left"/>
      <w:tblInd w:w="368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559"/>
      <w:gridCol w:w="2531"/>
      <w:gridCol w:w="1833"/>
      <w:tblGridChange w:id="0">
        <w:tblGrid>
          <w:gridCol w:w="1559"/>
          <w:gridCol w:w="2531"/>
          <w:gridCol w:w="1833"/>
        </w:tblGrid>
      </w:tblGridChange>
    </w:tblGrid>
    <w:tr>
      <w:trPr>
        <w:cantSplit w:val="0"/>
        <w:trHeight w:val="328" w:hRule="atLeast"/>
        <w:tblHeader w:val="0"/>
      </w:trPr>
      <w:tc>
        <w:tcPr/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322" w:right="0" w:hanging="284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ARXI.PT</w:t>
          </w:r>
        </w:p>
      </w:tc>
      <w:tc>
        <w:tcPr/>
        <w:p w:rsidR="00000000" w:rsidDel="00000000" w:rsidP="00000000" w:rsidRDefault="00000000" w:rsidRPr="00000000" w14:paraId="0000008D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465" w:right="0" w:hanging="284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+351 244 237 810</w:t>
          </w:r>
        </w:p>
      </w:tc>
      <w:tc>
        <w:tcPr/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324" w:right="0" w:hanging="283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GERAL@ARXI.PT</w:t>
          </w:r>
        </w:p>
      </w:tc>
    </w:tr>
  </w:tbl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</w:tabs>
      <w:spacing w:after="0" w:line="288" w:lineRule="auto"/>
      <w:jc w:val="center"/>
      <w:rPr>
        <w:rFonts w:ascii="Geist Mono" w:cs="Geist Mono" w:eastAsia="Geist Mono" w:hAnsi="Geist Mono"/>
        <w:color w:val="eeece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</w:tabs>
      <w:spacing w:after="0" w:line="288" w:lineRule="auto"/>
      <w:jc w:val="center"/>
      <w:rPr>
        <w:rFonts w:ascii="Lato" w:cs="Lato" w:eastAsia="Lato" w:hAnsi="Lato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numPr>
        <w:ilvl w:val="0"/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50"/>
        <w:tab w:val="left" w:leader="none" w:pos="9350"/>
        <w:tab w:val="center" w:leader="none" w:pos="4513"/>
        <w:tab w:val="right" w:leader="none" w:pos="9026"/>
      </w:tabs>
      <w:spacing w:after="0" w:before="0" w:line="240" w:lineRule="auto"/>
      <w:ind w:left="720" w:right="0" w:hanging="360"/>
      <w:jc w:val="right"/>
      <w:rPr>
        <w:rFonts w:ascii="Geist Mono Medium" w:cs="Geist Mono Medium" w:eastAsia="Geist Mono Medium" w:hAnsi="Geist Mono Medium"/>
        <w:b w:val="0"/>
        <w:bCs w:val="0"/>
        <w:i w:val="0"/>
        <w:iCs w:val="0"/>
        <w:smallCaps w:val="0"/>
        <w:strike w:val="0"/>
        <w:color w:val="999b9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ist Mono Medium" w:cs="Geist Mono Medium" w:eastAsia="Geist Mono Medium" w:hAnsi="Geist Mono Medium"/>
        <w:b w:val="0"/>
        <w:bCs w:val="0"/>
        <w:i w:val="0"/>
        <w:iCs w:val="0"/>
        <w:smallCaps w:val="0"/>
        <w:strike w:val="0"/>
        <w:color w:val="999b9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tabs>
        <w:tab w:val="left" w:leader="none" w:pos="9350"/>
        <w:tab w:val="left" w:leader="none" w:pos="9350"/>
        <w:tab w:val="left" w:leader="none" w:pos="9350"/>
        <w:tab w:val="center" w:leader="none" w:pos="4813"/>
        <w:tab w:val="right" w:leader="none" w:pos="9627"/>
      </w:tabs>
      <w:ind w:right="360"/>
      <w:rPr>
        <w:rFonts w:ascii="Liberation Serif" w:cs="Liberation Serif" w:eastAsia="Liberation Serif" w:hAnsi="Liberation Serif"/>
        <w:color w:val="000000"/>
        <w:sz w:val="24"/>
        <w:szCs w:val="24"/>
      </w:rPr>
    </w:pPr>
    <w:r w:rsidDel="00000000" w:rsidR="00000000" w:rsidRPr="00000000">
      <w:rPr>
        <w:rFonts w:ascii="Liberation Serif" w:cs="Liberation Serif" w:eastAsia="Liberation Serif" w:hAnsi="Liberation Serif"/>
        <w:color w:val="000000"/>
        <w:sz w:val="24"/>
        <w:szCs w:val="24"/>
      </w:rPr>
      <w:drawing>
        <wp:inline distB="0" distT="0" distL="0" distR="0">
          <wp:extent cx="1357439" cy="34686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439" cy="3468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Liberation Serif" w:cs="Liberation Serif" w:eastAsia="Liberation Serif" w:hAnsi="Liberation Serif"/>
        <w:color w:val="000000"/>
        <w:sz w:val="24"/>
        <w:szCs w:val="24"/>
        <w:rtl w:val="0"/>
      </w:rPr>
      <w:t xml:space="preserve">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  <w:tab w:val="center" w:leader="none" w:pos="4813"/>
        <w:tab w:val="right" w:leader="none" w:pos="9627"/>
      </w:tabs>
      <w:spacing w:after="0" w:line="240" w:lineRule="auto"/>
      <w:jc w:val="left"/>
      <w:rPr>
        <w:rFonts w:ascii="Liberation Serif" w:cs="Liberation Serif" w:eastAsia="Liberation Serif" w:hAnsi="Liberation Serif"/>
        <w:color w:val="000000"/>
        <w:sz w:val="24"/>
        <w:szCs w:val="24"/>
      </w:rPr>
    </w:pPr>
    <w:r w:rsidDel="00000000" w:rsidR="00000000" w:rsidRPr="00000000">
      <w:rPr>
        <w:rFonts w:ascii="Liberation Serif" w:cs="Liberation Serif" w:eastAsia="Liberation Serif" w:hAnsi="Liberation Serif"/>
        <w:color w:val="000000"/>
        <w:sz w:val="24"/>
        <w:szCs w:val="24"/>
      </w:rPr>
      <w:drawing>
        <wp:inline distB="0" distT="0" distL="0" distR="0">
          <wp:extent cx="1611401" cy="411764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1401" cy="4117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-882369</wp:posOffset>
          </wp:positionH>
          <wp:positionV relativeFrom="paragraph">
            <wp:posOffset>2040255</wp:posOffset>
          </wp:positionV>
          <wp:extent cx="8850302" cy="160605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0302" cy="160605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-1098354</wp:posOffset>
          </wp:positionH>
          <wp:positionV relativeFrom="paragraph">
            <wp:posOffset>3525161</wp:posOffset>
          </wp:positionV>
          <wp:extent cx="8336547" cy="6158104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36547" cy="61581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50"/>
        <w:tab w:val="left" w:leader="none" w:pos="9350"/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Geist Light" w:cs="Geist Light" w:eastAsia="Geist Light" w:hAnsi="Geist Light"/>
        <w:b w:val="0"/>
        <w:bCs w:val="0"/>
        <w:i w:val="0"/>
        <w:iCs w:val="0"/>
        <w:smallCaps w:val="0"/>
        <w:strike w:val="0"/>
        <w:color w:val="373c3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ist Light" w:cs="Geist Light" w:eastAsia="Geist Light" w:hAnsi="Geist Light"/>
        <w:b w:val="0"/>
        <w:bCs w:val="0"/>
        <w:i w:val="0"/>
        <w:iCs w:val="0"/>
        <w:smallCaps w:val="0"/>
        <w:strike w:val="0"/>
        <w:color w:val="373c36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50"/>
        <w:tab w:val="left" w:leader="none" w:pos="9350"/>
        <w:tab w:val="center" w:leader="none" w:pos="4513"/>
        <w:tab w:val="right" w:leader="none" w:pos="9026"/>
      </w:tabs>
      <w:spacing w:after="0" w:before="0" w:line="240" w:lineRule="auto"/>
      <w:ind w:left="0" w:right="360" w:firstLine="0"/>
      <w:jc w:val="both"/>
      <w:rPr>
        <w:rFonts w:ascii="Geist Light" w:cs="Geist Light" w:eastAsia="Geist Light" w:hAnsi="Geist Light"/>
        <w:b w:val="0"/>
        <w:bCs w:val="0"/>
        <w:i w:val="0"/>
        <w:iCs w:val="0"/>
        <w:smallCaps w:val="0"/>
        <w:strike w:val="0"/>
        <w:color w:val="373c3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hanging="480" w:left="720"/>
      </w:pPr>
      <w:rPr>
        <w:u w:val="none"/>
      </w:rPr>
    </w:lvl>
    <w:lvl w:ilvl="1">
      <w:start w:val="0"/>
      <w:numFmt w:val="bullet"/>
      <w:lvlText w:val="–"/>
      <w:lvlJc w:val="left"/>
      <w:pPr>
        <w:ind w:hanging="480" w:left="1440"/>
      </w:pPr>
      <w:rPr>
        <w:u w:val="none"/>
      </w:rPr>
    </w:lvl>
    <w:lvl w:ilvl="2">
      <w:start w:val="0"/>
      <w:numFmt w:val="bullet"/>
      <w:lvlText w:val="•"/>
      <w:lvlJc w:val="left"/>
      <w:pPr>
        <w:ind w:hanging="480" w:left="2160"/>
      </w:pPr>
      <w:rPr>
        <w:u w:val="none"/>
      </w:rPr>
    </w:lvl>
    <w:lvl w:ilvl="3">
      <w:start w:val="0"/>
      <w:numFmt w:val="bullet"/>
      <w:lvlText w:val="–"/>
      <w:lvlJc w:val="left"/>
      <w:pPr>
        <w:ind w:hanging="480" w:left="2880"/>
      </w:pPr>
      <w:rPr>
        <w:u w:val="none"/>
      </w:rPr>
    </w:lvl>
    <w:lvl w:ilvl="4">
      <w:start w:val="0"/>
      <w:numFmt w:val="bullet"/>
      <w:lvlText w:val="•"/>
      <w:lvlJc w:val="left"/>
      <w:pPr>
        <w:ind w:hanging="480" w:left="3600"/>
      </w:pPr>
      <w:rPr>
        <w:u w:val="none"/>
      </w:rPr>
    </w:lvl>
    <w:lvl w:ilvl="5">
      <w:start w:val="0"/>
      <w:numFmt w:val="bullet"/>
      <w:lvlText w:val="–"/>
      <w:lvlJc w:val="left"/>
      <w:pPr>
        <w:ind w:hanging="480" w:left="4320"/>
      </w:pPr>
      <w:rPr>
        <w:u w:val="none"/>
      </w:rPr>
    </w:lvl>
    <w:lvl w:ilvl="6">
      <w:start w:val="0"/>
      <w:numFmt w:val="bullet"/>
      <w:lvlText w:val="•"/>
      <w:lvlJc w:val="left"/>
      <w:pPr>
        <w:ind w:hanging="480" w:left="5040"/>
      </w:pPr>
      <w:rPr>
        <w:u w:val="none"/>
      </w:rPr>
    </w:lvl>
    <w:lvl w:ilvl="7">
      <w:start w:val="0"/>
      <w:numFmt w:val="bullet"/>
      <w:lvlText w:val="–"/>
      <w:lvlJc w:val="left"/>
      <w:pPr>
        <w:ind w:hanging="480" w:left="5760"/>
      </w:pPr>
      <w:rPr>
        <w:u w:val="none"/>
      </w:rPr>
    </w:lvl>
    <w:lvl w:ilvl="8">
      <w:start w:val="0"/>
      <w:numFmt w:val="bullet"/>
      <w:lvlText w:val="•"/>
      <w:lvlJc w:val="left"/>
      <w:pPr>
        <w:ind w:hanging="480" w:left="648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hanging="480" w:left="720"/>
      </w:pPr>
      <w:rPr>
        <w:u w:val="none"/>
      </w:rPr>
    </w:lvl>
    <w:lvl w:ilvl="1">
      <w:start w:val="0"/>
      <w:numFmt w:val="bullet"/>
      <w:lvlText w:val="–"/>
      <w:lvlJc w:val="left"/>
      <w:pPr>
        <w:ind w:hanging="480" w:left="1440"/>
      </w:pPr>
      <w:rPr>
        <w:u w:val="none"/>
      </w:rPr>
    </w:lvl>
    <w:lvl w:ilvl="2">
      <w:start w:val="0"/>
      <w:numFmt w:val="bullet"/>
      <w:lvlText w:val="•"/>
      <w:lvlJc w:val="left"/>
      <w:pPr>
        <w:ind w:hanging="480" w:left="2160"/>
      </w:pPr>
      <w:rPr>
        <w:u w:val="none"/>
      </w:rPr>
    </w:lvl>
    <w:lvl w:ilvl="3">
      <w:start w:val="0"/>
      <w:numFmt w:val="bullet"/>
      <w:lvlText w:val="–"/>
      <w:lvlJc w:val="left"/>
      <w:pPr>
        <w:ind w:hanging="480" w:left="2880"/>
      </w:pPr>
      <w:rPr>
        <w:u w:val="none"/>
      </w:rPr>
    </w:lvl>
    <w:lvl w:ilvl="4">
      <w:start w:val="0"/>
      <w:numFmt w:val="bullet"/>
      <w:lvlText w:val="•"/>
      <w:lvlJc w:val="left"/>
      <w:pPr>
        <w:ind w:hanging="480" w:left="3600"/>
      </w:pPr>
      <w:rPr>
        <w:u w:val="none"/>
      </w:rPr>
    </w:lvl>
    <w:lvl w:ilvl="5">
      <w:start w:val="0"/>
      <w:numFmt w:val="bullet"/>
      <w:lvlText w:val="–"/>
      <w:lvlJc w:val="left"/>
      <w:pPr>
        <w:ind w:hanging="480" w:left="4320"/>
      </w:pPr>
      <w:rPr>
        <w:u w:val="none"/>
      </w:rPr>
    </w:lvl>
    <w:lvl w:ilvl="6">
      <w:start w:val="0"/>
      <w:numFmt w:val="bullet"/>
      <w:lvlText w:val="•"/>
      <w:lvlJc w:val="left"/>
      <w:pPr>
        <w:ind w:hanging="480" w:left="5040"/>
      </w:pPr>
      <w:rPr>
        <w:u w:val="none"/>
      </w:rPr>
    </w:lvl>
    <w:lvl w:ilvl="7">
      <w:start w:val="0"/>
      <w:numFmt w:val="bullet"/>
      <w:lvlText w:val="–"/>
      <w:lvlJc w:val="left"/>
      <w:pPr>
        <w:ind w:hanging="480" w:left="5760"/>
      </w:pPr>
      <w:rPr>
        <w:u w:val="none"/>
      </w:rPr>
    </w:lvl>
    <w:lvl w:ilvl="8">
      <w:start w:val="0"/>
      <w:numFmt w:val="bullet"/>
      <w:lvlText w:val="•"/>
      <w:lvlJc w:val="left"/>
      <w:pPr>
        <w:ind w:hanging="480" w:left="64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hanging="720" w:left="1080"/>
      </w:pPr>
      <w:rPr/>
    </w:lvl>
    <w:lvl w:ilvl="1">
      <w:start w:val="1"/>
      <w:numFmt w:val="lowerLetter"/>
      <w:lvlText w:val="%2."/>
      <w:lvlJc w:val="left"/>
      <w:pPr>
        <w:ind w:hanging="360" w:left="1440"/>
      </w:pPr>
      <w:rPr/>
    </w:lvl>
    <w:lvl w:ilvl="2">
      <w:start w:val="1"/>
      <w:numFmt w:val="lowerRoman"/>
      <w:lvlText w:val="%3."/>
      <w:lvlJc w:val="right"/>
      <w:pPr>
        <w:ind w:hanging="180" w:left="2160"/>
      </w:pPr>
      <w:rPr/>
    </w:lvl>
    <w:lvl w:ilvl="3">
      <w:start w:val="1"/>
      <w:numFmt w:val="decimal"/>
      <w:lvlText w:val="%4."/>
      <w:lvlJc w:val="left"/>
      <w:pPr>
        <w:ind w:hanging="360" w:left="2880"/>
      </w:pPr>
      <w:rPr/>
    </w:lvl>
    <w:lvl w:ilvl="4">
      <w:start w:val="1"/>
      <w:numFmt w:val="lowerLetter"/>
      <w:lvlText w:val="%5."/>
      <w:lvlJc w:val="left"/>
      <w:pPr>
        <w:ind w:hanging="360" w:left="3600"/>
      </w:pPr>
      <w:rPr/>
    </w:lvl>
    <w:lvl w:ilvl="5">
      <w:start w:val="1"/>
      <w:numFmt w:val="lowerRoman"/>
      <w:lvlText w:val="%6."/>
      <w:lvlJc w:val="right"/>
      <w:pPr>
        <w:ind w:hanging="180" w:left="4320"/>
      </w:pPr>
      <w:rPr/>
    </w:lvl>
    <w:lvl w:ilvl="6">
      <w:start w:val="1"/>
      <w:numFmt w:val="decimal"/>
      <w:lvlText w:val="%7."/>
      <w:lvlJc w:val="left"/>
      <w:pPr>
        <w:ind w:hanging="360" w:left="5040"/>
      </w:pPr>
      <w:rPr/>
    </w:lvl>
    <w:lvl w:ilvl="7">
      <w:start w:val="1"/>
      <w:numFmt w:val="lowerLetter"/>
      <w:lvlText w:val="%8."/>
      <w:lvlJc w:val="left"/>
      <w:pPr>
        <w:ind w:hanging="360" w:left="5760"/>
      </w:pPr>
      <w:rPr/>
    </w:lvl>
    <w:lvl w:ilvl="8">
      <w:start w:val="1"/>
      <w:numFmt w:val="lowerRoman"/>
      <w:lvlText w:val="%9."/>
      <w:lvlJc w:val="right"/>
      <w:pPr>
        <w:ind w:hanging="180" w:left="64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8">
    <w:lvl w:ilvl="0">
      <w:start w:val="0"/>
      <w:numFmt w:val="bullet"/>
      <w:lvlText w:val="•"/>
      <w:lvlJc w:val="left"/>
      <w:pPr>
        <w:ind w:hanging="480" w:left="720"/>
      </w:pPr>
      <w:rPr>
        <w:u w:val="none"/>
      </w:rPr>
    </w:lvl>
    <w:lvl w:ilvl="1">
      <w:start w:val="0"/>
      <w:numFmt w:val="bullet"/>
      <w:lvlText w:val="–"/>
      <w:lvlJc w:val="left"/>
      <w:pPr>
        <w:ind w:hanging="480" w:left="1440"/>
      </w:pPr>
      <w:rPr>
        <w:u w:val="none"/>
      </w:rPr>
    </w:lvl>
    <w:lvl w:ilvl="2">
      <w:start w:val="0"/>
      <w:numFmt w:val="bullet"/>
      <w:lvlText w:val="•"/>
      <w:lvlJc w:val="left"/>
      <w:pPr>
        <w:ind w:hanging="480" w:left="2160"/>
      </w:pPr>
      <w:rPr>
        <w:u w:val="none"/>
      </w:rPr>
    </w:lvl>
    <w:lvl w:ilvl="3">
      <w:start w:val="0"/>
      <w:numFmt w:val="bullet"/>
      <w:lvlText w:val="–"/>
      <w:lvlJc w:val="left"/>
      <w:pPr>
        <w:ind w:hanging="480" w:left="2880"/>
      </w:pPr>
      <w:rPr>
        <w:u w:val="none"/>
      </w:rPr>
    </w:lvl>
    <w:lvl w:ilvl="4">
      <w:start w:val="0"/>
      <w:numFmt w:val="bullet"/>
      <w:lvlText w:val="•"/>
      <w:lvlJc w:val="left"/>
      <w:pPr>
        <w:ind w:hanging="480" w:left="3600"/>
      </w:pPr>
      <w:rPr>
        <w:u w:val="none"/>
      </w:rPr>
    </w:lvl>
    <w:lvl w:ilvl="5">
      <w:start w:val="0"/>
      <w:numFmt w:val="bullet"/>
      <w:lvlText w:val="–"/>
      <w:lvlJc w:val="left"/>
      <w:pPr>
        <w:ind w:hanging="480" w:left="4320"/>
      </w:pPr>
      <w:rPr>
        <w:u w:val="none"/>
      </w:rPr>
    </w:lvl>
    <w:lvl w:ilvl="6">
      <w:start w:val="0"/>
      <w:numFmt w:val="bullet"/>
      <w:lvlText w:val="•"/>
      <w:lvlJc w:val="left"/>
      <w:pPr>
        <w:ind w:hanging="480" w:left="5040"/>
      </w:pPr>
      <w:rPr>
        <w:u w:val="none"/>
      </w:rPr>
    </w:lvl>
    <w:lvl w:ilvl="7">
      <w:start w:val="0"/>
      <w:numFmt w:val="bullet"/>
      <w:lvlText w:val="–"/>
      <w:lvlJc w:val="left"/>
      <w:pPr>
        <w:ind w:hanging="480" w:left="5760"/>
      </w:pPr>
      <w:rPr>
        <w:u w:val="none"/>
      </w:rPr>
    </w:lvl>
    <w:lvl w:ilvl="8">
      <w:start w:val="0"/>
      <w:numFmt w:val="bullet"/>
      <w:lvlText w:val="•"/>
      <w:lvlJc w:val="left"/>
      <w:pPr>
        <w:ind w:hanging="480" w:left="648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0">
    <w:lvl w:ilvl="0">
      <w:start w:val="0"/>
      <w:numFmt w:val="bullet"/>
      <w:lvlText w:val="•"/>
      <w:lvlJc w:val="left"/>
      <w:pPr>
        <w:ind w:hanging="480" w:left="720"/>
      </w:pPr>
      <w:rPr>
        <w:u w:val="none"/>
      </w:rPr>
    </w:lvl>
    <w:lvl w:ilvl="1">
      <w:start w:val="0"/>
      <w:numFmt w:val="bullet"/>
      <w:lvlText w:val="–"/>
      <w:lvlJc w:val="left"/>
      <w:pPr>
        <w:ind w:hanging="480" w:left="1440"/>
      </w:pPr>
      <w:rPr>
        <w:u w:val="none"/>
      </w:rPr>
    </w:lvl>
    <w:lvl w:ilvl="2">
      <w:start w:val="0"/>
      <w:numFmt w:val="bullet"/>
      <w:lvlText w:val="•"/>
      <w:lvlJc w:val="left"/>
      <w:pPr>
        <w:ind w:hanging="480" w:left="2160"/>
      </w:pPr>
      <w:rPr>
        <w:u w:val="none"/>
      </w:rPr>
    </w:lvl>
    <w:lvl w:ilvl="3">
      <w:start w:val="0"/>
      <w:numFmt w:val="bullet"/>
      <w:lvlText w:val="–"/>
      <w:lvlJc w:val="left"/>
      <w:pPr>
        <w:ind w:hanging="480" w:left="2880"/>
      </w:pPr>
      <w:rPr>
        <w:u w:val="none"/>
      </w:rPr>
    </w:lvl>
    <w:lvl w:ilvl="4">
      <w:start w:val="0"/>
      <w:numFmt w:val="bullet"/>
      <w:lvlText w:val="•"/>
      <w:lvlJc w:val="left"/>
      <w:pPr>
        <w:ind w:hanging="480" w:left="3600"/>
      </w:pPr>
      <w:rPr>
        <w:u w:val="none"/>
      </w:rPr>
    </w:lvl>
    <w:lvl w:ilvl="5">
      <w:start w:val="0"/>
      <w:numFmt w:val="bullet"/>
      <w:lvlText w:val="–"/>
      <w:lvlJc w:val="left"/>
      <w:pPr>
        <w:ind w:hanging="480" w:left="4320"/>
      </w:pPr>
      <w:rPr>
        <w:u w:val="none"/>
      </w:rPr>
    </w:lvl>
    <w:lvl w:ilvl="6">
      <w:start w:val="0"/>
      <w:numFmt w:val="bullet"/>
      <w:lvlText w:val="•"/>
      <w:lvlJc w:val="left"/>
      <w:pPr>
        <w:ind w:hanging="480" w:left="5040"/>
      </w:pPr>
      <w:rPr>
        <w:u w:val="none"/>
      </w:rPr>
    </w:lvl>
    <w:lvl w:ilvl="7">
      <w:start w:val="0"/>
      <w:numFmt w:val="bullet"/>
      <w:lvlText w:val="–"/>
      <w:lvlJc w:val="left"/>
      <w:pPr>
        <w:ind w:hanging="480" w:left="5760"/>
      </w:pPr>
      <w:rPr>
        <w:u w:val="none"/>
      </w:rPr>
    </w:lvl>
    <w:lvl w:ilvl="8">
      <w:start w:val="0"/>
      <w:numFmt w:val="bullet"/>
      <w:lvlText w:val="•"/>
      <w:lvlJc w:val="left"/>
      <w:pPr>
        <w:ind w:hanging="48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Geist Mono Light" w:cs="Geist Mono Light" w:eastAsia="Geist Mono Light" w:hAnsi="Geist Mono Light"/>
        <w:color w:val="373c36"/>
        <w:sz w:val="22"/>
        <w:szCs w:val="22"/>
        <w:lang w:val="pt_PT"/>
      </w:rPr>
    </w:rPrDefault>
    <w:pPrDefault>
      <w:pPr>
        <w:tabs>
          <w:tab w:leader="none" w:pos="9350" w:val="left"/>
        </w:tabs>
        <w:spacing w:after="200" w:line="360" w:lineRule="auto"/>
        <w:jc w:val="both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spacing w:after="120" w:before="400" w:line="276" w:lineRule="auto"/>
      <w:ind w:right="6"/>
    </w:pPr>
    <w:rPr>
      <w:rFonts w:ascii="Geist Mono" w:cs="Geist Mono" w:eastAsia="Geist Mono" w:hAnsi="Geist Mono"/>
      <w:b w:val="1"/>
      <w:bCs w:val="1"/>
      <w:sz w:val="52"/>
      <w:szCs w:val="52"/>
    </w:rPr>
  </w:style>
  <w:style w:styleId="Heading2" w:type="paragraph">
    <w:name w:val="heading 2"/>
    <w:basedOn w:val="Normal"/>
    <w:next w:val="Normal"/>
    <w:pPr>
      <w:keepNext w:val="1"/>
      <w:spacing w:before="35" w:lineRule="auto"/>
      <w:ind w:right="6"/>
    </w:pPr>
    <w:rPr>
      <w:rFonts w:ascii="Geist Mono" w:cs="Geist Mono" w:eastAsia="Geist Mono" w:hAnsi="Geist Mono"/>
      <w:color w:val="999b99"/>
      <w:sz w:val="32"/>
      <w:szCs w:val="32"/>
    </w:rPr>
  </w:style>
  <w:style w:styleId="Heading3" w:type="paragraph">
    <w:name w:val="heading 3"/>
    <w:basedOn w:val="Normal"/>
    <w:next w:val="Normal"/>
    <w:pPr>
      <w:keepNext w:val="1"/>
      <w:spacing w:after="120" w:before="14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styleId="Heading6" w:type="paragraph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spacing w:after="120" w:before="400" w:line="276" w:lineRule="auto"/>
      <w:ind w:right="6"/>
    </w:pPr>
    <w:rPr>
      <w:rFonts w:ascii="Montserrat SemiBold" w:cs="Montserrat SemiBold" w:eastAsia="Montserrat SemiBold" w:hAnsi="Montserrat SemiBold"/>
      <w:b w:val="1"/>
      <w:bCs w:val="1"/>
      <w:color w:val="3465a4"/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3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customStyle="1" w:styleId="SourceCode" w:type="paragraph">
    <w:name w:val="Source Code"/>
    <w:basedOn w:val="Normal"/>
    <w:link w:val="VerbatimChar"/>
    <w:pPr>
      <w:wordWrap w:val="off"/>
    </w:pPr>
  </w:style>
  <w:style w:type="table" w:styleId="Table">
    <w:name w:val="Table"/>
    <w:basedOn w:val="TableNormal"/>
    <w:tblPr>
      <w:tblBorders>
        <w:top w:val="single" w:sz="4" w:space="0" w:color="B7BFC9"/>
        <w:left w:val="single" w:sz="4" w:space="0" w:color="B7BFC9"/>
        <w:bottom w:val="single" w:sz="4" w:space="0" w:color="B7BFC9"/>
        <w:right w:val="single" w:sz="4" w:space="0" w:color="B7BFC9"/>
        <w:insideH w:val="single" w:sz="4" w:space="0" w:color="B7BFC9"/>
        <w:insideV w:val="single" w:sz="4" w:space="0" w:color="B7BFC9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</w:rPr>
      <w:tcPr>
        <w:shd w:val="clear" w:fill="E4E9EF"/>
      </w:tcPr>
    </w:tblStylePr>
  </w:style>
  <w:style w:type="paragraph" w:styleId="BodyText">
    <w:name w:val="Body Text"/>
    <w:basedOn w:val="Normal"/>
    <w:pPr>
      <w:spacing w:before="180" w:after="180"/>
    </w:pPr>
  </w:style>
  <w:style w:type="paragraph" w:customStyle="1" w:styleId="Compact">
    <w:name w:val="Compact"/>
    <w:basedOn w:val="BodyText"/>
    <w:pPr>
      <w:spacing w:before="36" w:after="36"/>
    </w:pPr>
  </w:style>
  <w:style w:type="paragraph" w:customStyle="1" w:styleId="FirstParagraph">
    <w:name w:val="First Paragraph"/>
    <w:basedOn w:val="BodyText"/>
    <w:next w:val="BodyText"/>
  </w:style>
  <w:style w:type="character" w:customStyle="1" w:styleId="VerbatimChar">
    <w:name w:val="Verbatim Char"/>
    <w:basedOn w:val="DefaultParagraphFont"/>
    <w:rPr>
      <w:rFonts w:ascii="Geist Mono" w:cs="Geist Mono" w:eastAsia="Geist Mono" w:hAnsi="Geist Mono"/>
    </w:rPr>
  </w:style>
  <w:style w:type="paragraph" w:customStyle="1" w:styleId="Figure">
    <w:name w:val="Figure"/>
    <w:basedOn w:val="Normal"/>
  </w:style>
  <w:style w:type="paragraph" w:styleId="Caption">
    <w:name w:val="Caption"/>
    <w:basedOn w:val="Normal"/>
    <w:pPr>
      <w:spacing w:before="0" w:after="120"/>
    </w:pPr>
    <w:rPr>
      <w:i/>
    </w:rPr>
  </w:style>
  <w:style w:type="paragraph" w:customStyle="1" w:styleId="CaptionedFigure">
    <w:name w:val="Captioned Figure"/>
    <w:basedOn w:val="Figure"/>
    <w:pPr>
      <w:keepNext/>
    </w:pPr>
  </w:style>
  <w:style w:type="paragraph" w:customStyle="1" w:styleId="ImageCaption">
    <w:name w:val="Image Caption"/>
    <w:basedOn w:val="Caption"/>
  </w:style>
  <w:style w:type="paragraph" w:customStyle="1" w:styleId="BlockText">
    <w:name w:val="Block Text"/>
    <w:basedOn w:val="BodyText"/>
    <w:pPr>
      <w:ind w:left="360" w:right="360"/>
      <w:spacing w:before="120" w:after="120"/>
    </w:pPr>
  </w:style>
  <w:style w:type="character" w:styleId="Hyperlink">
    <w:name w:val="Hyperlink"/>
    <w:basedOn w:val="DefaultParagraphFont"/>
    <w:rPr>
      <w:color w:val="4F81BD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3.xml" Type="http://schemas.openxmlformats.org/officeDocument/2006/relationships/header" /><Relationship Id="rId10" Target="header1.xml" Type="http://schemas.openxmlformats.org/officeDocument/2006/relationships/header" /><Relationship Id="rId11" Target="header2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GeistMono-boldItalic.ttf"/><Relationship Id="rId22" Type="http://schemas.openxmlformats.org/officeDocument/2006/relationships/font" Target="fonts/NotoSansSymbols-bold.ttf"/><Relationship Id="rId21" Type="http://schemas.openxmlformats.org/officeDocument/2006/relationships/font" Target="fonts/NotoSansSymbols-regular.ttf"/><Relationship Id="rId24" Type="http://schemas.openxmlformats.org/officeDocument/2006/relationships/font" Target="fonts/GeistLight-bold.ttf"/><Relationship Id="rId23" Type="http://schemas.openxmlformats.org/officeDocument/2006/relationships/font" Target="fonts/GeistLight-regular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Lato-regular.ttf"/><Relationship Id="rId26" Type="http://schemas.openxmlformats.org/officeDocument/2006/relationships/font" Target="fonts/GeistLight-boldItalic.ttf"/><Relationship Id="rId25" Type="http://schemas.openxmlformats.org/officeDocument/2006/relationships/font" Target="fonts/GeistLight-italic.ttf"/><Relationship Id="rId28" Type="http://schemas.openxmlformats.org/officeDocument/2006/relationships/font" Target="fonts/GeistMonoLight-bold.ttf"/><Relationship Id="rId27" Type="http://schemas.openxmlformats.org/officeDocument/2006/relationships/font" Target="fonts/GeistMonoLight-regular.ttf"/><Relationship Id="rId5" Type="http://schemas.openxmlformats.org/officeDocument/2006/relationships/font" Target="fonts/Geist-regular.ttf"/><Relationship Id="rId6" Type="http://schemas.openxmlformats.org/officeDocument/2006/relationships/font" Target="fonts/Geist-bold.ttf"/><Relationship Id="rId29" Type="http://schemas.openxmlformats.org/officeDocument/2006/relationships/font" Target="fonts/GeistMonoLight-italic.ttf"/><Relationship Id="rId7" Type="http://schemas.openxmlformats.org/officeDocument/2006/relationships/font" Target="fonts/Geist-italic.ttf"/><Relationship Id="rId8" Type="http://schemas.openxmlformats.org/officeDocument/2006/relationships/font" Target="fonts/Geist-boldItalic.ttf"/><Relationship Id="rId31" Type="http://schemas.openxmlformats.org/officeDocument/2006/relationships/font" Target="fonts/GeistMonoMedium-regular.ttf"/><Relationship Id="rId30" Type="http://schemas.openxmlformats.org/officeDocument/2006/relationships/font" Target="fonts/GeistMonoLight-boldItalic.ttf"/><Relationship Id="rId11" Type="http://schemas.openxmlformats.org/officeDocument/2006/relationships/font" Target="fonts/Lato-italic.ttf"/><Relationship Id="rId33" Type="http://schemas.openxmlformats.org/officeDocument/2006/relationships/font" Target="fonts/GeistMonoMedium-italic.ttf"/><Relationship Id="rId10" Type="http://schemas.openxmlformats.org/officeDocument/2006/relationships/font" Target="fonts/Lato-bold.ttf"/><Relationship Id="rId32" Type="http://schemas.openxmlformats.org/officeDocument/2006/relationships/font" Target="fonts/GeistMonoMedium-bold.ttf"/><Relationship Id="rId13" Type="http://schemas.openxmlformats.org/officeDocument/2006/relationships/font" Target="fonts/PoppinsLight-regular.ttf"/><Relationship Id="rId12" Type="http://schemas.openxmlformats.org/officeDocument/2006/relationships/font" Target="fonts/Lato-boldItalic.ttf"/><Relationship Id="rId34" Type="http://schemas.openxmlformats.org/officeDocument/2006/relationships/font" Target="fonts/GeistMonoMedium-boldItalic.ttf"/><Relationship Id="rId15" Type="http://schemas.openxmlformats.org/officeDocument/2006/relationships/font" Target="fonts/PoppinsLight-italic.ttf"/><Relationship Id="rId14" Type="http://schemas.openxmlformats.org/officeDocument/2006/relationships/font" Target="fonts/PoppinsLight-bold.ttf"/><Relationship Id="rId17" Type="http://schemas.openxmlformats.org/officeDocument/2006/relationships/font" Target="fonts/GeistMono-regular.ttf"/><Relationship Id="rId16" Type="http://schemas.openxmlformats.org/officeDocument/2006/relationships/font" Target="fonts/PoppinsLight-boldItalic.ttf"/><Relationship Id="rId19" Type="http://schemas.openxmlformats.org/officeDocument/2006/relationships/font" Target="fonts/GeistMono-italic.ttf"/><Relationship Id="rId18" Type="http://schemas.openxmlformats.org/officeDocument/2006/relationships/font" Target="fonts/GeistMon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2026-08-20T15:05:36Z</dcterms:created>
  <dcterms:modified xsi:type="dcterms:W3CDTF">2026-08-20T15:05:36Z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