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r>
              <w:rPr>
                <w:b w:val="0"/>
                <w:sz w:val="18"/>
              </w:rPr>
              <w:t>04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>
              <w:rPr>
                <w:b w:val="0"/>
                <w:sz w:val="18"/>
              </w:rPr>
              <w:t>Not provided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rPr>
                <w:b w:val="0"/>
                <w:sz w:val="18"/>
              </w:rPr>
              <w:t>Auto Ticket Classification using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>
            <w:r>
              <w:rPr>
                <w:b w:val="0"/>
                <w:sz w:val="18"/>
              </w:rPr>
              <w:t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>
      <w:r>
        <w:br w:type="page"/>
      </w:r>
    </w:p>
    <w:p>
      <w:pPr>
        <w:jc w:val="center"/>
      </w:pPr>
      <w:r>
        <w:rPr>
          <w:b/>
          <w:sz w:val="36"/>
        </w:rPr>
        <w:t>Completed Brainstorming &amp; Idea Prioritization</w:t>
      </w:r>
    </w:p>
    <w:p>
      <w:pPr>
        <w:jc w:val="center"/>
      </w:pPr>
      <w:r>
        <w:rPr>
          <w:i/>
          <w:sz w:val="20"/>
        </w:rPr>
        <w:t>Auto Ticket Classification using Flow Designer</w:t>
      </w:r>
    </w:p>
    <w:p>
      <w:pPr>
        <w:pStyle w:val="Heading2"/>
      </w:pPr>
      <w:r>
        <w:t>Step-1: Team Gathering, Collaboration and Problem Selection</w:t>
      </w:r>
    </w:p>
    <w:p>
      <w:r>
        <w:t>Selected problem: school IT support requests are created without consistent automatic classification, causing avoidable manual triage.</w:t>
      </w:r>
    </w:p>
    <w:p>
      <w:pPr>
        <w:pStyle w:val="Heading2"/>
      </w:pPr>
      <w:r>
        <w:t>Step-2: Brainstorm, Idea Listing and Grouping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9EAF7"/>
          </w:tcPr>
          <w:p>
            <w:r>
              <w:rPr>
                <w:b/>
                <w:sz w:val="17"/>
              </w:rPr>
              <w:t>Idea</w:t>
            </w:r>
          </w:p>
        </w:tc>
        <w:tc>
          <w:tcPr>
            <w:tcW w:type="dxa" w:w="3009"/>
            <w:shd w:fill="D9EAF7"/>
          </w:tcPr>
          <w:p>
            <w:r>
              <w:rPr>
                <w:b/>
                <w:sz w:val="17"/>
              </w:rPr>
              <w:t>Assessment</w:t>
            </w:r>
          </w:p>
        </w:tc>
        <w:tc>
          <w:tcPr>
            <w:tcW w:type="dxa" w:w="3009"/>
            <w:shd w:fill="D9EAF7"/>
          </w:tcPr>
          <w:p>
            <w:r>
              <w:rPr>
                <w:b/>
                <w:sz w:val="17"/>
              </w:rPr>
              <w:t>Priority</w:t>
            </w:r>
          </w:p>
        </w:tc>
      </w:tr>
      <w:tr>
        <w:tc>
          <w:tcPr>
            <w:tcW w:type="dxa" w:w="3009"/>
            <w:vAlign w:val="center"/>
          </w:tcPr>
          <w:p>
            <w:r>
              <w:rPr>
                <w:b w:val="0"/>
                <w:sz w:val="17"/>
              </w:rPr>
              <w:t>Rule-based keyword classification in Flow Designer</w:t>
            </w:r>
          </w:p>
        </w:tc>
        <w:tc>
          <w:tcPr>
            <w:tcW w:type="dxa" w:w="3009"/>
            <w:vAlign w:val="center"/>
          </w:tcPr>
          <w:p>
            <w:r>
              <w:rPr>
                <w:b w:val="0"/>
                <w:sz w:val="17"/>
              </w:rPr>
              <w:t>Uses Short Description to assign Category/Subcategory automatically.</w:t>
            </w:r>
          </w:p>
        </w:tc>
        <w:tc>
          <w:tcPr>
            <w:tcW w:type="dxa" w:w="3009"/>
            <w:vAlign w:val="center"/>
          </w:tcPr>
          <w:p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3009"/>
            <w:vAlign w:val="center"/>
          </w:tcPr>
          <w:p>
            <w:r>
              <w:rPr>
                <w:b w:val="0"/>
                <w:sz w:val="17"/>
              </w:rPr>
              <w:t>ML/NLP ticket classifier</w:t>
            </w:r>
          </w:p>
        </w:tc>
        <w:tc>
          <w:tcPr>
            <w:tcW w:type="dxa" w:w="3009"/>
            <w:vAlign w:val="center"/>
          </w:tcPr>
          <w:p>
            <w:r>
              <w:rPr>
                <w:b w:val="0"/>
                <w:sz w:val="17"/>
              </w:rPr>
              <w:t>Could learn from historical tickets but requires labeled data, training, evaluation and maintenance.</w:t>
            </w:r>
          </w:p>
        </w:tc>
        <w:tc>
          <w:tcPr>
            <w:tcW w:type="dxa" w:w="3009"/>
            <w:vAlign w:val="center"/>
          </w:tcPr>
          <w:p>
            <w:r>
              <w:rPr>
                <w:b w:val="0"/>
                <w:sz w:val="17"/>
              </w:rPr>
              <w:t>Medium</w:t>
            </w:r>
          </w:p>
        </w:tc>
      </w:tr>
      <w:tr>
        <w:tc>
          <w:tcPr>
            <w:tcW w:type="dxa" w:w="3009"/>
            <w:vAlign w:val="center"/>
          </w:tcPr>
          <w:p>
            <w:r>
              <w:rPr>
                <w:b w:val="0"/>
                <w:sz w:val="17"/>
              </w:rPr>
              <w:t>Manual triage dashboard</w:t>
            </w:r>
          </w:p>
        </w:tc>
        <w:tc>
          <w:tcPr>
            <w:tcW w:type="dxa" w:w="3009"/>
            <w:vAlign w:val="center"/>
          </w:tcPr>
          <w:p>
            <w:r>
              <w:rPr>
                <w:b w:val="0"/>
                <w:sz w:val="17"/>
              </w:rPr>
              <w:t>Improves visibility but does not remove the classification workload.</w:t>
            </w:r>
          </w:p>
        </w:tc>
        <w:tc>
          <w:tcPr>
            <w:tcW w:type="dxa" w:w="3009"/>
            <w:vAlign w:val="center"/>
          </w:tcPr>
          <w:p>
            <w:r>
              <w:rPr>
                <w:b w:val="0"/>
                <w:sz w:val="17"/>
              </w:rPr>
              <w:t>Medium</w:t>
            </w:r>
          </w:p>
        </w:tc>
      </w:tr>
      <w:tr>
        <w:tc>
          <w:tcPr>
            <w:tcW w:type="dxa" w:w="3009"/>
            <w:vAlign w:val="center"/>
          </w:tcPr>
          <w:p>
            <w:r>
              <w:rPr>
                <w:b w:val="0"/>
                <w:sz w:val="17"/>
              </w:rPr>
              <w:t>Email-only routing rules</w:t>
            </w:r>
          </w:p>
        </w:tc>
        <w:tc>
          <w:tcPr>
            <w:tcW w:type="dxa" w:w="3009"/>
            <w:vAlign w:val="center"/>
          </w:tcPr>
          <w:p>
            <w:r>
              <w:rPr>
                <w:b w:val="0"/>
                <w:sz w:val="17"/>
              </w:rPr>
              <w:t>Can notify staff but does not provide structured Category/Subcategory data.</w:t>
            </w:r>
          </w:p>
        </w:tc>
        <w:tc>
          <w:tcPr>
            <w:tcW w:type="dxa" w:w="3009"/>
            <w:vAlign w:val="center"/>
          </w:tcPr>
          <w:p>
            <w:r>
              <w:rPr>
                <w:b w:val="0"/>
                <w:sz w:val="17"/>
              </w:rPr>
              <w:t>Low</w:t>
            </w:r>
          </w:p>
        </w:tc>
      </w:tr>
      <w:tr>
        <w:tc>
          <w:tcPr>
            <w:tcW w:type="dxa" w:w="3009"/>
            <w:vAlign w:val="center"/>
          </w:tcPr>
          <w:p>
            <w:r>
              <w:rPr>
                <w:b w:val="0"/>
                <w:sz w:val="17"/>
              </w:rPr>
              <w:t>ServiceNow Flow Designer automation</w:t>
            </w:r>
          </w:p>
        </w:tc>
        <w:tc>
          <w:tcPr>
            <w:tcW w:type="dxa" w:w="3009"/>
            <w:vAlign w:val="center"/>
          </w:tcPr>
          <w:p>
            <w:r>
              <w:rPr>
                <w:b w:val="0"/>
                <w:sz w:val="17"/>
              </w:rPr>
              <w:t>Uses native ServiceNow workflow capabilities and is maintainable for a fixed rule set.</w:t>
            </w:r>
          </w:p>
        </w:tc>
        <w:tc>
          <w:tcPr>
            <w:tcW w:type="dxa" w:w="3009"/>
            <w:vAlign w:val="center"/>
          </w:tcPr>
          <w:p>
            <w:r>
              <w:rPr>
                <w:b w:val="0"/>
                <w:sz w:val="17"/>
              </w:rPr>
              <w:t>High</w:t>
            </w:r>
          </w:p>
        </w:tc>
      </w:tr>
    </w:tbl>
    <w:p>
      <w:pPr>
        <w:pStyle w:val="Heading2"/>
      </w:pPr>
      <w:r>
        <w:t>Step-3: Idea Prioritization</w:t>
      </w:r>
    </w:p>
    <w:p>
      <w:r>
        <w:t>Selected solution: a ServiceNow Flow Designer automation that triggers when an Incident Workflow record is created, checks the Short Description for supported keywords, updates Category/Subcategory, and sends a confirmation email to the caller.</w:t>
      </w:r>
    </w:p>
    <w:sectPr>
      <w:pgSz w:h="16838" w:w="11906" w:orient="portrait"/>
      <w:pgMar w:bottom="864" w:top="864" w:left="936" w:right="93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