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rPr>
                <w:b w:val="0"/>
                <w:sz w:val="18"/>
              </w:rPr>
              <w:t>04 October 2026</w:t>
            </w:r>
          </w:p>
        </w:tc>
      </w:tr>
      <w:tr w:rsidR="004360B1" w14:paraId="7890E6B7" w14:textId="77777777">
        <w:tc>
          <w:tcPr>
            <w:tcW w:w="4508" w:type="dxa"/>
          </w:tcPr>
          <w:p w14:paraId="0C019381" w14:textId="77777777" w:rsidR="004360B1" w:rsidRDefault="00000000">
            <w:r>
              <w:t>Team ID</w:t>
            </w:r>
          </w:p>
        </w:tc>
        <w:tc>
          <w:tcPr>
            <w:tcW w:w="4508" w:type="dxa"/>
          </w:tcPr>
          <w:p>
            <w:r>
              <w:rPr>
                <w:b w:val="0"/>
                <w:sz w:val="18"/>
              </w:rPr>
              <w:t>Not provided</w:t>
            </w:r>
          </w:p>
        </w:tc>
      </w:tr>
      <w:tr w:rsidR="004360B1" w14:paraId="51E034FC" w14:textId="77777777">
        <w:tc>
          <w:tcPr>
            <w:tcW w:w="4508" w:type="dxa"/>
          </w:tcPr>
          <w:p w14:paraId="69F005D8" w14:textId="77777777" w:rsidR="004360B1" w:rsidRDefault="00000000">
            <w:r>
              <w:t>Project Name</w:t>
            </w:r>
          </w:p>
        </w:tc>
        <w:tc>
          <w:tcPr>
            <w:tcW w:w="4508" w:type="dxa"/>
          </w:tcPr>
          <w:p>
            <w:r>
              <w:rPr>
                <w:b w:val="0"/>
                <w:sz w:val="18"/>
              </w:rPr>
              <w:t>Auto Ticket Classification using Flow Designer</w:t>
            </w:r>
          </w:p>
        </w:tc>
      </w:tr>
      <w:tr w:rsidR="004360B1" w14:paraId="22167E14" w14:textId="77777777">
        <w:tc>
          <w:tcPr>
            <w:tcW w:w="4508" w:type="dxa"/>
          </w:tcPr>
          <w:p w14:paraId="215D873C" w14:textId="77777777" w:rsidR="004360B1" w:rsidRDefault="00000000">
            <w:r>
              <w:t>Maximum Marks</w:t>
            </w:r>
          </w:p>
        </w:tc>
        <w:tc>
          <w:tcPr>
            <w:tcW w:w="4508" w:type="dxa"/>
          </w:tcPr>
          <w:p>
            <w:r>
              <w:rPr>
                <w:b w:val="0"/>
                <w:sz w:val="18"/>
              </w:rP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br w:type="page"/>
      </w:r>
    </w:p>
    <w:p>
      <w:pPr>
        <w:jc w:val="center"/>
      </w:pPr>
      <w:r>
        <w:rPr>
          <w:b/>
          <w:sz w:val="36"/>
        </w:rPr>
        <w:t>Completed Problem-Solution Fit</w:t>
      </w:r>
    </w:p>
    <w:p>
      <w:pPr>
        <w:jc w:val="center"/>
      </w:pPr>
      <w:r>
        <w:rPr>
          <w:i/>
          <w:sz w:val="20"/>
        </w:rPr>
        <w:t>Auto Ticket Classification using Flow Designer</w:t>
      </w:r>
    </w:p>
    <w:tbl>
      <w:tblPr>
        <w:tblStyle w:val="TableGrid"/>
        <w:tblW w:type="auto" w:w="0"/>
        <w:jc w:val="center"/>
        <w:tblLook w:firstColumn="1" w:firstRow="1" w:lastColumn="0" w:lastRow="0" w:noHBand="0" w:noVBand="1" w:val="04A0"/>
      </w:tblPr>
      <w:tblGrid>
        <w:gridCol w:w="4513"/>
        <w:gridCol w:w="4513"/>
      </w:tblGrid>
      <w:tr>
        <w:tc>
          <w:tcPr>
            <w:tcW w:type="dxa" w:w="4513"/>
            <w:shd w:fill="D9EAF7"/>
          </w:tcPr>
          <w:p>
            <w:r>
              <w:rPr>
                <w:b/>
                <w:sz w:val="16"/>
              </w:rPr>
              <w:t>Canvas Element</w:t>
            </w:r>
          </w:p>
        </w:tc>
        <w:tc>
          <w:tcPr>
            <w:tcW w:type="dxa" w:w="4513"/>
            <w:shd w:fill="D9EAF7"/>
          </w:tcPr>
          <w:p>
            <w:r>
              <w:rPr>
                <w:b/>
                <w:sz w:val="16"/>
              </w:rPr>
              <w:t>Project Fit</w:t>
            </w:r>
          </w:p>
        </w:tc>
      </w:tr>
      <w:tr>
        <w:tc>
          <w:tcPr>
            <w:tcW w:type="dxa" w:w="4513"/>
            <w:vAlign w:val="center"/>
          </w:tcPr>
          <w:p>
            <w:r>
              <w:rPr>
                <w:b w:val="0"/>
                <w:sz w:val="16"/>
              </w:rPr>
              <w:t>Customer segment(s)</w:t>
            </w:r>
          </w:p>
        </w:tc>
        <w:tc>
          <w:tcPr>
            <w:tcW w:type="dxa" w:w="4513"/>
            <w:vAlign w:val="center"/>
          </w:tcPr>
          <w:p>
            <w:r>
              <w:rPr>
                <w:b w:val="0"/>
                <w:sz w:val="16"/>
              </w:rPr>
              <w:t>School IT requesters / teachers and the IT support team.</w:t>
            </w:r>
          </w:p>
        </w:tc>
      </w:tr>
      <w:tr>
        <w:tc>
          <w:tcPr>
            <w:tcW w:type="dxa" w:w="4513"/>
            <w:vAlign w:val="center"/>
          </w:tcPr>
          <w:p>
            <w:r>
              <w:rPr>
                <w:b w:val="0"/>
                <w:sz w:val="16"/>
              </w:rPr>
              <w:t>Jobs-to-be-done / problems</w:t>
            </w:r>
          </w:p>
        </w:tc>
        <w:tc>
          <w:tcPr>
            <w:tcW w:type="dxa" w:w="4513"/>
            <w:vAlign w:val="center"/>
          </w:tcPr>
          <w:p>
            <w:r>
              <w:rPr>
                <w:b w:val="0"/>
                <w:sz w:val="16"/>
              </w:rPr>
              <w:t>Submit common IT issues and have them routed consistently without manual interpretation.</w:t>
            </w:r>
          </w:p>
        </w:tc>
      </w:tr>
      <w:tr>
        <w:tc>
          <w:tcPr>
            <w:tcW w:type="dxa" w:w="4513"/>
            <w:vAlign w:val="center"/>
          </w:tcPr>
          <w:p>
            <w:r>
              <w:rPr>
                <w:b w:val="0"/>
                <w:sz w:val="16"/>
              </w:rPr>
              <w:t>Customer constraints</w:t>
            </w:r>
          </w:p>
        </w:tc>
        <w:tc>
          <w:tcPr>
            <w:tcW w:type="dxa" w:w="4513"/>
            <w:vAlign w:val="center"/>
          </w:tcPr>
          <w:p>
            <w:r>
              <w:rPr>
                <w:b w:val="0"/>
                <w:sz w:val="16"/>
              </w:rPr>
              <w:t>Need a simple form, existing ServiceNow environment, limited development overhead, and maintainable rules.</w:t>
            </w:r>
          </w:p>
        </w:tc>
      </w:tr>
      <w:tr>
        <w:tc>
          <w:tcPr>
            <w:tcW w:type="dxa" w:w="4513"/>
            <w:vAlign w:val="center"/>
          </w:tcPr>
          <w:p>
            <w:r>
              <w:rPr>
                <w:b w:val="0"/>
                <w:sz w:val="16"/>
              </w:rPr>
              <w:t>Available solutions</w:t>
            </w:r>
          </w:p>
        </w:tc>
        <w:tc>
          <w:tcPr>
            <w:tcW w:type="dxa" w:w="4513"/>
            <w:vAlign w:val="center"/>
          </w:tcPr>
          <w:p>
            <w:r>
              <w:rPr>
                <w:b w:val="0"/>
                <w:sz w:val="16"/>
              </w:rPr>
              <w:t>Manual ticket review, email-based requests, dashboards, or custom automation.</w:t>
            </w:r>
          </w:p>
        </w:tc>
      </w:tr>
      <w:tr>
        <w:tc>
          <w:tcPr>
            <w:tcW w:type="dxa" w:w="4513"/>
            <w:vAlign w:val="center"/>
          </w:tcPr>
          <w:p>
            <w:r>
              <w:rPr>
                <w:b w:val="0"/>
                <w:sz w:val="16"/>
              </w:rPr>
              <w:t>Behaviour</w:t>
            </w:r>
          </w:p>
        </w:tc>
        <w:tc>
          <w:tcPr>
            <w:tcW w:type="dxa" w:w="4513"/>
            <w:vAlign w:val="center"/>
          </w:tcPr>
          <w:p>
            <w:r>
              <w:rPr>
                <w:b w:val="0"/>
                <w:sz w:val="16"/>
              </w:rPr>
              <w:t>Users describe the issue in short natural language; support staff review the request and classify it.</w:t>
            </w:r>
          </w:p>
        </w:tc>
      </w:tr>
      <w:tr>
        <w:tc>
          <w:tcPr>
            <w:tcW w:type="dxa" w:w="4513"/>
            <w:vAlign w:val="center"/>
          </w:tcPr>
          <w:p>
            <w:r>
              <w:rPr>
                <w:b w:val="0"/>
                <w:sz w:val="16"/>
              </w:rPr>
              <w:t>Emotions before / after</w:t>
            </w:r>
          </w:p>
        </w:tc>
        <w:tc>
          <w:tcPr>
            <w:tcW w:type="dxa" w:w="4513"/>
            <w:vAlign w:val="center"/>
          </w:tcPr>
          <w:p>
            <w:r>
              <w:rPr>
                <w:b w:val="0"/>
                <w:sz w:val="16"/>
              </w:rPr>
              <w:t>Before: frustrated and uncertain. After: acknowledged, classified and easier to track.</w:t>
            </w:r>
          </w:p>
        </w:tc>
      </w:tr>
      <w:tr>
        <w:tc>
          <w:tcPr>
            <w:tcW w:type="dxa" w:w="4513"/>
            <w:vAlign w:val="center"/>
          </w:tcPr>
          <w:p>
            <w:r>
              <w:rPr>
                <w:b w:val="0"/>
                <w:sz w:val="16"/>
              </w:rPr>
              <w:t>Triggers</w:t>
            </w:r>
          </w:p>
        </w:tc>
        <w:tc>
          <w:tcPr>
            <w:tcW w:type="dxa" w:w="4513"/>
            <w:vAlign w:val="center"/>
          </w:tcPr>
          <w:p>
            <w:r>
              <w:rPr>
                <w:b w:val="0"/>
                <w:sz w:val="16"/>
              </w:rPr>
              <w:t>A technical issue occurs and the user needs support.</w:t>
            </w:r>
          </w:p>
        </w:tc>
      </w:tr>
      <w:tr>
        <w:tc>
          <w:tcPr>
            <w:tcW w:type="dxa" w:w="4513"/>
            <w:vAlign w:val="center"/>
          </w:tcPr>
          <w:p>
            <w:r>
              <w:rPr>
                <w:b w:val="0"/>
                <w:sz w:val="16"/>
              </w:rPr>
              <w:t>Channels</w:t>
            </w:r>
          </w:p>
        </w:tc>
        <w:tc>
          <w:tcPr>
            <w:tcW w:type="dxa" w:w="4513"/>
            <w:vAlign w:val="center"/>
          </w:tcPr>
          <w:p>
            <w:r>
              <w:rPr>
                <w:b w:val="0"/>
                <w:sz w:val="16"/>
              </w:rPr>
              <w:t>ServiceNow web interface and email notification.</w:t>
            </w:r>
          </w:p>
        </w:tc>
      </w:tr>
      <w:tr>
        <w:tc>
          <w:tcPr>
            <w:tcW w:type="dxa" w:w="4513"/>
            <w:vAlign w:val="center"/>
          </w:tcPr>
          <w:p>
            <w:r>
              <w:rPr>
                <w:b w:val="0"/>
                <w:sz w:val="16"/>
              </w:rPr>
              <w:t>Root cause</w:t>
            </w:r>
          </w:p>
        </w:tc>
        <w:tc>
          <w:tcPr>
            <w:tcW w:type="dxa" w:w="4513"/>
            <w:vAlign w:val="center"/>
          </w:tcPr>
          <w:p>
            <w:r>
              <w:rPr>
                <w:b w:val="0"/>
                <w:sz w:val="16"/>
              </w:rPr>
              <w:t>Classification is dependent on manual interpretation instead of a consistent automated rule set.</w:t>
            </w:r>
          </w:p>
        </w:tc>
      </w:tr>
      <w:tr>
        <w:tc>
          <w:tcPr>
            <w:tcW w:type="dxa" w:w="4513"/>
            <w:vAlign w:val="center"/>
          </w:tcPr>
          <w:p>
            <w:r>
              <w:rPr>
                <w:b w:val="0"/>
                <w:sz w:val="16"/>
              </w:rPr>
              <w:t>Your solution</w:t>
            </w:r>
          </w:p>
        </w:tc>
        <w:tc>
          <w:tcPr>
            <w:tcW w:type="dxa" w:w="4513"/>
            <w:vAlign w:val="center"/>
          </w:tcPr>
          <w:p>
            <w:r>
              <w:rPr>
                <w:b w:val="0"/>
                <w:sz w:val="16"/>
              </w:rPr>
              <w:t>ServiceNow Flow Designer classifies supported keywords into Category/Subcategory and sends a confirmation email.</w:t>
            </w:r>
          </w:p>
        </w:tc>
      </w:tr>
    </w:tbl>
    <w:sectPr w:rsidR="004360B1">
      <w:pgSz w:w="11906" w:h="16838"/>
      <w:pgMar w:top="864" w:right="936" w:bottom="864" w:left="93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