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>
            <w:r>
              <w:rPr>
                <w:b w:val="0"/>
                <w:sz w:val="18"/>
              </w:rP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Problem Statement (Problem to be solved)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School IT requests require consistent classification, but manual triage can delay routing and produce inconsistent Category/Subcategory values.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Idea / Solution description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Create a custom Incident Workflow table and a Flow Designer automation that classifies new records from Short Description keywords and emails the caller.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Novelty / Uniqueness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The solution combines a lightweight custom table, dependent Category/Subcategory choices, deterministic keyword branches and native email notification in one no-code workflow.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Social Impact / Customer Satisfaction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Reduces avoidable triage effort, gives users faster acknowledgement and creates structured ticket data for support teams.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Business Model (Revenue Model)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No direct revenue model is required for this academic project. Value is operational efficiency and reduced manual support effort.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w="3658" w:type="dxa"/>
          </w:tcPr>
          <w:p>
            <w:r>
              <w:rPr>
                <w:b w:val="0"/>
                <w:sz w:val="16"/>
              </w:rPr>
              <w:t>Scalability of the Solution</w:t>
            </w:r>
          </w:p>
        </w:tc>
        <w:tc>
          <w:tcPr>
            <w:tcW w:w="4508" w:type="dxa"/>
          </w:tcPr>
          <w:p>
            <w:r>
              <w:rPr>
                <w:b w:val="0"/>
                <w:sz w:val="16"/>
              </w:rPr>
              <w:t>Additional categories, keywords, routing actions and notifications can be added as new Flow Designer branches or maintained through a more data-driven rules design.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64" w:right="936" w:bottom="864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