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rPr>
                <w:b w:val="0"/>
                <w:sz w:val="18"/>
              </w:rPr>
              <w:t>Not provided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>
            <w:r>
              <w:rPr>
                <w:b w:val="0"/>
                <w:sz w:val="18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br w:type="page"/>
      </w:r>
    </w:p>
    <w:p>
      <w:pPr>
        <w:jc w:val="center"/>
      </w:pPr>
      <w:r>
        <w:rPr>
          <w:b/>
          <w:sz w:val="36"/>
        </w:rPr>
        <w:t>Completed Solution Architecture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auto_tic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ServiceNow solution architecture for automated ticket classification.</w:t>
      </w:r>
    </w:p>
    <w:p>
      <w:pPr>
        <w:pStyle w:val="Heading2"/>
      </w:pPr>
      <w:r>
        <w:t>Architecture Components</w:t>
      </w:r>
    </w:p>
    <w:p>
      <w:r>
        <w:rPr>
          <w:b/>
        </w:rPr>
        <w:t xml:space="preserve">• </w:t>
      </w:r>
      <w:r>
        <w:t>Requester interacts with the ServiceNow Incident Workflow form.</w:t>
      </w:r>
    </w:p>
    <w:p>
      <w:r>
        <w:rPr>
          <w:b/>
        </w:rPr>
        <w:t xml:space="preserve">• </w:t>
      </w:r>
      <w:r>
        <w:t>Record Created trigger starts the Auto Classify School IT Tickets flow when Category is empty.</w:t>
      </w:r>
    </w:p>
    <w:p>
      <w:r>
        <w:rPr>
          <w:b/>
        </w:rPr>
        <w:t xml:space="preserve">• </w:t>
      </w:r>
      <w:r>
        <w:t>Flow Designer evaluates Short Description through Wi-Fi/Network, Project/Hardware, Access/ForgotPass and Performance/SlowComputer branches.</w:t>
      </w:r>
    </w:p>
    <w:p>
      <w:r>
        <w:rPr>
          <w:b/>
        </w:rPr>
        <w:t xml:space="preserve">• </w:t>
      </w:r>
      <w:r>
        <w:t>Update Record writes the corresponding Category and Subcategory to the same Incident Workflow record.</w:t>
      </w:r>
    </w:p>
    <w:p>
      <w:r>
        <w:rPr>
          <w:b/>
        </w:rPr>
        <w:t xml:space="preserve">• </w:t>
      </w:r>
      <w:r>
        <w:t>Send Email notifies the caller after the classification path completes.</w:t>
      </w:r>
    </w:p>
    <w:p>
      <w:r>
        <w:rPr>
          <w:b/>
        </w:rPr>
        <w:t xml:space="preserve">• </w:t>
      </w:r>
      <w:r>
        <w:t>Project Update Set captures deployable configuration for transport.</w:t>
      </w:r>
    </w:p>
    <w:sectPr w:rsidR="00E370AF">
      <w:pgSz w:w="11906" w:h="16838"/>
      <w:pgMar w:top="864" w:right="936" w:bottom="864" w:left="93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