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Response to Reviewers — Manuscript ID 1926843</w:t>
      </w:r>
    </w:p>
    <w:p>
      <w:r>
        <w:t>We thank both reviewers for a careful, technically substantive review. Both reviewers converged on the same root cause for our original submission's central methodological weakness (image-level train/test splitting) and identified two further real issues we had not recognized: channel fusion before feature extraction, and a bug in Supplementary Figure S7 in which the plotted loss curve came from an unrelated, unused script. We have re-run the full analysis pipeline to address every point raised. Below we respond to each comment individually; italicized text reproduces the reviewer's comment, and our response follows in each case. All results below reflect the revised manuscript's actual output tables (Tables 1-9), not summaries.</w:t>
      </w:r>
    </w:p>
    <w:p>
      <w:pPr>
        <w:spacing w:before="280" w:after="120"/>
      </w:pPr>
      <w:r>
        <w:rPr>
          <w:b/>
          <w:sz w:val="26"/>
        </w:rPr>
        <w:t>Reviewer 1</w:t>
      </w:r>
    </w:p>
    <w:p>
      <w:pPr>
        <w:spacing w:before="200" w:after="40"/>
      </w:pPr>
      <w:r>
        <w:rPr>
          <w:b/>
          <w:sz w:val="22"/>
        </w:rPr>
        <w:t>Comment 1 — Train/validation/test split construction</w:t>
      </w:r>
    </w:p>
    <w:p>
      <w:pPr>
        <w:spacing w:after="80"/>
      </w:pPr>
      <w:r>
        <w:rPr>
          <w:b/>
          <w:i/>
        </w:rPr>
        <w:t xml:space="preserve">Reviewer comment: </w:t>
      </w:r>
      <w:r>
        <w:rPr>
          <w:i/>
        </w:rPr>
        <w:t>The manuscript states that 824 images were divided into 560 training, 99 validation, and 165 test images, but it is not clear whether the split was performed randomly at the image level or grouped by compound... The authors should provide the exact splitting procedure and demonstrate that there is no overlap of compound/treatment identities between the relevant partitions. Ideally, the principal analysis should be repeated using a group-wise split...</w:t>
      </w:r>
    </w:p>
    <w:p>
      <w:pPr>
        <w:spacing w:after="200"/>
        <w:jc w:val="both"/>
      </w:pPr>
      <w:r>
        <w:rPr>
          <w:b/>
        </w:rPr>
        <w:t xml:space="preserve">Response: </w:t>
      </w:r>
      <w:r>
        <w:t>The original split was indeed performed at the image level, stratified only by class label, with no control for compound identity. We agree this was the single most important issue with the original submission. We have replaced it with a compound-level grouped split (Methods 2.1): every image belonging to a given compound is assigned entirely to one partition (train, validation, or test), so no compound's images can appear in more than one partition. The entire principal analysis (all five models, all tables and figures) has been re-run on this corrected split. The new split contains 468 training, 28 validation, and 328 test images (Table 1); the change in partition sizes from the original 560/99/165 reflects the change in splitting unit (compound rather than image) and the uneven number of images per compound. Four of ten classes are represented in this dataset subset by a single compound each and cannot be split at the compound level without leakage; we kept these four classes entirely in training and report their absence from validation/test explicitly throughout, rather than silently dropping their metrics (Table 1, Methods 2.1, Limitations). All headline results changed substantially under the corrected split (Results 3.1-3.3); we consider the new results more defensible, not merely different.</w:t>
      </w:r>
    </w:p>
    <w:p>
      <w:pPr>
        <w:spacing w:before="200" w:after="40"/>
      </w:pPr>
      <w:r>
        <w:rPr>
          <w:b/>
          <w:sz w:val="22"/>
        </w:rPr>
        <w:t>Comment 2 — Pulmonary/redox-pharmacology framing</w:t>
      </w:r>
    </w:p>
    <w:p>
      <w:pPr>
        <w:spacing w:after="80"/>
      </w:pPr>
      <w:r>
        <w:rPr>
          <w:b/>
          <w:i/>
        </w:rPr>
        <w:t xml:space="preserve">Reviewer comment: </w:t>
      </w:r>
      <w:r>
        <w:rPr>
          <w:i/>
        </w:rPr>
        <w:t>The pulmonary and redox-pharmacology framing appears considerably stronger than the experimental evidence supports... The authors should either provide an independent redox-related validation or substantially moderate the title, Abstract, Discussion, and Conclusion...</w:t>
      </w:r>
    </w:p>
    <w:p>
      <w:pPr>
        <w:spacing w:after="200"/>
        <w:jc w:val="both"/>
      </w:pPr>
      <w:r>
        <w:rPr>
          <w:b/>
        </w:rPr>
        <w:t xml:space="preserve">Response: </w:t>
      </w:r>
      <w:r>
        <w:t>We agree and have taken the second option. The title, Abstract, Introduction, Discussion (Section 4.3), and Conclusion have all been rewritten to present this work as a computational benchmarking and methodology study on BBBC021 MOA classification. We no longer state or imply that the learned morphological features are demonstrated oxidative-stress-associated signatures, and we removed the unsupported claim (originally in the Discussion) that specific ablation-ranked features “reflect cellular-state changes associated with ROS-mediated cytotoxicity.” Relevance to redox pharmacology and pulmonary disease is retained only as a stated motivation for why MOA classification pipelines of this kind matter, explicitly flagged in the Discussion (Section 4.3) and Limitations (Section 4.4) as an untested direction requiring either an independent ROS/oxidative-stress readout or a pulmonary cell-based assay, neither of which is part of the present study.</w:t>
      </w:r>
    </w:p>
    <w:p>
      <w:pPr>
        <w:spacing w:before="200" w:after="40"/>
      </w:pPr>
      <w:r>
        <w:rPr>
          <w:b/>
          <w:sz w:val="22"/>
        </w:rPr>
        <w:t>Comment 3 — Seed replication for pretrained vs. scratch comparison</w:t>
      </w:r>
    </w:p>
    <w:p>
      <w:pPr>
        <w:spacing w:after="80"/>
      </w:pPr>
      <w:r>
        <w:rPr>
          <w:b/>
          <w:i/>
        </w:rPr>
        <w:t xml:space="preserve">Reviewer comment: </w:t>
      </w:r>
      <w:r>
        <w:rPr>
          <w:i/>
        </w:rPr>
        <w:t>The Discussion states that five additional random initializations of the scratch ResNet-18 produced AUC values ranging approximately from 0.75 to 0.96, whereas the principal reported scratch result is substantially lower... All deep-learning models, particularly both ResNet-18 conditions, should be trained using multiple predefined random seeds, and performance should be reported as distributions or mean ± SD/CI...</w:t>
      </w:r>
    </w:p>
    <w:p>
      <w:pPr>
        <w:spacing w:after="200"/>
        <w:jc w:val="both"/>
      </w:pPr>
      <w:r>
        <w:rPr>
          <w:b/>
        </w:rPr>
        <w:t xml:space="preserve">Response: </w:t>
      </w:r>
      <w:r>
        <w:t>Both ResNet-18 conditions are now trained across five predefined seeds (1, 7, 42, 123, 999) under the corrected compound-level split and per-channel features, with the split held fixed across seeds (Methods 2.3). This is now the primary reported result for both conditions everywhere they appear (Table 3, Figures 5c, Results 3.2-3.3), not a single run. Under the five-seed distribution: scratch ResNet-18 accuracy = 0.261 ± 0.076 (range 0.174-0.357), AUC = 0.826 ± 0.048 (range 0.764-0.875); pretrained ResNet-18 accuracy = 0.721 ± 0.042 (range 0.652-0.756), AUC = 0.965 ± 0.007 (range 0.957-0.974). The pretrained model is significantly higher-performing (Welch t=11.83, p&lt;0.0001 for accuracy; t=6.38, p=0.0027 for AUC) and roughly 7-fold more stable across seeds by AUC standard deviation, which we now report as a finding in its own right (Discussion 4.2) rather than a Discussion-only caveat.</w:t>
      </w:r>
    </w:p>
    <w:p>
      <w:pPr>
        <w:spacing w:before="200" w:after="40"/>
      </w:pPr>
      <w:r>
        <w:rPr>
          <w:b/>
          <w:sz w:val="22"/>
        </w:rPr>
        <w:t>Comment 4 — Training-protocol comparability between ResNet conditions</w:t>
      </w:r>
    </w:p>
    <w:p>
      <w:pPr>
        <w:spacing w:after="80"/>
      </w:pPr>
      <w:r>
        <w:rPr>
          <w:b/>
          <w:i/>
        </w:rPr>
        <w:t xml:space="preserve">Reviewer comment: </w:t>
      </w:r>
      <w:r>
        <w:rPr>
          <w:i/>
        </w:rPr>
        <w:t>Please provide the complete training protocol for each model, including optimizer, learning rates, batch size, total epochs, weight decay, augmentation, loss function, class weighting, early stopping/model-selection criteria, and random seeds, and ensure that the comparison is methodologically fair.</w:t>
      </w:r>
    </w:p>
    <w:p>
      <w:pPr>
        <w:spacing w:after="200"/>
        <w:jc w:val="both"/>
      </w:pPr>
      <w:r>
        <w:rPr>
          <w:b/>
        </w:rPr>
        <w:t xml:space="preserve">Response: </w:t>
      </w:r>
      <w:r>
        <w:t>On inspecting the code to answer this question precisely, we found a genuine asymmetry the original manuscript did not disclose because we had not recognized it ourselves: the scratch ResNet-18 was trained for only 10 epochs, while the pretrained ResNet-18 was trained for 10 (frozen stage) + 6 (fine-tuning stage) = 16 epochs. We have corrected this: the scratch model now trains for the same total budget of 16 epochs (Methods 2.3), so the comparison isolates the effect of pretraining rather than the effect of additional gradient updates. Full protocol, now stated explicitly (Methods 2.3): Adam optimizer, softmax cross-entropy loss, batch size 16, no weight decay, no data augmentation, no class weighting or resampling for any deep-learning model, no early stopping (final-epoch checkpoint used for evaluation for all models), 5 predefined seeds per ResNet-18 condition. CNN: 6 epochs, lr=1e-3. ResNet-18 pretrained: stage 1 (frozen backbone, FC only) 10 epochs at lr=1e-3; stage 2 (last two residual blocks + FC unfrozen) 6 epochs at lr=1e-4. ResNet-18 scratch: 16 epochs at lr=1e-3, all layers trainable throughout (no frozen stage, since there is no pretrained representation to protect).</w:t>
      </w:r>
    </w:p>
    <w:p>
      <w:pPr>
        <w:spacing w:before="200" w:after="40"/>
      </w:pPr>
      <w:r>
        <w:rPr>
          <w:b/>
          <w:sz w:val="22"/>
        </w:rPr>
        <w:t>Comment 5 — DeLong test validity for macro-averaged multiclass AUC</w:t>
      </w:r>
    </w:p>
    <w:p>
      <w:pPr>
        <w:spacing w:after="80"/>
      </w:pPr>
      <w:r>
        <w:rPr>
          <w:b/>
          <w:i/>
        </w:rPr>
        <w:t xml:space="preserve">Reviewer comment: </w:t>
      </w:r>
      <w:r>
        <w:rPr>
          <w:i/>
        </w:rPr>
        <w:t>The conventional DeLong procedure is defined for comparison of correlated ROC AUCs, and its application to an aggregated multiclass macro-OvR quantity is not self-evident... A paired bootstrap analysis of the difference in macro-AUC... would provide a more transparent complementary comparison.</w:t>
      </w:r>
    </w:p>
    <w:p>
      <w:pPr>
        <w:spacing w:after="200"/>
        <w:jc w:val="both"/>
      </w:pPr>
      <w:r>
        <w:rPr>
          <w:b/>
        </w:rPr>
        <w:t xml:space="preserve">Response: </w:t>
      </w:r>
      <w:r>
        <w:t>We agree and have made the paired bootstrap test the primary statistical comparison (Methods 2.4): the test set is resampled with replacement 2,000 times, macro-AUC is recomputed for both models on each resample with model pairing preserved, and we report the resulting 95% percentile CI and a two-sided bootstrap p-value. DeLong is retained only as a secondary, clearly labeled cross-check (Table 9); both methods agree in direction and significance for both comparisons reported (pretrained ResNet-18 vs. Random Forest: bootstrap CI [0.033, 0.078], p&lt;0.001, DeLong z=5.10, p=3.4e-7; CNN vs. Random Forest: bootstrap CI [-0.374, -0.314], p&lt;0.001, DeLong z=-22.07, p=6.0e-108). We describe explicitly how the multiclass predictions were transformed (macro-OvR, mean over per-class binarized AUCs restricted to test-evaluable classes) and note that the bootstrap resamples test images, not compounds, since 4 of 6 test-evaluable classes have only 2-3 test compounds -- too few to support a compound-level resampling scheme (Methods 2.4, Limitations 4.4).</w:t>
      </w:r>
    </w:p>
    <w:p>
      <w:pPr>
        <w:spacing w:before="200" w:after="40"/>
      </w:pPr>
      <w:r>
        <w:rPr>
          <w:b/>
          <w:sz w:val="22"/>
        </w:rPr>
        <w:t>Comment 6 — Preprocessing, channel fusion, and normalization detail</w:t>
      </w:r>
    </w:p>
    <w:p>
      <w:pPr>
        <w:spacing w:after="80"/>
      </w:pPr>
      <w:r>
        <w:rPr>
          <w:b/>
          <w:i/>
        </w:rPr>
        <w:t xml:space="preserve">Reviewer comment: </w:t>
      </w:r>
      <w:r>
        <w:rPr>
          <w:i/>
        </w:rPr>
        <w:t>The fluorescence channels are fused into a grayscale image and subsequently intensity-normalized and contrast-enhanced, yet intensity-based variables such as mean intensity and total intensity are among the principal predictive features. The authors should specify whether normalization was performed per image, per batch, or globally... All normalization parameters must also be estimated without using test-set information.</w:t>
      </w:r>
    </w:p>
    <w:p>
      <w:pPr>
        <w:spacing w:after="200"/>
        <w:jc w:val="both"/>
      </w:pPr>
      <w:r>
        <w:rPr>
          <w:b/>
        </w:rPr>
        <w:t xml:space="preserve">Response: </w:t>
      </w:r>
      <w:r>
        <w:t>We have replaced channel fusion with per-channel feature extraction entirely (Methods 2.2), which directly resolves the interpretability concern: every intensity-based feature is now explicitly attributed to a channel (e.g., dapi_mean_intensity), so “intensity of which marker” is no longer ambiguous. Per-image intensity normalization/contrast-enhancement (resize, clip, normalize) is applied identically and independently to every image regardless of split membership, so it introduces no train/test leakage. Within-batch z-score normalization for the batch-effect analysis (Methods 2.4, Results 3.5) is computed per acquisition batch using that batch's own images; we note this normalization is used only for the batch-effect diagnostic in Section 3.5/Figure 8, not for the features fed to the classifiers evaluated in Sections 3.1-3.3, so it cannot leak test-set information into model training.</w:t>
      </w:r>
    </w:p>
    <w:p>
      <w:pPr>
        <w:spacing w:before="200" w:after="40"/>
      </w:pPr>
      <w:r>
        <w:rPr>
          <w:b/>
          <w:sz w:val="22"/>
        </w:rPr>
        <w:t>Comment 7 — “Biological validation” terminology and dose-response analysis</w:t>
      </w:r>
    </w:p>
    <w:p>
      <w:pPr>
        <w:spacing w:after="80"/>
      </w:pPr>
      <w:r>
        <w:rPr>
          <w:b/>
          <w:i/>
        </w:rPr>
        <w:t xml:space="preserve">Reviewer comment: </w:t>
      </w:r>
      <w:r>
        <w:rPr>
          <w:i/>
        </w:rPr>
        <w:t>The reported Kruskal-Wallis differences among MOA classes essentially demonstrate that selected morphological features vary across the same class labels used for classification. This does not constitute independent biological validation... The authors should consider compound-stratified dose-response analyses...</w:t>
      </w:r>
    </w:p>
    <w:p>
      <w:pPr>
        <w:spacing w:after="200"/>
        <w:jc w:val="both"/>
      </w:pPr>
      <w:r>
        <w:rPr>
          <w:b/>
        </w:rPr>
        <w:t xml:space="preserve">Response: </w:t>
      </w:r>
      <w:r>
        <w:t>We agree the Kruskal-Wallis result is a statistical association with the classification labels, not independent biological validation, and we no longer describe it as validation in the revised text (Results 3.5 now reads ‘class-stratification’ rather than ‘biological validation’ as the primary framing). The dose-response analysis is now computed within each compound separately rather than pooled across compounds of differing potency (Methods 2.4, Results 3.5, Table 6): we report the median within-compound Spearman correlation and the fraction of tested compounds (of 8 with sufficient concentration levels) showing a sign-consistent dose-response relationship. Magnitudes are smaller than the pooled correlation we originally reported (median ρ -0.02 to -0.33 vs. a pooled ρ≈10.20), which we present as the expected and more honest consequence of not conflating potency across compounds.</w:t>
      </w:r>
    </w:p>
    <w:p>
      <w:pPr>
        <w:spacing w:before="200" w:after="40"/>
      </w:pPr>
      <w:r>
        <w:rPr>
          <w:b/>
          <w:sz w:val="22"/>
        </w:rPr>
        <w:t>Comment 8 — Missing implementation details (LR/RF hyperparameters, ECE, proper scoring rules)</w:t>
      </w:r>
    </w:p>
    <w:p>
      <w:pPr>
        <w:spacing w:after="80"/>
      </w:pPr>
      <w:r>
        <w:rPr>
          <w:b/>
          <w:i/>
        </w:rPr>
        <w:t xml:space="preserve">Reviewer comment: </w:t>
      </w:r>
      <w:r>
        <w:rPr>
          <w:i/>
        </w:rPr>
        <w:t>For Logistic Regression and Random Forest, hyperparameters, scaling, regularization, class weighting, number of trees, and tuning procedures should be reported. For ECE, the number and definition of calibration bins and the multiclass calculation procedure should be specified... reporting additional proper scoring rules such as negative log-likelihood or Brier score would strengthen this analysis.</w:t>
      </w:r>
    </w:p>
    <w:p>
      <w:pPr>
        <w:spacing w:after="200"/>
        <w:jc w:val="both"/>
      </w:pPr>
      <w:r>
        <w:rPr>
          <w:b/>
        </w:rPr>
        <w:t xml:space="preserve">Response: </w:t>
      </w:r>
      <w:r>
        <w:t>Full LR/RF configuration is now stated in Methods 2.3: Logistic Regression (median imputation, standardization, L-BFGS solver, C=1.0, max_iter=2500, no class weighting, no hyperparameter search) and Random Forest (450 trees, class_weight='balanced_subsample', median imputation, remaining hyperparameters at scikit-learn defaults, no hyperparameter search). ECE definition is now stated explicitly (Methods 2.4): confidence-based (max-probability), 10 uniform-width bins over [0,1], sample-weighted average absolute gap between binned confidence and binned accuracy. We have not added NLL/Brier score in this revision cycle given the scope of changes already required; we note this as a straightforward addition for a future revision round if the editor and reviewers consider it necessary before acceptance, since ECE alone (n=328 across 6 evaluable classes) is admittedly a limited basis for a strong calibration claim, a point we now state directly (Results 3.4).</w:t>
      </w:r>
    </w:p>
    <w:p>
      <w:r>
        <w:br w:type="page"/>
      </w:r>
    </w:p>
    <w:p>
      <w:pPr>
        <w:spacing w:before="280" w:after="120"/>
      </w:pPr>
      <w:r>
        <w:rPr>
          <w:b/>
          <w:sz w:val="26"/>
        </w:rPr>
        <w:t>Reviewer 2</w:t>
      </w:r>
    </w:p>
    <w:p>
      <w:pPr>
        <w:spacing w:before="200" w:after="40"/>
      </w:pPr>
      <w:r>
        <w:rPr>
          <w:b/>
          <w:sz w:val="22"/>
        </w:rPr>
        <w:t>Comment 1 — Split respects experimental structure</w:t>
      </w:r>
    </w:p>
    <w:p>
      <w:pPr>
        <w:spacing w:after="80"/>
      </w:pPr>
      <w:r>
        <w:rPr>
          <w:b/>
          <w:i/>
        </w:rPr>
        <w:t xml:space="preserve">Reviewer comment: </w:t>
      </w:r>
      <w:r>
        <w:rPr>
          <w:i/>
        </w:rPr>
        <w:t>No mention is made of how the partition respects the experimental structure of BBBC021... Please re-run all five models under well-level grouped splitting at minimum, and under NSC / NSCB leave-one-compound-out as the primary protocol.</w:t>
      </w:r>
    </w:p>
    <w:p>
      <w:pPr>
        <w:spacing w:after="200"/>
        <w:jc w:val="both"/>
      </w:pPr>
      <w:r>
        <w:rPr>
          <w:b/>
        </w:rPr>
        <w:t xml:space="preserve">Response: </w:t>
      </w:r>
      <w:r>
        <w:t>Implemented as requested: every image is now assigned to train/val/test by compound identity (Methods 2.1), which is a stricter guarantee than well-level grouping (no compound's images, across any of its wells, appear in more than one partition) and is effectively a leave-some-compounds-out protocol per class, given how few compounds most classes contain (Table 1). We did not implement a strict leave-one-compound-out cross-validation protocol (which would require retraining each model once per held-out compound); given the very small number of compounds in several classes (as few as 1-2), a single grouped train/val/test split was judged more stable and interpretable than per-compound cross-validation at this sample size, and we say so directly as a scoping decision (Methods 2.1). All five models were re-run under this split (Tables 2-3); as the reviewer predicted, the gap between the pretrained ResNet-18 and the feature-based baselines narrows substantially once leakage is removed.</w:t>
      </w:r>
    </w:p>
    <w:p>
      <w:pPr>
        <w:spacing w:before="200" w:after="40"/>
      </w:pPr>
      <w:r>
        <w:rPr>
          <w:b/>
          <w:sz w:val="22"/>
        </w:rPr>
        <w:t>Comment 2 — “≥80 images” inclusion criterion contradicted by data</w:t>
      </w:r>
    </w:p>
    <w:p>
      <w:pPr>
        <w:spacing w:after="80"/>
      </w:pPr>
      <w:r>
        <w:rPr>
          <w:b/>
          <w:i/>
        </w:rPr>
        <w:t xml:space="preserve">Reviewer comment: </w:t>
      </w:r>
      <w:r>
        <w:rPr>
          <w:i/>
        </w:rPr>
        <w:t>This is contradicted by the data. Row sums of the confusion matrices... give test-set supports of 12, 22, 32, 9, 2, 17, 27, 32, 10 and 2 across the ten classes... Either the criterion is inaccurate as stated or the split was not stratified. Please clarify and correct.</w:t>
      </w:r>
    </w:p>
    <w:p>
      <w:pPr>
        <w:spacing w:after="200"/>
        <w:jc w:val="both"/>
      </w:pPr>
      <w:r>
        <w:rPr>
          <w:b/>
        </w:rPr>
        <w:t xml:space="preserve">Response: </w:t>
      </w:r>
      <w:r>
        <w:t>The reviewer is correct, and we thank them for identifying this precisely -- the stated criterion was simply wrong. The true class-selection rule (Methods 2.1) is: the 10 most-represented MOA classes among compounds with an annotated MOA label in the ~1,600-image candidate pool retrieved from the 16 downloaded archive files, with no minimum-images-per-class threshold applied. Actual class sizes range from 12 to 160 images (Table 1); the two smallest classes (DNA replication, Protein synthesis) have only 12 images each. We have removed the incorrect “≥80 images” statement and replaced it with the actual criterion.</w:t>
      </w:r>
    </w:p>
    <w:p>
      <w:pPr>
        <w:spacing w:before="200" w:after="40"/>
      </w:pPr>
      <w:r>
        <w:rPr>
          <w:b/>
          <w:sz w:val="22"/>
        </w:rPr>
        <w:t>Comment 3 — Channel fusion discards MOA-discriminative signal</w:t>
      </w:r>
    </w:p>
    <w:p>
      <w:pPr>
        <w:spacing w:after="80"/>
      </w:pPr>
      <w:r>
        <w:rPr>
          <w:b/>
          <w:i/>
        </w:rPr>
        <w:t xml:space="preserve">Reviewer comment: </w:t>
      </w:r>
      <w:r>
        <w:rPr>
          <w:i/>
        </w:rPr>
        <w:t>BBBC021 images are three-channel (DNA, β-tubulin, F-actin), and the distinction between microtubule destabilizers, stabilizers, actin disruptors and DNA-damaging agents is precisely the distinction between which channel changes... Please extract features per channel and report the result.</w:t>
      </w:r>
    </w:p>
    <w:p>
      <w:pPr>
        <w:spacing w:after="200"/>
        <w:jc w:val="both"/>
      </w:pPr>
      <w:r>
        <w:rPr>
          <w:b/>
        </w:rPr>
        <w:t xml:space="preserve">Response: </w:t>
      </w:r>
      <w:r>
        <w:t>Implemented exactly as requested (Methods 2.2): all 14 morphological descriptors are now computed independently per channel (DAPI, Tubulin, Actin), yielding 42 named, channel-attributable features, and deep-learning models now receive the genuine 3-channel image stack rather than a fused-and-repeated grayscale channel. Holding the compound-level split fixed, this change alone improved Random Forest macro-AUC from 0.810 to 0.904 and Logistic Regression from 0.794 to 0.866 (Results 3.1), directly supporting the reviewer's hypothesis about the mechanism of the original models' underperformance.</w:t>
      </w:r>
    </w:p>
    <w:p>
      <w:pPr>
        <w:spacing w:before="200" w:after="40"/>
      </w:pPr>
      <w:r>
        <w:rPr>
          <w:b/>
          <w:sz w:val="22"/>
        </w:rPr>
        <w:t>Comment 4 — Training configuration not reported</w:t>
      </w:r>
    </w:p>
    <w:p>
      <w:pPr>
        <w:spacing w:after="80"/>
      </w:pPr>
      <w:r>
        <w:rPr>
          <w:b/>
          <w:i/>
        </w:rPr>
        <w:t xml:space="preserve">Reviewer comment: </w:t>
      </w:r>
      <w:r>
        <w:rPr>
          <w:i/>
        </w:rPr>
        <w:t>Please state total epochs, optimiser, initial learning rate and schedule, batch size, weight decay, augmentation policy, any class weighting or resampling... the early-stopping criterion, and the checkpoint-selection rule. The loss function should also be stated explicitly. The stage-2 epoch count is described only as ‘the remaining epochs’, with no total given anywhere.</w:t>
      </w:r>
    </w:p>
    <w:p>
      <w:pPr>
        <w:spacing w:after="200"/>
        <w:jc w:val="both"/>
      </w:pPr>
      <w:r>
        <w:rPr>
          <w:b/>
        </w:rPr>
        <w:t xml:space="preserve">Response: </w:t>
      </w:r>
      <w:r>
        <w:t>Full protocol now stated (Methods 2.3), reproduced here: Adam optimizer, softmax cross-entropy loss (all deep models), batch size 16, no weight decay, no augmentation, no class weighting/resampling, no early stopping (final-epoch checkpoint evaluated for every model). CNN: 6 epochs, lr=1e-3. ResNet-18 pretrained: stage 1 = 10 epochs at lr=1e-3 (frozen backbone); stage 2 = 6 epochs at lr=1e-4 (last two residual blocks + FC unfrozen); total = 16 epochs. ResNet-18 scratch: 16 epochs at lr=1e-3 (all layers trainable), matched to the pretrained model's total budget -- this is itself a correction, since the original scratch model trained for only 10 epochs, an asymmetry we had not previously recognized or disclosed.</w:t>
      </w:r>
    </w:p>
    <w:p>
      <w:pPr>
        <w:spacing w:before="200" w:after="40"/>
      </w:pPr>
      <w:r>
        <w:rPr>
          <w:b/>
          <w:sz w:val="22"/>
        </w:rPr>
        <w:t>Comment 5 — DeLong test misapplied to macro-averaged multiclass AUC</w:t>
      </w:r>
    </w:p>
    <w:p>
      <w:pPr>
        <w:spacing w:after="80"/>
      </w:pPr>
      <w:r>
        <w:rPr>
          <w:b/>
          <w:i/>
        </w:rPr>
        <w:t xml:space="preserve">Reviewer comment: </w:t>
      </w:r>
      <w:r>
        <w:rPr>
          <w:i/>
        </w:rPr>
        <w:t>Applying it to macro-averaged multiclass AUCs, aggregated across ten one-versus-rest problems with unmodelled between-class correlation and highly unequal class support, is not valid. Please replace with a paired bootstrap on ΔAUC... and report the confidence interval of ΔAUC rather than a z-statistic.</w:t>
      </w:r>
    </w:p>
    <w:p>
      <w:pPr>
        <w:spacing w:after="200"/>
        <w:jc w:val="both"/>
      </w:pPr>
      <w:r>
        <w:rPr>
          <w:b/>
        </w:rPr>
        <w:t xml:space="preserve">Response: </w:t>
      </w:r>
      <w:r>
        <w:t>Implemented exactly as requested (Methods 2.4, Table 9): paired bootstrap on Δ macro-AUC (2,000 resamples of the test set, model pairing preserved), reported as a 95% CI and two-sided p-value, now the primary comparison. DeLong is retained only as a secondary, explicitly labeled cross-check; both agree in direction and significance for both comparisons reported.</w:t>
      </w:r>
    </w:p>
    <w:p>
      <w:pPr>
        <w:spacing w:before="200" w:after="40"/>
      </w:pPr>
      <w:r>
        <w:rPr>
          <w:b/>
          <w:sz w:val="22"/>
        </w:rPr>
        <w:t>Comment 6 — Accuracy/AUC dissociation and tiny class supports</w:t>
      </w:r>
    </w:p>
    <w:p>
      <w:pPr>
        <w:spacing w:after="80"/>
      </w:pPr>
      <w:r>
        <w:rPr>
          <w:b/>
          <w:i/>
        </w:rPr>
        <w:t xml:space="preserve">Reviewer comment: </w:t>
      </w:r>
      <w:r>
        <w:rPr>
          <w:i/>
        </w:rPr>
        <w:t>The dissociation between accuracy and AUC... is a gap of roughly 33 points in a 10-class problem and is left unexplained... Please report per-class n with every per-class metric, add weighted-average AUC alongside macro-average, and provide bootstrap confidence intervals on per-class AUCs.</w:t>
      </w:r>
    </w:p>
    <w:p>
      <w:pPr>
        <w:spacing w:after="200"/>
        <w:jc w:val="both"/>
      </w:pPr>
      <w:r>
        <w:rPr>
          <w:b/>
        </w:rPr>
        <w:t xml:space="preserve">Response: </w:t>
      </w:r>
      <w:r>
        <w:t>Per-class n is now reported for every partition (Table 1), and per-class AUC with bootstrap CIs is reported for every model in the full results tables (results_summary/advanced_model_metrics.csv, summarized as needed in the main text). We have not added a weighted-average AUC column in this revision cycle; given that 4 of 10 classes have zero test weight under the corrected split (Table 1), a support-weighted average over only the 6 evaluable classes would numerically resemble macro-AUC weighted toward the two largest of those six classes (Microtubule stabilizers and destabilizers, which together account for over 60% of the test set) rather than adding new information; we are glad to add it explicitly if the reviewer considers it still useful. The specific 33-point accuracy/AUC gap the reviewer flagged in our original submission does not have a single clean re-measurement in the revised results, since both the split and the features changed; the underlying mechanism the reviewer identified (macro-averaging is sensitive to small per-class supports) remains directly relevant and is now visible explicitly via Table 1's per-class n rather than requiring the reader to back-calculate it from confusion-matrix row sums as before.</w:t>
      </w:r>
    </w:p>
    <w:p>
      <w:pPr>
        <w:spacing w:before="200" w:after="40"/>
      </w:pPr>
      <w:r>
        <w:rPr>
          <w:b/>
          <w:sz w:val="22"/>
        </w:rPr>
        <w:t>Comment 7 — Headline scratch result drawn from the worst of six runs</w:t>
      </w:r>
    </w:p>
    <w:p>
      <w:pPr>
        <w:spacing w:after="80"/>
      </w:pPr>
      <w:r>
        <w:rPr>
          <w:b/>
          <w:i/>
        </w:rPr>
        <w:t xml:space="preserve">Reviewer comment: </w:t>
      </w:r>
      <w:r>
        <w:rPr>
          <w:i/>
        </w:rPr>
        <w:t>The value reported here... falls below the entire 0.75-0.96 range that the Discussion reports for five re-initialisations of the same model... Please report all deep models as mean ± SD and range over at least five seeds, and recompute every downstream comparison on that basis.</w:t>
      </w:r>
    </w:p>
    <w:p>
      <w:pPr>
        <w:spacing w:after="200"/>
        <w:jc w:val="both"/>
      </w:pPr>
      <w:r>
        <w:rPr>
          <w:b/>
        </w:rPr>
        <w:t xml:space="preserve">Response: </w:t>
      </w:r>
      <w:r>
        <w:t>Implemented exactly as requested for both ResNet-18 conditions (Methods 2.3, Table 3, Results 3.2-3.3): five seeds, mean ± SD and range reported as the primary result everywhere both models appear, and the statistical comparison (Section 3.3) is computed on this basis via both the single-run paired bootstrap/DeLong tests and an independent five-seed group-level test (Welch and Mann-Whitney). We have not extended multi-seed evaluation to the compact CNN in this revision cycle and say so explicitly (Limitations 4.4) rather than presenting its single run as more representative than it is.</w:t>
      </w:r>
    </w:p>
    <w:p>
      <w:pPr>
        <w:spacing w:before="200" w:after="40"/>
      </w:pPr>
      <w:r>
        <w:rPr>
          <w:b/>
          <w:sz w:val="22"/>
        </w:rPr>
        <w:t>Comment 8 — Ablation collinearity, pooled dose-response, unquantified batch correction</w:t>
      </w:r>
    </w:p>
    <w:p>
      <w:pPr>
        <w:spacing w:after="80"/>
      </w:pPr>
      <w:r>
        <w:rPr>
          <w:b/>
          <w:i/>
        </w:rPr>
        <w:t xml:space="preserve">Reviewer comment: </w:t>
      </w:r>
      <w:r>
        <w:rPr>
          <w:i/>
        </w:rPr>
        <w:t>(i) The 'top five' ablation removes only three independent quantities... (ii) Spearman correlation... pooled across compounds of differing potency is not interpretable... (iii) The claim that normalisation confirms 'effective removal of technical variation' is asserted from visual inspection of a PCA scatter; please quantify...</w:t>
      </w:r>
    </w:p>
    <w:p>
      <w:pPr>
        <w:spacing w:after="200"/>
        <w:jc w:val="both"/>
      </w:pPr>
      <w:r>
        <w:rPr>
          <w:b/>
        </w:rPr>
        <w:t xml:space="preserve">Response: </w:t>
      </w:r>
      <w:r>
        <w:t>All three implemented. (i) Ablation now deduplicates collinear feature pairs before ranking, and removes a collinear partner alongside any feature selected for removal, so ‘N features removed’ always means N independent degrees of freedom (Methods 2.4, Table 5). (ii) Dose-response correlation is now computed within each compound and summarized by median rho and sign-consistency fraction across compounds (Methods 2.4, Table 6), replacing the pooled-across-compounds statistic. (iii) Batch-effect correction is now quantified via silhouette score on batch labels and 3-fold cross-validated batch-identity prediction accuracy, before and after normalization (Methods 2.4, Table 8), in addition to the visual PCA plots (now with %-variance-explained axis labels and a sorted legend, addressing comment 14 below); we report the improvement as modest by these metrics rather than overstating normalization's effect.</w:t>
      </w:r>
    </w:p>
    <w:p>
      <w:pPr>
        <w:spacing w:before="200" w:after="40"/>
      </w:pPr>
      <w:r>
        <w:rPr>
          <w:b/>
          <w:sz w:val="22"/>
        </w:rPr>
        <w:t>Comment 9 — Hardware specification and total epoch count for cost table</w:t>
      </w:r>
    </w:p>
    <w:p>
      <w:pPr>
        <w:spacing w:after="80"/>
      </w:pPr>
      <w:r>
        <w:rPr>
          <w:b/>
          <w:i/>
        </w:rPr>
        <w:t xml:space="preserve">Reviewer comment: </w:t>
      </w:r>
      <w:r>
        <w:rPr>
          <w:i/>
        </w:rPr>
        <w:t>No hardware specification is given... The explanation that the pretrained model trained faster... holds only for the ten frozen epochs, and the total epoch count is never stated.</w:t>
      </w:r>
    </w:p>
    <w:p>
      <w:pPr>
        <w:spacing w:after="200"/>
        <w:jc w:val="both"/>
      </w:pPr>
      <w:r>
        <w:rPr>
          <w:b/>
        </w:rPr>
        <w:t xml:space="preserve">Response: </w:t>
      </w:r>
      <w:r>
        <w:t>Hardware is now stated explicitly (Methods 2.3, Results 3.6): a single CPU-only workstation, no GPU. Total epoch counts for both ResNet-18 conditions are now stated and matched at 16 (comment 4 above), which also corrects the original speed explanation: the pretrained model's shorter training time is no longer confounded with it also seeing fewer total training epochs.</w:t>
      </w:r>
    </w:p>
    <w:p>
      <w:pPr>
        <w:spacing w:before="200" w:after="40"/>
      </w:pPr>
      <w:r>
        <w:rPr>
          <w:b/>
          <w:sz w:val="22"/>
        </w:rPr>
        <w:t>Comment 10 — Unsupported ROS-mediated-cytotoxicity attribution</w:t>
      </w:r>
    </w:p>
    <w:p>
      <w:pPr>
        <w:spacing w:after="80"/>
      </w:pPr>
      <w:r>
        <w:rPr>
          <w:b/>
          <w:i/>
        </w:rPr>
        <w:t xml:space="preserve">Reviewer comment: </w:t>
      </w:r>
      <w:r>
        <w:rPr>
          <w:i/>
        </w:rPr>
        <w:t>The statement that the dominant ablation features 'reflect cellular-state changes associated with ROS-mediated cytotoxicity' attributes a redox interpretation to spot count, mean intensity and area-covered ratio with no supporting evidence. Please remove or substantiate.</w:t>
      </w:r>
    </w:p>
    <w:p>
      <w:pPr>
        <w:spacing w:after="200"/>
        <w:jc w:val="both"/>
      </w:pPr>
      <w:r>
        <w:rPr>
          <w:b/>
        </w:rPr>
        <w:t xml:space="preserve">Response: </w:t>
      </w:r>
      <w:r>
        <w:t>Removed. The Discussion no longer attributes a redox mechanism to any specific ablation-ranked feature (Discussion 4.3).</w:t>
      </w:r>
    </w:p>
    <w:p>
      <w:pPr>
        <w:spacing w:before="200" w:after="40"/>
      </w:pPr>
      <w:r>
        <w:rPr>
          <w:b/>
          <w:sz w:val="22"/>
        </w:rPr>
        <w:t>Comment 11 — Seed-sensitivity disclosure placement reads as selective reporting</w:t>
      </w:r>
    </w:p>
    <w:p>
      <w:pPr>
        <w:spacing w:after="80"/>
      </w:pPr>
      <w:r>
        <w:rPr>
          <w:b/>
          <w:i/>
        </w:rPr>
        <w:t xml:space="preserve">Reviewer comment: </w:t>
      </w:r>
      <w:r>
        <w:rPr>
          <w:i/>
        </w:rPr>
        <w:t>Reported as written -- worst run in the tables, full range in the Discussion -- many readers will read this as selective reporting. It should be corrected rather than caveated.</w:t>
      </w:r>
    </w:p>
    <w:p>
      <w:pPr>
        <w:spacing w:after="200"/>
        <w:jc w:val="both"/>
      </w:pPr>
      <w:r>
        <w:rPr>
          <w:b/>
        </w:rPr>
        <w:t xml:space="preserve">Response: </w:t>
      </w:r>
      <w:r>
        <w:t>Corrected rather than caveated: the five-seed distribution is now the reported result in the tables themselves (Table 3), not a single run with the range disclosed only in the Discussion (Discussion 4.2).</w:t>
      </w:r>
    </w:p>
    <w:p>
      <w:pPr>
        <w:spacing w:before="200" w:after="40"/>
      </w:pPr>
      <w:r>
        <w:rPr>
          <w:b/>
          <w:sz w:val="22"/>
        </w:rPr>
        <w:t>Comment 12 — Conclusion overstates redox/pulmonary characterization</w:t>
      </w:r>
    </w:p>
    <w:p>
      <w:pPr>
        <w:spacing w:after="80"/>
      </w:pPr>
      <w:r>
        <w:rPr>
          <w:b/>
          <w:i/>
        </w:rPr>
        <w:t xml:space="preserve">Reviewer comment: </w:t>
      </w:r>
      <w:r>
        <w:rPr>
          <w:i/>
        </w:rPr>
        <w:t>Nothing in the study supports [characterizing redox-active compounds relevant to pulmonary pharmacology]... Please scope the conclusion to what was demonstrated, or add the ROS-annotation analysis proposed in the Discussion...</w:t>
      </w:r>
    </w:p>
    <w:p>
      <w:pPr>
        <w:spacing w:after="200"/>
        <w:jc w:val="both"/>
      </w:pPr>
      <w:r>
        <w:rPr>
          <w:b/>
        </w:rPr>
        <w:t xml:space="preserve">Response: </w:t>
      </w:r>
      <w:r>
        <w:t>The Conclusion has been rewritten to scope the claimed contribution to what was demonstrated: a leakage-controlled, per-channel MOA classification benchmark and methodology. We did not add the proposed ROS-annotation analysis in this revision cycle (it would require an additional, separate data-annotation effort) and instead moderated the claim, consistent with our response to Comment 2 above.</w:t>
      </w:r>
    </w:p>
    <w:p>
      <w:pPr>
        <w:spacing w:before="200" w:after="40"/>
      </w:pPr>
      <w:r>
        <w:rPr>
          <w:b/>
          <w:sz w:val="22"/>
        </w:rPr>
        <w:t>Comment 13 — Figure 3/5 legend values disagree with tables (mislabeled averaging)</w:t>
      </w:r>
    </w:p>
    <w:p>
      <w:pPr>
        <w:spacing w:after="80"/>
      </w:pPr>
      <w:r>
        <w:rPr>
          <w:b/>
          <w:i/>
        </w:rPr>
        <w:t xml:space="preserve">Reviewer comment: </w:t>
      </w:r>
      <w:r>
        <w:rPr>
          <w:i/>
        </w:rPr>
        <w:t>What is plotted is presumably a micro-averaged (pooled) curve, a different quantity... Please plot per-class curves with the macro-average overlaid, or label the micro-average correctly, and reconcile all values.</w:t>
      </w:r>
    </w:p>
    <w:p>
      <w:pPr>
        <w:spacing w:after="200"/>
        <w:jc w:val="both"/>
      </w:pPr>
      <w:r>
        <w:rPr>
          <w:b/>
        </w:rPr>
        <w:t xml:space="preserve">Response: </w:t>
      </w:r>
      <w:r>
        <w:t>Figures 3 and 5 are regenerated as genuine macro-averaged ROC curves (interpolated per-class TPR averaged over all test-evaluable classes at each FPR, per the standard macro-ROC construction), with legend AUC values that now match Table 2 exactly by construction, since both are computed from the same saved probability arrays. We additionally provide per-class ROC plots with the macro-average explicitly overlaid (Figures 3b, 5b) exactly as requested, so the relationship between per-class and macro performance is directly visible rather than collapsed into one ambiguous curve.</w:t>
      </w:r>
    </w:p>
    <w:p>
      <w:pPr>
        <w:spacing w:before="200" w:after="40"/>
      </w:pPr>
      <w:r>
        <w:rPr>
          <w:b/>
          <w:sz w:val="22"/>
        </w:rPr>
        <w:t>Comment 14 — Figure 8/S8 missing axis labels and unsorted batch legend</w:t>
      </w:r>
    </w:p>
    <w:p>
      <w:pPr>
        <w:spacing w:after="80"/>
      </w:pPr>
      <w:r>
        <w:rPr>
          <w:b/>
          <w:i/>
        </w:rPr>
        <w:t xml:space="preserve">Reviewer comment: </w:t>
      </w:r>
      <w:r>
        <w:rPr>
          <w:i/>
        </w:rPr>
        <w:t>Both lack axis labels... and variance-explained annotations for PC1 and PC2. Batch labels are unsorted, with Week1, Week3 and Week2 interleaved.</w:t>
      </w:r>
    </w:p>
    <w:p>
      <w:pPr>
        <w:spacing w:after="200"/>
        <w:jc w:val="both"/>
      </w:pPr>
      <w:r>
        <w:rPr>
          <w:b/>
        </w:rPr>
        <w:t xml:space="preserve">Response: </w:t>
      </w:r>
      <w:r>
        <w:t>Fixed directly: both panels now label PC1/PC2 with %-variance-explained, and the batch legend is sorted (Methods 2.4, Figure 8, Table 8).</w:t>
      </w:r>
    </w:p>
    <w:p>
      <w:pPr>
        <w:spacing w:before="200" w:after="40"/>
      </w:pPr>
      <w:r>
        <w:rPr>
          <w:b/>
          <w:sz w:val="22"/>
        </w:rPr>
        <w:t>Comment 15 — Supplementary Figure S7: overfitting shape, BCE-vs-softmax, unexplained epoch-7 drop, missing ResNet curves</w:t>
      </w:r>
    </w:p>
    <w:p>
      <w:pPr>
        <w:spacing w:after="80"/>
      </w:pPr>
      <w:r>
        <w:rPr>
          <w:b/>
          <w:i/>
        </w:rPr>
        <w:t xml:space="preserve">Reviewer comment: </w:t>
      </w:r>
      <w:r>
        <w:rPr>
          <w:i/>
        </w:rPr>
        <w:t>(i) the network never generalises better than its initialisation... (ii) the outputs are not a posterior distribution over the ten classes... (iii) the sharp fall at epoch 7... is unexplained... (iv) No curves are shown for either ResNet-18...</w:t>
      </w:r>
    </w:p>
    <w:p>
      <w:pPr>
        <w:spacing w:after="200"/>
        <w:jc w:val="both"/>
      </w:pPr>
      <w:r>
        <w:rPr>
          <w:b/>
        </w:rPr>
        <w:t xml:space="preserve">Response: </w:t>
      </w:r>
      <w:r>
        <w:t>The reviewer's technical diagnosis in (ii) was exactly correct, and this was the single most serious specific finding in either review. We traced the figure's generation and confirmed that Supplementary Figure S7 plotted the loss curve of a separate, abandoned exploratory script (deep_learning_pipeline.py) that trains a binary classifier (BCEWithLogitsLoss, 8 epochs, matching the figure's epoch count and initial-loss value exactly, as the reviewer inferred) and was never used to produce any result reported in the manuscript. The actual compact CNN whose results appear in Tables 2-4 is trained with softmax cross-entropy over the 10 classes (6 epochs) in a different script, which had no loss-curve logging at all. We have added loss-history logging to the correct training function and regenerated Figure 7 (renumbered from Supplementary S7) directly from that model. We also now provide loss curves for both ResNet-18 conditions (Figures 7b-c), addressing point (iv); the stage-transition epoch is marked explicitly on the pretrained curve. Because the original figure never reflected any reported result, we cannot retrospectively explain the specific overfitting shape or epoch-7 drop the reviewer described in points (i) and (iii) -- those were both artifacts of the wrong script's output being plotted, not properties of a model whose numbers appear anywhere in this manuscript, and neither the Table 2-4 ECE nor accuracy values require any correction as a result, since they were never computed from that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