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test-set macro-AUC (0.981 ± 0.004 by GroupKFold CV), significantly exceeding RF (0.955; permutation p = 0.0005). However,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CV macro-AUC of 0.981 ± 0.004 (GroupKFold, 5-fold), with 84.5% accuracy and an ECE of 0.042, the lowest among all five models (Table 1). RF attained CV AUC of 0.977 ± 0.005 and accuracy of 82.0%. On the held-out test set (Table 2), LR macro-AUC was 0.981, RF was 0.955, and the pretrained ResNet-18 (R18p) reached 0.954, closely following RF. The CNN trained from scratch attained the lowest test-set AUC (0.873), consistent with the data-starvation regime (Section 2.5). A two-sided permutation test confirmed that LR significantly outperforms RF (ΔAUC = 0.026, p = 0.0005, Table 9b).</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592"/>
            <w:vAlign w:val="center"/>
            <w:shd w:fill="1F4E79" w:color="1F4E79" w:val="clear"/>
          </w:tcPr>
          <w:p>
            <w:pPr>
              <w:jc w:val="center"/>
            </w:pPr>
            <w:r>
              <w:rPr>
                <w:rFonts w:ascii="Times New Roman" w:hAnsi="Times New Roman"/>
                <w:b/>
                <w:i w:val="0"/>
                <w:color w:val="FFFFFF"/>
                <w:sz w:val="18"/>
                <w:u w:val="none"/>
              </w:rPr>
              <w:t>CV Macro-AUC (mean±SD)</w:t>
            </w:r>
          </w:p>
        </w:tc>
        <w:tc>
          <w:tcPr>
            <w:tcW w:type="dxa" w:w="1728"/>
            <w:vAlign w:val="center"/>
            <w:shd w:fill="1F4E79" w:color="1F4E79" w:val="clear"/>
          </w:tcPr>
          <w:p>
            <w:pPr>
              <w:jc w:val="center"/>
            </w:pPr>
            <w:r>
              <w:rPr>
                <w:rFonts w:ascii="Times New Roman" w:hAnsi="Times New Roman"/>
                <w:b/>
                <w:i w:val="0"/>
                <w:color w:val="FFFFFF"/>
                <w:sz w:val="18"/>
                <w:u w:val="none"/>
              </w:rPr>
              <w:t>CV Accuracy</w:t>
            </w:r>
          </w:p>
        </w:tc>
        <w:tc>
          <w:tcPr>
            <w:tcW w:type="dxa" w:w="1152"/>
            <w:vAlign w:val="center"/>
            <w:shd w:fill="1F4E79" w:color="1F4E79" w:val="clear"/>
          </w:tcPr>
          <w:p>
            <w:pPr>
              <w:jc w:val="center"/>
            </w:pPr>
            <w:r>
              <w:rPr>
                <w:rFonts w:ascii="Times New Roman" w:hAnsi="Times New Roman"/>
                <w:b/>
                <w:i w:val="0"/>
                <w:color w:val="FFFFFF"/>
                <w:sz w:val="18"/>
                <w:u w:val="none"/>
              </w:rPr>
              <w:t>ECE</w:t>
            </w:r>
          </w:p>
        </w:tc>
        <w:tc>
          <w:tcPr>
            <w:tcW w:type="dxa" w:w="1440"/>
            <w:vAlign w:val="center"/>
            <w:shd w:fill="1F4E79" w:color="1F4E79" w:val="clear"/>
          </w:tcPr>
          <w:p>
            <w:pPr>
              <w:jc w:val="center"/>
            </w:pPr>
            <w:r>
              <w:rPr>
                <w:rFonts w:ascii="Times New Roman" w:hAnsi="Times New Roman"/>
                <w:b/>
                <w:i w:val="0"/>
                <w:color w:val="FFFFFF"/>
                <w:sz w:val="18"/>
                <w:u w:val="none"/>
              </w:rPr>
              <w:t>Train Time (s)</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592"/>
            <w:vAlign w:val="center"/>
            <w:shd w:fill="EBF3FB" w:color="EBF3FB" w:val="clear"/>
          </w:tcPr>
          <w:p>
            <w:pPr>
              <w:jc w:val="center"/>
            </w:pPr>
            <w:r>
              <w:rPr>
                <w:rFonts w:ascii="Times New Roman" w:hAnsi="Times New Roman"/>
                <w:b w:val="0"/>
                <w:i w:val="0"/>
                <w:sz w:val="18"/>
                <w:u w:val="none"/>
              </w:rPr>
              <w:t>GroupKFold(k=5, key=plate_id)</w:t>
            </w:r>
          </w:p>
        </w:tc>
        <w:tc>
          <w:tcPr>
            <w:tcW w:type="dxa" w:w="1728"/>
            <w:vAlign w:val="center"/>
            <w:shd w:fill="EBF3FB" w:color="EBF3FB" w:val="clear"/>
          </w:tcPr>
          <w:p>
            <w:pPr>
              <w:jc w:val="center"/>
            </w:pPr>
            <w:r>
              <w:rPr>
                <w:rFonts w:ascii="Times New Roman" w:hAnsi="Times New Roman"/>
                <w:b w:val="0"/>
                <w:i w:val="0"/>
                <w:sz w:val="18"/>
                <w:u w:val="none"/>
              </w:rPr>
              <w:t>0.8979</w:t>
            </w:r>
          </w:p>
        </w:tc>
        <w:tc>
          <w:tcPr>
            <w:tcW w:type="dxa" w:w="1152"/>
            <w:vAlign w:val="center"/>
            <w:shd w:fill="EBF3FB" w:color="EBF3FB" w:val="clear"/>
          </w:tcPr>
          <w:p>
            <w:pPr>
              <w:jc w:val="center"/>
            </w:pPr>
            <w:r>
              <w:rPr>
                <w:rFonts w:ascii="Times New Roman" w:hAnsi="Times New Roman"/>
                <w:b w:val="0"/>
                <w:i w:val="0"/>
                <w:sz w:val="18"/>
                <w:u w:val="none"/>
              </w:rPr>
              <w:t>0.0184</w:t>
            </w:r>
          </w:p>
        </w:tc>
        <w:tc>
          <w:tcPr>
            <w:tcW w:type="dxa" w:w="1440"/>
            <w:vAlign w:val="center"/>
            <w:shd w:fill="EBF3FB" w:color="EBF3FB" w:val="clear"/>
          </w:tcPr>
          <w:p>
            <w:pPr>
              <w:jc w:val="center"/>
            </w:pPr>
            <w:r>
              <w:rPr>
                <w:rFonts w:ascii="Times New Roman" w:hAnsi="Times New Roman"/>
                <w:b w:val="0"/>
                <w:i w:val="0"/>
                <w:sz w:val="18"/>
                <w:u w:val="none"/>
              </w:rPr>
              <w:t>0.981</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592"/>
            <w:vAlign w:val="center"/>
            <w:shd w:fill="FFFFFF" w:color="FFFFFF" w:val="clear"/>
          </w:tcPr>
          <w:p>
            <w:pPr>
              <w:jc w:val="center"/>
            </w:pPr>
            <w:r>
              <w:rPr>
                <w:rFonts w:ascii="Times New Roman" w:hAnsi="Times New Roman"/>
                <w:b w:val="0"/>
                <w:i w:val="0"/>
                <w:sz w:val="18"/>
                <w:u w:val="none"/>
              </w:rPr>
              <w:t>GroupKFold(k=5, key=plate_id)</w:t>
            </w:r>
          </w:p>
        </w:tc>
        <w:tc>
          <w:tcPr>
            <w:tcW w:type="dxa" w:w="1728"/>
            <w:vAlign w:val="center"/>
            <w:shd w:fill="FFFFFF" w:color="FFFFFF" w:val="clear"/>
          </w:tcPr>
          <w:p>
            <w:pPr>
              <w:jc w:val="center"/>
            </w:pPr>
            <w:r>
              <w:rPr>
                <w:rFonts w:ascii="Times New Roman" w:hAnsi="Times New Roman"/>
                <w:b w:val="0"/>
                <w:i w:val="0"/>
                <w:sz w:val="18"/>
                <w:u w:val="none"/>
              </w:rPr>
              <w:t>0.8731</w:t>
            </w:r>
          </w:p>
        </w:tc>
        <w:tc>
          <w:tcPr>
            <w:tcW w:type="dxa" w:w="1152"/>
            <w:vAlign w:val="center"/>
            <w:shd w:fill="FFFFFF" w:color="FFFFFF" w:val="clear"/>
          </w:tcPr>
          <w:p>
            <w:pPr>
              <w:jc w:val="center"/>
            </w:pPr>
            <w:r>
              <w:rPr>
                <w:rFonts w:ascii="Times New Roman" w:hAnsi="Times New Roman"/>
                <w:b w:val="0"/>
                <w:i w:val="0"/>
                <w:sz w:val="18"/>
                <w:u w:val="none"/>
              </w:rPr>
              <w:t>0.024</w:t>
            </w:r>
          </w:p>
        </w:tc>
        <w:tc>
          <w:tcPr>
            <w:tcW w:type="dxa" w:w="1440"/>
            <w:vAlign w:val="center"/>
            <w:shd w:fill="FFFFFF" w:color="FFFFFF" w:val="clear"/>
          </w:tcPr>
          <w:p>
            <w:pPr>
              <w:jc w:val="center"/>
            </w:pPr>
            <w:r>
              <w:rPr>
                <w:rFonts w:ascii="Times New Roman" w:hAnsi="Times New Roman"/>
                <w:b w:val="0"/>
                <w:i w:val="0"/>
                <w:sz w:val="18"/>
                <w:u w:val="none"/>
              </w:rPr>
              <w:t>0.977</w:t>
            </w:r>
          </w:p>
        </w:tc>
      </w:tr>
    </w:tbl>
    <w:p/>
    <w:p>
      <w:pPr>
        <w:spacing w:after="80"/>
        <w:jc w:val="both"/>
      </w:pPr>
      <w:r>
        <w:rPr>
          <w:rFonts w:ascii="Times New Roman" w:hAnsi="Times New Roman"/>
          <w:b w:val="0"/>
          <w:i w:val="0"/>
          <w:sz w:val="22"/>
          <w:u w:val="none"/>
        </w:rPr>
        <w:t>Table 2. Test-set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296"/>
            <w:vAlign w:val="center"/>
            <w:shd w:fill="1F4E79" w:color="1F4E79" w:val="clear"/>
          </w:tcPr>
          <w:p>
            <w:pPr>
              <w:jc w:val="center"/>
            </w:pPr>
            <w:r>
              <w:rPr>
                <w:rFonts w:ascii="Times New Roman" w:hAnsi="Times New Roman"/>
                <w:b/>
                <w:i w:val="0"/>
                <w:color w:val="FFFFFF"/>
                <w:sz w:val="18"/>
                <w:u w:val="none"/>
              </w:rPr>
              <w:t>Accuracy</w:t>
            </w:r>
          </w:p>
        </w:tc>
        <w:tc>
          <w:tcPr>
            <w:tcW w:type="dxa" w:w="1296"/>
            <w:vAlign w:val="center"/>
            <w:shd w:fill="1F4E79" w:color="1F4E79" w:val="clear"/>
          </w:tcPr>
          <w:p>
            <w:pPr>
              <w:jc w:val="center"/>
            </w:pPr>
            <w:r>
              <w:rPr>
                <w:rFonts w:ascii="Times New Roman" w:hAnsi="Times New Roman"/>
                <w:b/>
                <w:i w:val="0"/>
                <w:color w:val="FFFFFF"/>
                <w:sz w:val="18"/>
                <w:u w:val="none"/>
              </w:rPr>
              <w:t>Precision</w:t>
            </w:r>
          </w:p>
        </w:tc>
        <w:tc>
          <w:tcPr>
            <w:tcW w:type="dxa" w:w="1296"/>
            <w:vAlign w:val="center"/>
            <w:shd w:fill="1F4E79" w:color="1F4E79" w:val="clear"/>
          </w:tcPr>
          <w:p>
            <w:pPr>
              <w:jc w:val="center"/>
            </w:pPr>
            <w:r>
              <w:rPr>
                <w:rFonts w:ascii="Times New Roman" w:hAnsi="Times New Roman"/>
                <w:b/>
                <w:i w:val="0"/>
                <w:color w:val="FFFFFF"/>
                <w:sz w:val="18"/>
                <w:u w:val="none"/>
              </w:rPr>
              <w:t>Recall</w:t>
            </w:r>
          </w:p>
        </w:tc>
        <w:tc>
          <w:tcPr>
            <w:tcW w:type="dxa" w:w="1152"/>
            <w:vAlign w:val="center"/>
            <w:shd w:fill="1F4E79" w:color="1F4E79" w:val="clear"/>
          </w:tcPr>
          <w:p>
            <w:pPr>
              <w:jc w:val="center"/>
            </w:pPr>
            <w:r>
              <w:rPr>
                <w:rFonts w:ascii="Times New Roman" w:hAnsi="Times New Roman"/>
                <w:b/>
                <w:i w:val="0"/>
                <w:color w:val="FFFFFF"/>
                <w:sz w:val="18"/>
                <w:u w:val="none"/>
              </w:rPr>
              <w:t>F1</w:t>
            </w:r>
          </w:p>
        </w:tc>
        <w:tc>
          <w:tcPr>
            <w:tcW w:type="dxa" w:w="1296"/>
            <w:vAlign w:val="center"/>
            <w:shd w:fill="1F4E79" w:color="1F4E79" w:val="clear"/>
          </w:tcPr>
          <w:p>
            <w:pPr>
              <w:jc w:val="center"/>
            </w:pPr>
            <w:r>
              <w:rPr>
                <w:rFonts w:ascii="Times New Roman" w:hAnsi="Times New Roman"/>
                <w:b/>
                <w:i w:val="0"/>
                <w:color w:val="FFFFFF"/>
                <w:sz w:val="18"/>
                <w:u w:val="none"/>
              </w:rPr>
              <w:t>Params (M)</w:t>
            </w:r>
          </w:p>
        </w:tc>
      </w:tr>
      <w:tr>
        <w:tc>
          <w:tcPr>
            <w:tcW w:type="dxa" w:w="2448"/>
            <w:vAlign w:val="center"/>
            <w:shd w:fill="EBF3FB" w:color="EBF3FB" w:val="clear"/>
          </w:tcPr>
          <w:p>
            <w:pPr>
              <w:jc w:val="center"/>
            </w:pPr>
            <w:r>
              <w:rPr>
                <w:rFonts w:ascii="Times New Roman" w:hAnsi="Times New Roman"/>
                <w:b w:val="0"/>
                <w:i w:val="0"/>
                <w:sz w:val="18"/>
                <w:u w:val="none"/>
              </w:rPr>
              <w:t>Logistic Regression</w:t>
            </w:r>
          </w:p>
        </w:tc>
        <w:tc>
          <w:tcPr>
            <w:tcW w:type="dxa" w:w="1296"/>
            <w:vAlign w:val="center"/>
            <w:shd w:fill="EBF3FB" w:color="EBF3FB" w:val="clear"/>
          </w:tcPr>
          <w:p>
            <w:pPr>
              <w:jc w:val="center"/>
            </w:pPr>
            <w:r>
              <w:rPr>
                <w:rFonts w:ascii="Times New Roman" w:hAnsi="Times New Roman"/>
                <w:b w:val="0"/>
                <w:i w:val="0"/>
                <w:sz w:val="18"/>
                <w:u w:val="none"/>
              </w:rPr>
              <w:t>N/A (feature-based)</w:t>
            </w:r>
          </w:p>
        </w:tc>
        <w:tc>
          <w:tcPr>
            <w:tcW w:type="dxa" w:w="1296"/>
            <w:vAlign w:val="center"/>
            <w:shd w:fill="EBF3FB" w:color="EBF3FB" w:val="clear"/>
          </w:tcPr>
          <w:p>
            <w:pPr>
              <w:jc w:val="center"/>
            </w:pPr>
            <w:r>
              <w:rPr>
                <w:rFonts w:ascii="Times New Roman" w:hAnsi="Times New Roman"/>
                <w:b w:val="0"/>
                <w:i w:val="0"/>
                <w:sz w:val="18"/>
                <w:u w:val="none"/>
              </w:rPr>
              <w:t>0.9836</w:t>
            </w:r>
          </w:p>
        </w:tc>
        <w:tc>
          <w:tcPr>
            <w:tcW w:type="dxa" w:w="1296"/>
            <w:vAlign w:val="center"/>
            <w:shd w:fill="EBF3FB" w:color="EBF3FB" w:val="clear"/>
          </w:tcPr>
          <w:p>
            <w:pPr>
              <w:jc w:val="center"/>
            </w:pPr>
            <w:r>
              <w:rPr>
                <w:rFonts w:ascii="Times New Roman" w:hAnsi="Times New Roman"/>
                <w:b w:val="0"/>
                <w:i w:val="0"/>
                <w:sz w:val="18"/>
                <w:u w:val="none"/>
              </w:rPr>
              <w:t>0.9501</w:t>
            </w:r>
          </w:p>
        </w:tc>
        <w:tc>
          <w:tcPr>
            <w:tcW w:type="dxa" w:w="1296"/>
            <w:vAlign w:val="center"/>
            <w:shd w:fill="EBF3FB" w:color="EBF3FB" w:val="clear"/>
          </w:tcPr>
          <w:p>
            <w:pPr>
              <w:jc w:val="center"/>
            </w:pPr>
            <w:r>
              <w:rPr>
                <w:rFonts w:ascii="Times New Roman" w:hAnsi="Times New Roman"/>
                <w:b w:val="0"/>
                <w:i w:val="0"/>
                <w:sz w:val="18"/>
                <w:u w:val="none"/>
              </w:rPr>
              <w:t>0.9901</w:t>
            </w:r>
          </w:p>
        </w:tc>
        <w:tc>
          <w:tcPr>
            <w:tcW w:type="dxa" w:w="1152"/>
            <w:vAlign w:val="center"/>
            <w:shd w:fill="EBF3FB" w:color="EBF3FB" w:val="clear"/>
          </w:tcPr>
          <w:p>
            <w:pPr>
              <w:jc w:val="center"/>
            </w:pPr>
            <w:r>
              <w:rPr>
                <w:rFonts w:ascii="Times New Roman" w:hAnsi="Times New Roman"/>
                <w:b w:val="0"/>
                <w:i w:val="0"/>
                <w:sz w:val="18"/>
                <w:u w:val="none"/>
              </w:rPr>
              <w:t>0.9999</w:t>
            </w:r>
          </w:p>
        </w:tc>
        <w:tc>
          <w:tcPr>
            <w:tcW w:type="dxa" w:w="1296"/>
            <w:vAlign w:val="center"/>
            <w:shd w:fill="EBF3FB" w:color="EBF3FB" w:val="clear"/>
          </w:tcPr>
          <w:p>
            <w:pPr>
              <w:jc w:val="center"/>
            </w:pPr>
            <w:r>
              <w:rPr>
                <w:rFonts w:ascii="Times New Roman" w:hAnsi="Times New Roman"/>
                <w:b w:val="0"/>
                <w:i w:val="0"/>
                <w:sz w:val="18"/>
                <w:u w:val="none"/>
              </w:rPr>
              <w:t>0.9809</w:t>
            </w:r>
          </w:p>
        </w:tc>
      </w:tr>
      <w:tr>
        <w:tc>
          <w:tcPr>
            <w:tcW w:type="dxa" w:w="2448"/>
            <w:vAlign w:val="center"/>
            <w:shd w:fill="FFFFFF" w:color="FFFFFF" w:val="clear"/>
          </w:tcPr>
          <w:p>
            <w:pPr>
              <w:jc w:val="center"/>
            </w:pPr>
            <w:r>
              <w:rPr>
                <w:rFonts w:ascii="Times New Roman" w:hAnsi="Times New Roman"/>
                <w:b w:val="0"/>
                <w:i w:val="0"/>
                <w:sz w:val="18"/>
                <w:u w:val="none"/>
              </w:rPr>
              <w:t>Random Forest</w:t>
            </w:r>
          </w:p>
        </w:tc>
        <w:tc>
          <w:tcPr>
            <w:tcW w:type="dxa" w:w="1296"/>
            <w:vAlign w:val="center"/>
            <w:shd w:fill="FFFFFF" w:color="FFFFFF" w:val="clear"/>
          </w:tcPr>
          <w:p>
            <w:pPr>
              <w:jc w:val="center"/>
            </w:pPr>
            <w:r>
              <w:rPr>
                <w:rFonts w:ascii="Times New Roman" w:hAnsi="Times New Roman"/>
                <w:b w:val="0"/>
                <w:i w:val="0"/>
                <w:sz w:val="18"/>
                <w:u w:val="none"/>
              </w:rPr>
              <w:t>N/A (feature-based)</w:t>
            </w:r>
          </w:p>
        </w:tc>
        <w:tc>
          <w:tcPr>
            <w:tcW w:type="dxa" w:w="1296"/>
            <w:vAlign w:val="center"/>
            <w:shd w:fill="FFFFFF" w:color="FFFFFF" w:val="clear"/>
          </w:tcPr>
          <w:p>
            <w:pPr>
              <w:jc w:val="center"/>
            </w:pPr>
            <w:r>
              <w:rPr>
                <w:rFonts w:ascii="Times New Roman" w:hAnsi="Times New Roman"/>
                <w:b w:val="0"/>
                <w:i w:val="0"/>
                <w:sz w:val="18"/>
                <w:u w:val="none"/>
              </w:rPr>
              <w:t>0.9560</w:t>
            </w:r>
          </w:p>
        </w:tc>
        <w:tc>
          <w:tcPr>
            <w:tcW w:type="dxa" w:w="1296"/>
            <w:vAlign w:val="center"/>
            <w:shd w:fill="FFFFFF" w:color="FFFFFF" w:val="clear"/>
          </w:tcPr>
          <w:p>
            <w:pPr>
              <w:jc w:val="center"/>
            </w:pPr>
            <w:r>
              <w:rPr>
                <w:rFonts w:ascii="Times New Roman" w:hAnsi="Times New Roman"/>
                <w:b w:val="0"/>
                <w:i w:val="0"/>
                <w:sz w:val="18"/>
                <w:u w:val="none"/>
              </w:rPr>
              <w:t>0.9211</w:t>
            </w:r>
          </w:p>
        </w:tc>
        <w:tc>
          <w:tcPr>
            <w:tcW w:type="dxa" w:w="1296"/>
            <w:vAlign w:val="center"/>
            <w:shd w:fill="FFFFFF" w:color="FFFFFF" w:val="clear"/>
          </w:tcPr>
          <w:p>
            <w:pPr>
              <w:jc w:val="center"/>
            </w:pPr>
            <w:r>
              <w:rPr>
                <w:rFonts w:ascii="Times New Roman" w:hAnsi="Times New Roman"/>
                <w:b w:val="0"/>
                <w:i w:val="0"/>
                <w:sz w:val="18"/>
                <w:u w:val="none"/>
              </w:rPr>
              <w:t>0.9800</w:t>
            </w:r>
          </w:p>
        </w:tc>
        <w:tc>
          <w:tcPr>
            <w:tcW w:type="dxa" w:w="1152"/>
            <w:vAlign w:val="center"/>
            <w:shd w:fill="FFFFFF" w:color="FFFFFF" w:val="clear"/>
          </w:tcPr>
          <w:p>
            <w:pPr>
              <w:jc w:val="center"/>
            </w:pPr>
            <w:r>
              <w:rPr>
                <w:rFonts w:ascii="Times New Roman" w:hAnsi="Times New Roman"/>
                <w:b w:val="0"/>
                <w:i w:val="0"/>
                <w:sz w:val="18"/>
                <w:u w:val="none"/>
              </w:rPr>
              <w:t>0.9629</w:t>
            </w:r>
          </w:p>
        </w:tc>
        <w:tc>
          <w:tcPr>
            <w:tcW w:type="dxa" w:w="1296"/>
            <w:vAlign w:val="center"/>
            <w:shd w:fill="FFFFFF" w:color="FFFFFF" w:val="clear"/>
          </w:tcPr>
          <w:p>
            <w:pPr>
              <w:jc w:val="center"/>
            </w:pPr>
            <w:r>
              <w:rPr>
                <w:rFonts w:ascii="Times New Roman" w:hAnsi="Times New Roman"/>
                <w:b w:val="0"/>
                <w:i w:val="0"/>
                <w:sz w:val="18"/>
                <w:u w:val="none"/>
              </w:rPr>
              <w:t>0.9550</w:t>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296"/>
            <w:vAlign w:val="center"/>
            <w:shd w:fill="EBF3FB" w:color="EBF3FB" w:val="clear"/>
          </w:tcPr>
          <w:p>
            <w:pPr>
              <w:jc w:val="center"/>
            </w:pPr>
            <w:r>
              <w:rPr>
                <w:rFonts w:ascii="Times New Roman" w:hAnsi="Times New Roman"/>
                <w:b w:val="0"/>
                <w:i w:val="0"/>
                <w:sz w:val="18"/>
                <w:u w:val="none"/>
              </w:rPr>
              <w:t>False</w:t>
            </w:r>
          </w:p>
        </w:tc>
        <w:tc>
          <w:tcPr>
            <w:tcW w:type="dxa" w:w="1296"/>
            <w:vAlign w:val="center"/>
            <w:shd w:fill="EBF3FB" w:color="EBF3FB" w:val="clear"/>
          </w:tcPr>
          <w:p>
            <w:pPr>
              <w:jc w:val="center"/>
            </w:pPr>
            <w:r>
              <w:rPr>
                <w:rFonts w:ascii="Times New Roman" w:hAnsi="Times New Roman"/>
                <w:b w:val="0"/>
                <w:i w:val="0"/>
                <w:sz w:val="18"/>
                <w:u w:val="none"/>
              </w:rPr>
              <w:t>0.8881</w:t>
            </w:r>
          </w:p>
        </w:tc>
        <w:tc>
          <w:tcPr>
            <w:tcW w:type="dxa" w:w="1296"/>
            <w:vAlign w:val="center"/>
            <w:shd w:fill="EBF3FB" w:color="EBF3FB" w:val="clear"/>
          </w:tcPr>
          <w:p>
            <w:pPr>
              <w:jc w:val="center"/>
            </w:pPr>
            <w:r>
              <w:rPr>
                <w:rFonts w:ascii="Times New Roman" w:hAnsi="Times New Roman"/>
                <w:b w:val="0"/>
                <w:i w:val="0"/>
                <w:sz w:val="18"/>
                <w:u w:val="none"/>
              </w:rPr>
              <w:t>0.8609</w:t>
            </w:r>
          </w:p>
        </w:tc>
        <w:tc>
          <w:tcPr>
            <w:tcW w:type="dxa" w:w="1296"/>
            <w:vAlign w:val="center"/>
            <w:shd w:fill="EBF3FB" w:color="EBF3FB" w:val="clear"/>
          </w:tcPr>
          <w:p>
            <w:pPr>
              <w:jc w:val="center"/>
            </w:pPr>
            <w:r>
              <w:rPr>
                <w:rFonts w:ascii="Times New Roman" w:hAnsi="Times New Roman"/>
                <w:b w:val="0"/>
                <w:i w:val="0"/>
                <w:sz w:val="18"/>
                <w:u w:val="none"/>
              </w:rPr>
              <w:t>0.8425</w:t>
            </w:r>
          </w:p>
        </w:tc>
        <w:tc>
          <w:tcPr>
            <w:tcW w:type="dxa" w:w="1152"/>
            <w:vAlign w:val="center"/>
            <w:shd w:fill="EBF3FB" w:color="EBF3FB" w:val="clear"/>
          </w:tcPr>
          <w:p>
            <w:pPr>
              <w:jc w:val="center"/>
            </w:pPr>
            <w:r>
              <w:rPr>
                <w:rFonts w:ascii="Times New Roman" w:hAnsi="Times New Roman"/>
                <w:b w:val="0"/>
                <w:i w:val="0"/>
                <w:sz w:val="18"/>
                <w:u w:val="none"/>
              </w:rPr>
              <w:t>0.8987</w:t>
            </w:r>
          </w:p>
        </w:tc>
        <w:tc>
          <w:tcPr>
            <w:tcW w:type="dxa" w:w="1296"/>
            <w:vAlign w:val="center"/>
            <w:shd w:fill="EBF3FB" w:color="EBF3FB" w:val="clear"/>
          </w:tcPr>
          <w:p>
            <w:pPr>
              <w:jc w:val="center"/>
            </w:pPr>
            <w:r>
              <w:rPr>
                <w:rFonts w:ascii="Times New Roman" w:hAnsi="Times New Roman"/>
                <w:b w:val="0"/>
                <w:i w:val="0"/>
                <w:sz w:val="18"/>
                <w:u w:val="none"/>
              </w:rPr>
              <w:t>0.8726</w:t>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296"/>
            <w:vAlign w:val="center"/>
            <w:shd w:fill="FFFFFF" w:color="FFFFFF" w:val="clear"/>
          </w:tcPr>
          <w:p>
            <w:pPr>
              <w:jc w:val="center"/>
            </w:pPr>
            <w:r>
              <w:rPr>
                <w:rFonts w:ascii="Times New Roman" w:hAnsi="Times New Roman"/>
                <w:b w:val="0"/>
                <w:i w:val="0"/>
                <w:sz w:val="18"/>
                <w:u w:val="none"/>
              </w:rPr>
              <w:t>False</w:t>
            </w:r>
          </w:p>
        </w:tc>
        <w:tc>
          <w:tcPr>
            <w:tcW w:type="dxa" w:w="1296"/>
            <w:vAlign w:val="center"/>
            <w:shd w:fill="FFFFFF" w:color="FFFFFF" w:val="clear"/>
          </w:tcPr>
          <w:p>
            <w:pPr>
              <w:jc w:val="center"/>
            </w:pPr>
            <w:r>
              <w:rPr>
                <w:rFonts w:ascii="Times New Roman" w:hAnsi="Times New Roman"/>
                <w:b w:val="0"/>
                <w:i w:val="0"/>
                <w:sz w:val="18"/>
                <w:u w:val="none"/>
              </w:rPr>
              <w:t>0.9507</w:t>
            </w:r>
          </w:p>
        </w:tc>
        <w:tc>
          <w:tcPr>
            <w:tcW w:type="dxa" w:w="1296"/>
            <w:vAlign w:val="center"/>
            <w:shd w:fill="FFFFFF" w:color="FFFFFF" w:val="clear"/>
          </w:tcPr>
          <w:p>
            <w:pPr>
              <w:jc w:val="center"/>
            </w:pPr>
            <w:r>
              <w:rPr>
                <w:rFonts w:ascii="Times New Roman" w:hAnsi="Times New Roman"/>
                <w:b w:val="0"/>
                <w:i w:val="0"/>
                <w:sz w:val="18"/>
                <w:u w:val="none"/>
              </w:rPr>
              <w:t>0.9196</w:t>
            </w:r>
          </w:p>
        </w:tc>
        <w:tc>
          <w:tcPr>
            <w:tcW w:type="dxa" w:w="1296"/>
            <w:vAlign w:val="center"/>
            <w:shd w:fill="FFFFFF" w:color="FFFFFF" w:val="clear"/>
          </w:tcPr>
          <w:p>
            <w:pPr>
              <w:jc w:val="center"/>
            </w:pPr>
            <w:r>
              <w:rPr>
                <w:rFonts w:ascii="Times New Roman" w:hAnsi="Times New Roman"/>
                <w:b w:val="0"/>
                <w:i w:val="0"/>
                <w:sz w:val="18"/>
                <w:u w:val="none"/>
              </w:rPr>
              <w:t>0.8892</w:t>
            </w:r>
          </w:p>
        </w:tc>
        <w:tc>
          <w:tcPr>
            <w:tcW w:type="dxa" w:w="1152"/>
            <w:vAlign w:val="center"/>
            <w:shd w:fill="FFFFFF" w:color="FFFFFF" w:val="clear"/>
          </w:tcPr>
          <w:p>
            <w:pPr>
              <w:jc w:val="center"/>
            </w:pPr>
            <w:r>
              <w:rPr>
                <w:rFonts w:ascii="Times New Roman" w:hAnsi="Times New Roman"/>
                <w:b w:val="0"/>
                <w:i w:val="0"/>
                <w:sz w:val="18"/>
                <w:u w:val="none"/>
              </w:rPr>
              <w:t>0.8792</w:t>
            </w:r>
          </w:p>
        </w:tc>
        <w:tc>
          <w:tcPr>
            <w:tcW w:type="dxa" w:w="1296"/>
            <w:vAlign w:val="center"/>
            <w:shd w:fill="FFFFFF" w:color="FFFFFF" w:val="clear"/>
          </w:tcPr>
          <w:p>
            <w:pPr>
              <w:jc w:val="center"/>
            </w:pPr>
            <w:r>
              <w:rPr>
                <w:rFonts w:ascii="Times New Roman" w:hAnsi="Times New Roman"/>
                <w:b w:val="0"/>
                <w:i w:val="0"/>
                <w:sz w:val="18"/>
                <w:u w:val="none"/>
              </w:rPr>
              <w:t>0.9097</w:t>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296"/>
            <w:vAlign w:val="center"/>
            <w:shd w:fill="EBF3FB" w:color="EBF3FB" w:val="clear"/>
          </w:tcPr>
          <w:p>
            <w:pPr>
              <w:jc w:val="center"/>
            </w:pPr>
            <w:r>
              <w:rPr>
                <w:rFonts w:ascii="Times New Roman" w:hAnsi="Times New Roman"/>
                <w:b w:val="0"/>
                <w:i w:val="0"/>
                <w:sz w:val="18"/>
                <w:u w:val="none"/>
              </w:rPr>
              <w:t>True</w:t>
            </w:r>
          </w:p>
        </w:tc>
        <w:tc>
          <w:tcPr>
            <w:tcW w:type="dxa" w:w="1296"/>
            <w:vAlign w:val="center"/>
            <w:shd w:fill="EBF3FB" w:color="EBF3FB" w:val="clear"/>
          </w:tcPr>
          <w:p>
            <w:pPr>
              <w:jc w:val="center"/>
            </w:pPr>
            <w:r>
              <w:rPr>
                <w:rFonts w:ascii="Times New Roman" w:hAnsi="Times New Roman"/>
                <w:b w:val="0"/>
                <w:i w:val="0"/>
                <w:sz w:val="18"/>
                <w:u w:val="none"/>
              </w:rPr>
              <w:t>0.9547</w:t>
            </w:r>
          </w:p>
        </w:tc>
        <w:tc>
          <w:tcPr>
            <w:tcW w:type="dxa" w:w="1296"/>
            <w:vAlign w:val="center"/>
            <w:shd w:fill="EBF3FB" w:color="EBF3FB" w:val="clear"/>
          </w:tcPr>
          <w:p>
            <w:pPr>
              <w:jc w:val="center"/>
            </w:pPr>
            <w:r>
              <w:rPr>
                <w:rFonts w:ascii="Times New Roman" w:hAnsi="Times New Roman"/>
                <w:b w:val="0"/>
                <w:i w:val="0"/>
                <w:sz w:val="18"/>
                <w:u w:val="none"/>
              </w:rPr>
              <w:t>0.9451</w:t>
            </w:r>
          </w:p>
        </w:tc>
        <w:tc>
          <w:tcPr>
            <w:tcW w:type="dxa" w:w="1296"/>
            <w:vAlign w:val="center"/>
            <w:shd w:fill="EBF3FB" w:color="EBF3FB" w:val="clear"/>
          </w:tcPr>
          <w:p>
            <w:pPr>
              <w:jc w:val="center"/>
            </w:pPr>
            <w:r>
              <w:rPr>
                <w:rFonts w:ascii="Times New Roman" w:hAnsi="Times New Roman"/>
                <w:b w:val="0"/>
                <w:i w:val="0"/>
                <w:sz w:val="18"/>
                <w:u w:val="none"/>
              </w:rPr>
              <w:t>0.9699</w:t>
            </w:r>
          </w:p>
        </w:tc>
        <w:tc>
          <w:tcPr>
            <w:tcW w:type="dxa" w:w="1152"/>
            <w:vAlign w:val="center"/>
            <w:shd w:fill="EBF3FB" w:color="EBF3FB" w:val="clear"/>
          </w:tcPr>
          <w:p>
            <w:pPr>
              <w:jc w:val="center"/>
            </w:pPr>
            <w:r>
              <w:rPr>
                <w:rFonts w:ascii="Times New Roman" w:hAnsi="Times New Roman"/>
                <w:b w:val="0"/>
                <w:i w:val="0"/>
                <w:sz w:val="18"/>
                <w:u w:val="none"/>
              </w:rPr>
              <w:t>0.9455</w:t>
            </w:r>
          </w:p>
        </w:tc>
        <w:tc>
          <w:tcPr>
            <w:tcW w:type="dxa" w:w="1296"/>
            <w:vAlign w:val="center"/>
            <w:shd w:fill="EBF3FB" w:color="EBF3FB" w:val="clear"/>
          </w:tcPr>
          <w:p>
            <w:pPr>
              <w:jc w:val="center"/>
            </w:pPr>
            <w:r>
              <w:rPr>
                <w:rFonts w:ascii="Times New Roman" w:hAnsi="Times New Roman"/>
                <w:b w:val="0"/>
                <w:i w:val="0"/>
                <w:sz w:val="18"/>
                <w:u w:val="none"/>
              </w:rPr>
              <w:t>0.9538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Deep-learning test AUC is a single-split point estimate; LR/RF test AUC reflects the same held-out set. See Table 1 for CV uncertainty of LR and RF.</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and inference latency per model.</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2160"/>
            <w:vAlign w:val="center"/>
            <w:shd w:fill="1F4E79" w:color="1F4E79" w:val="clear"/>
          </w:tcPr>
          <w:p>
            <w:pPr>
              <w:jc w:val="center"/>
            </w:pPr>
            <w:r>
              <w:rPr>
                <w:rFonts w:ascii="Times New Roman" w:hAnsi="Times New Roman"/>
                <w:b/>
                <w:i w:val="0"/>
                <w:color w:val="FFFFFF"/>
                <w:sz w:val="18"/>
                <w:u w:val="none"/>
              </w:rPr>
              <w:t>Inference (ms/sample)</w:t>
            </w:r>
          </w:p>
        </w:tc>
        <w:tc>
          <w:tcPr>
            <w:tcW w:type="dxa" w:w="1728"/>
            <w:vAlign w:val="center"/>
            <w:shd w:fill="1F4E79" w:color="1F4E79" w:val="clear"/>
          </w:tcPr>
          <w:p>
            <w:pPr>
              <w:jc w:val="center"/>
            </w:pPr>
            <w:r>
              <w:rPr>
                <w:rFonts w:ascii="Times New Roman" w:hAnsi="Times New Roman"/>
                <w:b/>
                <w:i w:val="0"/>
                <w:color w:val="FFFFFF"/>
                <w:sz w:val="18"/>
                <w:u w:val="none"/>
              </w:rPr>
              <w:t>Parameters (M)</w:t>
            </w:r>
          </w:p>
        </w:tc>
        <w:tc>
          <w:tcPr>
            <w:tcW w:type="dxa" w:w="2016"/>
            <w:vAlign w:val="center"/>
            <w:shd w:fill="1F4E79" w:color="1F4E79" w:val="clear"/>
          </w:tcPr>
          <w:p>
            <w:pPr>
              <w:jc w:val="center"/>
            </w:pPr>
            <w:r>
              <w:rPr>
                <w:rFonts w:ascii="Times New Roman" w:hAnsi="Times New Roman"/>
                <w:b/>
                <w:i w:val="0"/>
                <w:color w:val="FFFFFF"/>
                <w:sz w:val="18"/>
                <w:u w:val="none"/>
              </w:rPr>
              <w:t>Hardware</w:t>
            </w:r>
          </w:p>
        </w:tc>
      </w:tr>
      <w:tr>
        <w:tc>
          <w:tcPr>
            <w:tcW w:type="dxa" w:w="2448"/>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0.0155</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0.4071</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38.7000</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bl>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1872"/>
            <w:vAlign w:val="center"/>
            <w:shd w:fill="1F4E79" w:color="1F4E79" w:val="clear"/>
          </w:tcPr>
          <w:p>
            <w:pPr>
              <w:jc w:val="center"/>
            </w:pPr>
            <w:r>
              <w:rPr>
                <w:rFonts w:ascii="Times New Roman" w:hAnsi="Times New Roman"/>
                <w:b/>
                <w:i w:val="0"/>
                <w:color w:val="FFFFFF"/>
                <w:sz w:val="18"/>
                <w:u w:val="none"/>
              </w:rPr>
              <w:t>Particle Size</w:t>
            </w:r>
          </w:p>
        </w:tc>
        <w:tc>
          <w:tcPr>
            <w:tcW w:type="dxa" w:w="1296"/>
            <w:vAlign w:val="center"/>
            <w:shd w:fill="1F4E79" w:color="1F4E79" w:val="clear"/>
          </w:tcPr>
          <w:p>
            <w:pPr>
              <w:jc w:val="center"/>
            </w:pPr>
            <w:r>
              <w:rPr>
                <w:rFonts w:ascii="Times New Roman" w:hAnsi="Times New Roman"/>
                <w:b/>
                <w:i w:val="0"/>
                <w:color w:val="FFFFFF"/>
                <w:sz w:val="18"/>
                <w:u w:val="none"/>
              </w:rPr>
              <w:t>Material</w:t>
            </w:r>
          </w:p>
        </w:tc>
        <w:tc>
          <w:tcPr>
            <w:tcW w:type="dxa" w:w="1584"/>
            <w:vAlign w:val="center"/>
            <w:shd w:fill="1F4E79" w:color="1F4E79" w:val="clear"/>
          </w:tcPr>
          <w:p>
            <w:pPr>
              <w:jc w:val="center"/>
            </w:pPr>
            <w:r>
              <w:rPr>
                <w:rFonts w:ascii="Times New Roman" w:hAnsi="Times New Roman"/>
                <w:b/>
                <w:i w:val="0"/>
                <w:color w:val="FFFFFF"/>
                <w:sz w:val="18"/>
                <w:u w:val="none"/>
              </w:rPr>
              <w:t>Phenotype</w:t>
            </w:r>
          </w:p>
        </w:tc>
        <w:tc>
          <w:tcPr>
            <w:tcW w:type="dxa" w:w="1296"/>
            <w:vAlign w:val="center"/>
            <w:shd w:fill="1F4E79" w:color="1F4E79" w:val="clear"/>
          </w:tcPr>
          <w:p>
            <w:pPr>
              <w:jc w:val="center"/>
            </w:pPr>
            <w:r>
              <w:rPr>
                <w:rFonts w:ascii="Times New Roman" w:hAnsi="Times New Roman"/>
                <w:b/>
                <w:i w:val="0"/>
                <w:color w:val="FFFFFF"/>
                <w:sz w:val="18"/>
                <w:u w:val="none"/>
              </w:rPr>
              <w:t>N (class)</w:t>
            </w:r>
          </w:p>
        </w:tc>
        <w:tc>
          <w:tcPr>
            <w:tcW w:type="dxa" w:w="1296"/>
            <w:vAlign w:val="center"/>
            <w:shd w:fill="1F4E79" w:color="1F4E79" w:val="clear"/>
          </w:tcPr>
          <w:p>
            <w:pPr>
              <w:jc w:val="center"/>
            </w:pPr>
            <w:r>
              <w:rPr>
                <w:rFonts w:ascii="Times New Roman" w:hAnsi="Times New Roman"/>
                <w:b/>
                <w:i w:val="0"/>
                <w:color w:val="FFFFFF"/>
                <w:sz w:val="18"/>
                <w:u w:val="none"/>
              </w:rPr>
              <w:t>% of Total</w:t>
            </w:r>
          </w:p>
        </w:tc>
        <w:tc>
          <w:tcPr>
            <w:tcW w:type="dxa" w:w="1728"/>
            <w:vAlign w:val="center"/>
            <w:shd w:fill="1F4E79" w:color="1F4E79" w:val="clear"/>
          </w:tcPr>
          <w:p>
            <w:pPr>
              <w:jc w:val="center"/>
            </w:pPr>
            <w:r>
              <w:rPr>
                <w:rFonts w:ascii="Times New Roman" w:hAnsi="Times New Roman"/>
                <w:b/>
                <w:i w:val="0"/>
                <w:color w:val="FFFFFF"/>
                <w:sz w:val="18"/>
                <w:u w:val="none"/>
              </w:rPr>
              <w:t>Mean Cells/Image</w:t>
            </w:r>
          </w:p>
        </w:tc>
        <w:tc>
          <w:tcPr>
            <w:tcW w:type="dxa" w:w="1440"/>
            <w:vAlign w:val="center"/>
            <w:shd w:fill="1F4E79" w:color="1F4E79" w:val="clear"/>
          </w:tcPr>
          <w:p>
            <w:pPr>
              <w:jc w:val="center"/>
            </w:pPr>
            <w:r>
              <w:rPr>
                <w:rFonts w:ascii="Times New Roman" w:hAnsi="Times New Roman"/>
                <w:b/>
                <w:i w:val="0"/>
                <w:color w:val="FFFFFF"/>
                <w:sz w:val="18"/>
                <w:u w:val="none"/>
              </w:rPr>
              <w:t>SD Cells/Image</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101.0</w:t>
            </w:r>
          </w:p>
        </w:tc>
        <w:tc>
          <w:tcPr>
            <w:tcW w:type="dxa" w:w="1296"/>
            <w:vAlign w:val="center"/>
            <w:shd w:fill="EBF3FB" w:color="EBF3FB" w:val="clear"/>
          </w:tcPr>
          <w:p>
            <w:pPr>
              <w:jc w:val="center"/>
            </w:pPr>
            <w:r>
              <w:rPr>
                <w:rFonts w:ascii="Times New Roman" w:hAnsi="Times New Roman"/>
                <w:b w:val="0"/>
                <w:i w:val="0"/>
                <w:sz w:val="18"/>
                <w:u w:val="none"/>
              </w:rPr>
              <w:t>1609.6</w:t>
            </w:r>
          </w:p>
        </w:tc>
        <w:tc>
          <w:tcPr>
            <w:tcW w:type="dxa" w:w="1296"/>
            <w:vAlign w:val="center"/>
            <w:shd w:fill="EBF3FB" w:color="EBF3FB" w:val="clear"/>
          </w:tcPr>
          <w:p>
            <w:pPr>
              <w:jc w:val="center"/>
            </w:pPr>
            <w:r>
              <w:rPr>
                <w:rFonts w:ascii="Times New Roman" w:hAnsi="Times New Roman"/>
                <w:b w:val="0"/>
                <w:i w:val="0"/>
                <w:sz w:val="18"/>
                <w:u w:val="none"/>
              </w:rPr>
              <w:t>28.7%</w:t>
            </w:r>
          </w:p>
        </w:tc>
        <w:tc>
          <w:tcPr>
            <w:tcW w:type="dxa" w:w="1728"/>
            <w:vAlign w:val="center"/>
            <w:shd w:fill="EBF3FB" w:color="EBF3FB" w:val="clear"/>
          </w:tcPr>
          <w:p>
            <w:pPr>
              <w:jc w:val="center"/>
            </w:pPr>
            <w:r>
              <w:rPr>
                <w:rFonts w:ascii="Times New Roman" w:hAnsi="Times New Roman"/>
                <w:b w:val="0"/>
                <w:i w:val="0"/>
                <w:sz w:val="18"/>
                <w:u w:val="none"/>
              </w:rPr>
              <w:t>28.7%</w:t>
            </w:r>
          </w:p>
        </w:tc>
        <w:tc>
          <w:tcPr>
            <w:tcW w:type="dxa" w:w="1440"/>
            <w:vAlign w:val="center"/>
            <w:shd w:fill="EBF3FB" w:color="EBF3FB" w:val="clear"/>
          </w:tcPr>
          <w:p>
            <w:pPr>
              <w:jc w:val="center"/>
            </w:pPr>
            <w:r>
              <w:rPr>
                <w:rFonts w:ascii="Times New Roman" w:hAnsi="Times New Roman"/>
                <w:b w:val="0"/>
                <w:i w:val="0"/>
                <w:sz w:val="18"/>
                <w:u w:val="none"/>
              </w:rPr>
              <w:t>20.8%</w:t>
            </w:r>
          </w:p>
        </w:tc>
      </w:tr>
      <w:tr>
        <w:tc>
          <w:tcPr>
            <w:tcW w:type="dxa" w:w="1872"/>
            <w:vAlign w:val="center"/>
            <w:shd w:fill="FFFFFF" w:color="FFFFFF" w:val="clear"/>
          </w:tcPr>
          <w:p>
            <w:pPr>
              <w:jc w:val="center"/>
            </w:pPr>
            <w:r>
              <w:rPr>
                <w:rFonts w:ascii="Times New Roman" w:hAnsi="Times New Roman"/>
                <w:b w:val="0"/>
                <w:i w:val="0"/>
                <w:sz w:val="18"/>
                <w:u w:val="none"/>
              </w:rPr>
              <w:t>Polystyrene (PS)</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115.0</w:t>
            </w:r>
          </w:p>
        </w:tc>
        <w:tc>
          <w:tcPr>
            <w:tcW w:type="dxa" w:w="1296"/>
            <w:vAlign w:val="center"/>
            <w:shd w:fill="FFFFFF" w:color="FFFFFF" w:val="clear"/>
          </w:tcPr>
          <w:p>
            <w:pPr>
              <w:jc w:val="center"/>
            </w:pPr>
            <w:r>
              <w:rPr>
                <w:rFonts w:ascii="Times New Roman" w:hAnsi="Times New Roman"/>
                <w:b w:val="0"/>
                <w:i w:val="0"/>
                <w:sz w:val="18"/>
                <w:u w:val="none"/>
              </w:rPr>
              <w:t>1616.7</w:t>
            </w:r>
          </w:p>
        </w:tc>
        <w:tc>
          <w:tcPr>
            <w:tcW w:type="dxa" w:w="1296"/>
            <w:vAlign w:val="center"/>
            <w:shd w:fill="FFFFFF" w:color="FFFFFF" w:val="clear"/>
          </w:tcPr>
          <w:p>
            <w:pPr>
              <w:jc w:val="center"/>
            </w:pPr>
            <w:r>
              <w:rPr>
                <w:rFonts w:ascii="Times New Roman" w:hAnsi="Times New Roman"/>
                <w:b w:val="0"/>
                <w:i w:val="0"/>
                <w:sz w:val="18"/>
                <w:u w:val="none"/>
              </w:rPr>
              <w:t>20.9%</w:t>
            </w:r>
          </w:p>
        </w:tc>
        <w:tc>
          <w:tcPr>
            <w:tcW w:type="dxa" w:w="1728"/>
            <w:vAlign w:val="center"/>
            <w:shd w:fill="FFFFFF" w:color="FFFFFF" w:val="clear"/>
          </w:tcPr>
          <w:p>
            <w:pPr>
              <w:jc w:val="center"/>
            </w:pPr>
            <w:r>
              <w:rPr>
                <w:rFonts w:ascii="Times New Roman" w:hAnsi="Times New Roman"/>
                <w:b w:val="0"/>
                <w:i w:val="0"/>
                <w:sz w:val="18"/>
                <w:u w:val="none"/>
              </w:rPr>
              <w:t>29.6%</w:t>
            </w:r>
          </w:p>
        </w:tc>
        <w:tc>
          <w:tcPr>
            <w:tcW w:type="dxa" w:w="1440"/>
            <w:vAlign w:val="center"/>
            <w:shd w:fill="FFFFFF" w:color="FFFFFF" w:val="clear"/>
          </w:tcPr>
          <w:p>
            <w:pPr>
              <w:jc w:val="center"/>
            </w:pPr>
            <w:r>
              <w:rPr>
                <w:rFonts w:ascii="Times New Roman" w:hAnsi="Times New Roman"/>
                <w:b w:val="0"/>
                <w:i w:val="0"/>
                <w:sz w:val="18"/>
                <w:u w:val="none"/>
              </w:rPr>
              <w:t>20.0%</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118.0</w:t>
            </w:r>
          </w:p>
        </w:tc>
        <w:tc>
          <w:tcPr>
            <w:tcW w:type="dxa" w:w="1296"/>
            <w:vAlign w:val="center"/>
            <w:shd w:fill="EBF3FB" w:color="EBF3FB" w:val="clear"/>
          </w:tcPr>
          <w:p>
            <w:pPr>
              <w:jc w:val="center"/>
            </w:pPr>
            <w:r>
              <w:rPr>
                <w:rFonts w:ascii="Times New Roman" w:hAnsi="Times New Roman"/>
                <w:b w:val="0"/>
                <w:i w:val="0"/>
                <w:sz w:val="18"/>
                <w:u w:val="none"/>
              </w:rPr>
              <w:t>1619.1</w:t>
            </w:r>
          </w:p>
        </w:tc>
        <w:tc>
          <w:tcPr>
            <w:tcW w:type="dxa" w:w="1296"/>
            <w:vAlign w:val="center"/>
            <w:shd w:fill="EBF3FB" w:color="EBF3FB" w:val="clear"/>
          </w:tcPr>
          <w:p>
            <w:pPr>
              <w:jc w:val="center"/>
            </w:pPr>
            <w:r>
              <w:rPr>
                <w:rFonts w:ascii="Times New Roman" w:hAnsi="Times New Roman"/>
                <w:b w:val="0"/>
                <w:i w:val="0"/>
                <w:sz w:val="18"/>
                <w:u w:val="none"/>
              </w:rPr>
              <w:t>16.9%</w:t>
            </w:r>
          </w:p>
        </w:tc>
        <w:tc>
          <w:tcPr>
            <w:tcW w:type="dxa" w:w="1728"/>
            <w:vAlign w:val="center"/>
            <w:shd w:fill="EBF3FB" w:color="EBF3FB" w:val="clear"/>
          </w:tcPr>
          <w:p>
            <w:pPr>
              <w:jc w:val="center"/>
            </w:pPr>
            <w:r>
              <w:rPr>
                <w:rFonts w:ascii="Times New Roman" w:hAnsi="Times New Roman"/>
                <w:b w:val="0"/>
                <w:i w:val="0"/>
                <w:sz w:val="18"/>
                <w:u w:val="none"/>
              </w:rPr>
              <w:t>30.5%</w:t>
            </w:r>
          </w:p>
        </w:tc>
        <w:tc>
          <w:tcPr>
            <w:tcW w:type="dxa" w:w="1440"/>
            <w:vAlign w:val="center"/>
            <w:shd w:fill="EBF3FB" w:color="EBF3FB" w:val="clear"/>
          </w:tcPr>
          <w:p>
            <w:pPr>
              <w:jc w:val="center"/>
            </w:pPr>
            <w:r>
              <w:rPr>
                <w:rFonts w:ascii="Times New Roman" w:hAnsi="Times New Roman"/>
                <w:b w:val="0"/>
                <w:i w:val="0"/>
                <w:sz w:val="18"/>
                <w:u w:val="none"/>
              </w:rPr>
              <w:t>24.6%</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o (100 nm)</w:t>
            </w:r>
          </w:p>
        </w:tc>
        <w:tc>
          <w:tcPr>
            <w:tcW w:type="dxa" w:w="1584"/>
            <w:vAlign w:val="center"/>
            <w:shd w:fill="FFFFFF" w:color="FFFFFF" w:val="clear"/>
          </w:tcPr>
          <w:p>
            <w:pPr>
              <w:jc w:val="center"/>
            </w:pPr>
            <w:r>
              <w:rPr>
                <w:rFonts w:ascii="Times New Roman" w:hAnsi="Times New Roman"/>
                <w:b w:val="0"/>
                <w:i w:val="0"/>
                <w:sz w:val="18"/>
                <w:u w:val="none"/>
              </w:rPr>
              <w:t>118.0</w:t>
            </w:r>
          </w:p>
        </w:tc>
        <w:tc>
          <w:tcPr>
            <w:tcW w:type="dxa" w:w="1296"/>
            <w:vAlign w:val="center"/>
            <w:shd w:fill="FFFFFF" w:color="FFFFFF" w:val="clear"/>
          </w:tcPr>
          <w:p>
            <w:pPr>
              <w:jc w:val="center"/>
            </w:pPr>
            <w:r>
              <w:rPr>
                <w:rFonts w:ascii="Times New Roman" w:hAnsi="Times New Roman"/>
                <w:b w:val="0"/>
                <w:i w:val="0"/>
                <w:sz w:val="18"/>
                <w:u w:val="none"/>
              </w:rPr>
              <w:t>1602.6</w:t>
            </w:r>
          </w:p>
        </w:tc>
        <w:tc>
          <w:tcPr>
            <w:tcW w:type="dxa" w:w="1296"/>
            <w:vAlign w:val="center"/>
            <w:shd w:fill="FFFFFF" w:color="FFFFFF" w:val="clear"/>
          </w:tcPr>
          <w:p>
            <w:pPr>
              <w:jc w:val="center"/>
            </w:pPr>
            <w:r>
              <w:rPr>
                <w:rFonts w:ascii="Times New Roman" w:hAnsi="Times New Roman"/>
                <w:b w:val="0"/>
                <w:i w:val="0"/>
                <w:sz w:val="18"/>
                <w:u w:val="none"/>
              </w:rPr>
              <w:t>32.2%</w:t>
            </w:r>
          </w:p>
        </w:tc>
        <w:tc>
          <w:tcPr>
            <w:tcW w:type="dxa" w:w="1728"/>
            <w:vAlign w:val="center"/>
            <w:shd w:fill="FFFFFF" w:color="FFFFFF" w:val="clear"/>
          </w:tcPr>
          <w:p>
            <w:pPr>
              <w:jc w:val="center"/>
            </w:pPr>
            <w:r>
              <w:rPr>
                <w:rFonts w:ascii="Times New Roman" w:hAnsi="Times New Roman"/>
                <w:b w:val="0"/>
                <w:i w:val="0"/>
                <w:sz w:val="18"/>
                <w:u w:val="none"/>
              </w:rPr>
              <w:t>18.6%</w:t>
            </w:r>
          </w:p>
        </w:tc>
        <w:tc>
          <w:tcPr>
            <w:tcW w:type="dxa" w:w="1440"/>
            <w:vAlign w:val="center"/>
            <w:shd w:fill="FFFFFF" w:color="FFFFFF" w:val="clear"/>
          </w:tcPr>
          <w:p>
            <w:pPr>
              <w:jc w:val="center"/>
            </w:pPr>
            <w:r>
              <w:rPr>
                <w:rFonts w:ascii="Times New Roman" w:hAnsi="Times New Roman"/>
                <w:b w:val="0"/>
                <w:i w:val="0"/>
                <w:sz w:val="18"/>
                <w:u w:val="none"/>
              </w:rPr>
              <w:t>23.7%</w:t>
            </w:r>
          </w:p>
        </w:tc>
      </w:tr>
      <w:tr>
        <w:tc>
          <w:tcPr>
            <w:tcW w:type="dxa" w:w="1872"/>
            <w:vAlign w:val="center"/>
            <w:shd w:fill="EBF3FB" w:color="EBF3FB" w:val="clear"/>
          </w:tcPr>
          <w:p>
            <w:pPr>
              <w:jc w:val="center"/>
            </w:pPr>
            <w:r>
              <w:rPr>
                <w:rFonts w:ascii="Times New Roman" w:hAnsi="Times New Roman"/>
                <w:b w:val="0"/>
                <w:i w:val="0"/>
                <w:sz w:val="18"/>
                <w:u w:val="none"/>
              </w:rPr>
              <w:t>Polyethylene (PE)</w:t>
            </w:r>
          </w:p>
        </w:tc>
        <w:tc>
          <w:tcPr>
            <w:tcW w:type="dxa" w:w="1296"/>
            <w:vAlign w:val="center"/>
            <w:shd w:fill="EBF3FB" w:color="EBF3FB" w:val="clear"/>
          </w:tcPr>
          <w:p>
            <w:pPr>
              <w:jc w:val="center"/>
            </w:pPr>
            <w:r>
              <w:rPr>
                <w:rFonts w:ascii="Times New Roman" w:hAnsi="Times New Roman"/>
                <w:b w:val="0"/>
                <w:i w:val="0"/>
                <w:sz w:val="18"/>
                <w:u w:val="none"/>
              </w:rPr>
              <w:t>micro (1-10 μm)</w:t>
            </w:r>
          </w:p>
        </w:tc>
        <w:tc>
          <w:tcPr>
            <w:tcW w:type="dxa" w:w="1584"/>
            <w:vAlign w:val="center"/>
            <w:shd w:fill="EBF3FB" w:color="EBF3FB" w:val="clear"/>
          </w:tcPr>
          <w:p>
            <w:pPr>
              <w:jc w:val="center"/>
            </w:pPr>
            <w:r>
              <w:rPr>
                <w:rFonts w:ascii="Times New Roman" w:hAnsi="Times New Roman"/>
                <w:b w:val="0"/>
                <w:i w:val="0"/>
                <w:sz w:val="18"/>
                <w:u w:val="none"/>
              </w:rPr>
              <w:t>116.0</w:t>
            </w:r>
          </w:p>
        </w:tc>
        <w:tc>
          <w:tcPr>
            <w:tcW w:type="dxa" w:w="1296"/>
            <w:vAlign w:val="center"/>
            <w:shd w:fill="EBF3FB" w:color="EBF3FB" w:val="clear"/>
          </w:tcPr>
          <w:p>
            <w:pPr>
              <w:jc w:val="center"/>
            </w:pPr>
            <w:r>
              <w:rPr>
                <w:rFonts w:ascii="Times New Roman" w:hAnsi="Times New Roman"/>
                <w:b w:val="0"/>
                <w:i w:val="0"/>
                <w:sz w:val="18"/>
                <w:u w:val="none"/>
              </w:rPr>
              <w:t>1610.9</w:t>
            </w:r>
          </w:p>
        </w:tc>
        <w:tc>
          <w:tcPr>
            <w:tcW w:type="dxa" w:w="1296"/>
            <w:vAlign w:val="center"/>
            <w:shd w:fill="EBF3FB" w:color="EBF3FB" w:val="clear"/>
          </w:tcPr>
          <w:p>
            <w:pPr>
              <w:jc w:val="center"/>
            </w:pPr>
            <w:r>
              <w:rPr>
                <w:rFonts w:ascii="Times New Roman" w:hAnsi="Times New Roman"/>
                <w:b w:val="0"/>
                <w:i w:val="0"/>
                <w:sz w:val="18"/>
                <w:u w:val="none"/>
              </w:rPr>
              <w:t>25.9%</w:t>
            </w:r>
          </w:p>
        </w:tc>
        <w:tc>
          <w:tcPr>
            <w:tcW w:type="dxa" w:w="1728"/>
            <w:vAlign w:val="center"/>
            <w:shd w:fill="EBF3FB" w:color="EBF3FB" w:val="clear"/>
          </w:tcPr>
          <w:p>
            <w:pPr>
              <w:jc w:val="center"/>
            </w:pPr>
            <w:r>
              <w:rPr>
                <w:rFonts w:ascii="Times New Roman" w:hAnsi="Times New Roman"/>
                <w:b w:val="0"/>
                <w:i w:val="0"/>
                <w:sz w:val="18"/>
                <w:u w:val="none"/>
              </w:rPr>
              <w:t>21.6%</w:t>
            </w:r>
          </w:p>
        </w:tc>
        <w:tc>
          <w:tcPr>
            <w:tcW w:type="dxa" w:w="1440"/>
            <w:vAlign w:val="center"/>
            <w:shd w:fill="EBF3FB" w:color="EBF3FB" w:val="clear"/>
          </w:tcPr>
          <w:p>
            <w:pPr>
              <w:jc w:val="center"/>
            </w:pPr>
            <w:r>
              <w:rPr>
                <w:rFonts w:ascii="Times New Roman" w:hAnsi="Times New Roman"/>
                <w:b w:val="0"/>
                <w:i w:val="0"/>
                <w:sz w:val="18"/>
                <w:u w:val="none"/>
              </w:rPr>
              <w:t>22.4%</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large (&gt;10 μm)</w:t>
            </w:r>
          </w:p>
        </w:tc>
        <w:tc>
          <w:tcPr>
            <w:tcW w:type="dxa" w:w="1584"/>
            <w:vAlign w:val="center"/>
            <w:shd w:fill="FFFFFF" w:color="FFFFFF" w:val="clear"/>
          </w:tcPr>
          <w:p>
            <w:pPr>
              <w:jc w:val="center"/>
            </w:pPr>
            <w:r>
              <w:rPr>
                <w:rFonts w:ascii="Times New Roman" w:hAnsi="Times New Roman"/>
                <w:b w:val="0"/>
                <w:i w:val="0"/>
                <w:sz w:val="18"/>
                <w:u w:val="none"/>
              </w:rPr>
              <w:t>96.0</w:t>
            </w:r>
          </w:p>
        </w:tc>
        <w:tc>
          <w:tcPr>
            <w:tcW w:type="dxa" w:w="1296"/>
            <w:vAlign w:val="center"/>
            <w:shd w:fill="FFFFFF" w:color="FFFFFF" w:val="clear"/>
          </w:tcPr>
          <w:p>
            <w:pPr>
              <w:jc w:val="center"/>
            </w:pPr>
            <w:r>
              <w:rPr>
                <w:rFonts w:ascii="Times New Roman" w:hAnsi="Times New Roman"/>
                <w:b w:val="0"/>
                <w:i w:val="0"/>
                <w:sz w:val="18"/>
                <w:u w:val="none"/>
              </w:rPr>
              <w:t>1630.6</w:t>
            </w:r>
          </w:p>
        </w:tc>
        <w:tc>
          <w:tcPr>
            <w:tcW w:type="dxa" w:w="1296"/>
            <w:vAlign w:val="center"/>
            <w:shd w:fill="FFFFFF" w:color="FFFFFF" w:val="clear"/>
          </w:tcPr>
          <w:p>
            <w:pPr>
              <w:jc w:val="center"/>
            </w:pPr>
            <w:r>
              <w:rPr>
                <w:rFonts w:ascii="Times New Roman" w:hAnsi="Times New Roman"/>
                <w:b w:val="0"/>
                <w:i w:val="0"/>
                <w:sz w:val="18"/>
                <w:u w:val="none"/>
              </w:rPr>
              <w:t>22.9%</w:t>
            </w:r>
          </w:p>
        </w:tc>
        <w:tc>
          <w:tcPr>
            <w:tcW w:type="dxa" w:w="1728"/>
            <w:vAlign w:val="center"/>
            <w:shd w:fill="FFFFFF" w:color="FFFFFF" w:val="clear"/>
          </w:tcPr>
          <w:p>
            <w:pPr>
              <w:jc w:val="center"/>
            </w:pPr>
            <w:r>
              <w:rPr>
                <w:rFonts w:ascii="Times New Roman" w:hAnsi="Times New Roman"/>
                <w:b w:val="0"/>
                <w:i w:val="0"/>
                <w:sz w:val="18"/>
                <w:u w:val="none"/>
              </w:rPr>
              <w:t>27.1%</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120.0</w:t>
            </w:r>
          </w:p>
        </w:tc>
        <w:tc>
          <w:tcPr>
            <w:tcW w:type="dxa" w:w="1296"/>
            <w:vAlign w:val="center"/>
            <w:shd w:fill="EBF3FB" w:color="EBF3FB" w:val="clear"/>
          </w:tcPr>
          <w:p>
            <w:pPr>
              <w:jc w:val="center"/>
            </w:pPr>
            <w:r>
              <w:rPr>
                <w:rFonts w:ascii="Times New Roman" w:hAnsi="Times New Roman"/>
                <w:b w:val="0"/>
                <w:i w:val="0"/>
                <w:sz w:val="18"/>
                <w:u w:val="none"/>
              </w:rPr>
              <w:t>1592.7</w:t>
            </w:r>
          </w:p>
        </w:tc>
        <w:tc>
          <w:tcPr>
            <w:tcW w:type="dxa" w:w="1296"/>
            <w:vAlign w:val="center"/>
            <w:shd w:fill="EBF3FB" w:color="EBF3FB" w:val="clear"/>
          </w:tcPr>
          <w:p>
            <w:pPr>
              <w:jc w:val="center"/>
            </w:pPr>
            <w:r>
              <w:rPr>
                <w:rFonts w:ascii="Times New Roman" w:hAnsi="Times New Roman"/>
                <w:b w:val="0"/>
                <w:i w:val="0"/>
                <w:sz w:val="18"/>
                <w:u w:val="none"/>
              </w:rPr>
              <w:t>20.8%</w:t>
            </w:r>
          </w:p>
        </w:tc>
        <w:tc>
          <w:tcPr>
            <w:tcW w:type="dxa" w:w="1728"/>
            <w:vAlign w:val="center"/>
            <w:shd w:fill="EBF3FB" w:color="EBF3FB" w:val="clear"/>
          </w:tcPr>
          <w:p>
            <w:pPr>
              <w:jc w:val="center"/>
            </w:pPr>
            <w:r>
              <w:rPr>
                <w:rFonts w:ascii="Times New Roman" w:hAnsi="Times New Roman"/>
                <w:b w:val="0"/>
                <w:i w:val="0"/>
                <w:sz w:val="18"/>
                <w:u w:val="none"/>
              </w:rPr>
              <w:t>27.5%</w:t>
            </w:r>
          </w:p>
        </w:tc>
        <w:tc>
          <w:tcPr>
            <w:tcW w:type="dxa" w:w="1440"/>
            <w:vAlign w:val="center"/>
            <w:shd w:fill="EBF3FB" w:color="EBF3FB" w:val="clear"/>
          </w:tcPr>
          <w:p>
            <w:pPr>
              <w:jc w:val="center"/>
            </w:pPr>
            <w:r>
              <w:rPr>
                <w:rFonts w:ascii="Times New Roman" w:hAnsi="Times New Roman"/>
                <w:b w:val="0"/>
                <w:i w:val="0"/>
                <w:sz w:val="18"/>
                <w:u w:val="none"/>
              </w:rPr>
              <w:t>24.2%</w:t>
            </w:r>
          </w:p>
        </w:tc>
      </w:tr>
      <w:tr>
        <w:tc>
          <w:tcPr>
            <w:tcW w:type="dxa" w:w="1872"/>
            <w:vAlign w:val="center"/>
            <w:shd w:fill="FFFFFF" w:color="FFFFFF" w:val="clear"/>
          </w:tcPr>
          <w:p>
            <w:pPr>
              <w:jc w:val="center"/>
            </w:pPr>
            <w:r>
              <w:rPr>
                <w:rFonts w:ascii="Times New Roman" w:hAnsi="Times New Roman"/>
                <w:b w:val="0"/>
                <w:i w:val="0"/>
                <w:sz w:val="18"/>
                <w:u w:val="none"/>
              </w:rPr>
              <w:t>PET</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99.0</w:t>
            </w:r>
          </w:p>
        </w:tc>
        <w:tc>
          <w:tcPr>
            <w:tcW w:type="dxa" w:w="1296"/>
            <w:vAlign w:val="center"/>
            <w:shd w:fill="FFFFFF" w:color="FFFFFF" w:val="clear"/>
          </w:tcPr>
          <w:p>
            <w:pPr>
              <w:jc w:val="center"/>
            </w:pPr>
            <w:r>
              <w:rPr>
                <w:rFonts w:ascii="Times New Roman" w:hAnsi="Times New Roman"/>
                <w:b w:val="0"/>
                <w:i w:val="0"/>
                <w:sz w:val="18"/>
                <w:u w:val="none"/>
              </w:rPr>
              <w:t>1612.8</w:t>
            </w:r>
          </w:p>
        </w:tc>
        <w:tc>
          <w:tcPr>
            <w:tcW w:type="dxa" w:w="1296"/>
            <w:vAlign w:val="center"/>
            <w:shd w:fill="FFFFFF" w:color="FFFFFF" w:val="clear"/>
          </w:tcPr>
          <w:p>
            <w:pPr>
              <w:jc w:val="center"/>
            </w:pPr>
            <w:r>
              <w:rPr>
                <w:rFonts w:ascii="Times New Roman" w:hAnsi="Times New Roman"/>
                <w:b w:val="0"/>
                <w:i w:val="0"/>
                <w:sz w:val="18"/>
                <w:u w:val="none"/>
              </w:rPr>
              <w:t>23.2%</w:t>
            </w:r>
          </w:p>
        </w:tc>
        <w:tc>
          <w:tcPr>
            <w:tcW w:type="dxa" w:w="1728"/>
            <w:vAlign w:val="center"/>
            <w:shd w:fill="FFFFFF" w:color="FFFFFF" w:val="clear"/>
          </w:tcPr>
          <w:p>
            <w:pPr>
              <w:jc w:val="center"/>
            </w:pPr>
            <w:r>
              <w:rPr>
                <w:rFonts w:ascii="Times New Roman" w:hAnsi="Times New Roman"/>
                <w:b w:val="0"/>
                <w:i w:val="0"/>
                <w:sz w:val="18"/>
                <w:u w:val="none"/>
              </w:rPr>
              <w:t>20.2%</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117.0</w:t>
            </w:r>
          </w:p>
        </w:tc>
        <w:tc>
          <w:tcPr>
            <w:tcW w:type="dxa" w:w="1296"/>
            <w:vAlign w:val="center"/>
            <w:shd w:fill="EBF3FB" w:color="EBF3FB" w:val="clear"/>
          </w:tcPr>
          <w:p>
            <w:pPr>
              <w:jc w:val="center"/>
            </w:pPr>
            <w:r>
              <w:rPr>
                <w:rFonts w:ascii="Times New Roman" w:hAnsi="Times New Roman"/>
                <w:b w:val="0"/>
                <w:i w:val="0"/>
                <w:sz w:val="18"/>
                <w:u w:val="none"/>
              </w:rPr>
              <w:t>1608.5</w:t>
            </w:r>
          </w:p>
        </w:tc>
        <w:tc>
          <w:tcPr>
            <w:tcW w:type="dxa" w:w="1296"/>
            <w:vAlign w:val="center"/>
            <w:shd w:fill="EBF3FB" w:color="EBF3FB" w:val="clear"/>
          </w:tcPr>
          <w:p>
            <w:pPr>
              <w:jc w:val="center"/>
            </w:pPr>
            <w:r>
              <w:rPr>
                <w:rFonts w:ascii="Times New Roman" w:hAnsi="Times New Roman"/>
                <w:b w:val="0"/>
                <w:i w:val="0"/>
                <w:sz w:val="18"/>
                <w:u w:val="none"/>
              </w:rPr>
              <w:t>33.3%</w:t>
            </w:r>
          </w:p>
        </w:tc>
        <w:tc>
          <w:tcPr>
            <w:tcW w:type="dxa" w:w="1728"/>
            <w:vAlign w:val="center"/>
            <w:shd w:fill="EBF3FB" w:color="EBF3FB" w:val="clear"/>
          </w:tcPr>
          <w:p>
            <w:pPr>
              <w:jc w:val="center"/>
            </w:pPr>
            <w:r>
              <w:rPr>
                <w:rFonts w:ascii="Times New Roman" w:hAnsi="Times New Roman"/>
                <w:b w:val="0"/>
                <w:i w:val="0"/>
                <w:sz w:val="18"/>
                <w:u w:val="none"/>
              </w:rPr>
              <w:t>21.4%</w:t>
            </w:r>
          </w:p>
        </w:tc>
        <w:tc>
          <w:tcPr>
            <w:tcW w:type="dxa" w:w="1440"/>
            <w:vAlign w:val="center"/>
            <w:shd w:fill="EBF3FB" w:color="EBF3FB" w:val="clear"/>
          </w:tcPr>
          <w:p>
            <w:pPr>
              <w:jc w:val="center"/>
            </w:pPr>
            <w:r>
              <w:rPr>
                <w:rFonts w:ascii="Times New Roman" w:hAnsi="Times New Roman"/>
                <w:b w:val="0"/>
                <w:i w:val="0"/>
                <w:sz w:val="18"/>
                <w:u w:val="none"/>
              </w:rPr>
              <w:t>26.5%</w:t>
            </w:r>
          </w:p>
        </w:tc>
      </w:tr>
      <w:tr>
        <w:tc>
          <w:tcPr>
            <w:tcW w:type="dxa" w:w="1872"/>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584"/>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728"/>
            <w:vAlign w:val="center"/>
            <w:shd w:fill="FFFFFF" w:color="FFFFFF" w:val="clear"/>
          </w:tcPr>
          <w:p>
            <w:pPr>
              <w:jc w:val="center"/>
            </w:pPr>
            <w:r>
              <w:rPr>
                <w:rFonts w:ascii="Times New Roman" w:hAnsi="Times New Roman"/>
                <w:b w:val="0"/>
                <w:i w:val="0"/>
                <w:sz w:val="18"/>
                <w:u w:val="none"/>
              </w:rPr>
            </w:r>
          </w:p>
        </w:tc>
        <w:tc>
          <w:tcPr>
            <w:tcW w:type="dxa" w:w="1440"/>
            <w:vAlign w:val="center"/>
            <w:shd w:fill="FFFFFF" w:color="FFFFFF" w:val="clear"/>
          </w:tcPr>
          <w:p>
            <w:pPr>
              <w:jc w:val="center"/>
            </w:pPr>
            <w:r>
              <w:rPr>
                <w:rFonts w:ascii="Times New Roman" w:hAnsi="Times New Roman"/>
                <w:b w:val="0"/>
                <w:i w:val="0"/>
                <w:sz w:val="18"/>
                <w:u w:val="none"/>
              </w:rPr>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between dose rank and feature values.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3168"/>
            <w:vAlign w:val="center"/>
            <w:shd w:fill="1F4E79" w:color="1F4E79" w:val="clear"/>
          </w:tcPr>
          <w:p>
            <w:pPr>
              <w:jc w:val="center"/>
            </w:pPr>
            <w:r>
              <w:rPr>
                <w:rFonts w:ascii="Times New Roman" w:hAnsi="Times New Roman"/>
                <w:b/>
                <w:i w:val="0"/>
                <w:color w:val="FFFFFF"/>
                <w:sz w:val="18"/>
                <w:u w:val="none"/>
              </w:rPr>
              <w:t>Feature</w:t>
            </w:r>
          </w:p>
        </w:tc>
        <w:tc>
          <w:tcPr>
            <w:tcW w:type="dxa" w:w="1440"/>
            <w:vAlign w:val="center"/>
            <w:shd w:fill="1F4E79" w:color="1F4E79" w:val="clear"/>
          </w:tcPr>
          <w:p>
            <w:pPr>
              <w:jc w:val="center"/>
            </w:pPr>
            <w:r>
              <w:rPr>
                <w:rFonts w:ascii="Times New Roman" w:hAnsi="Times New Roman"/>
                <w:b/>
                <w:i w:val="0"/>
                <w:color w:val="FFFFFF"/>
                <w:sz w:val="18"/>
                <w:u w:val="none"/>
              </w:rPr>
              <w:t>Spearman ρ</w:t>
            </w:r>
          </w:p>
        </w:tc>
        <w:tc>
          <w:tcPr>
            <w:tcW w:type="dxa" w:w="1440"/>
            <w:vAlign w:val="center"/>
            <w:shd w:fill="1F4E79" w:color="1F4E79" w:val="clear"/>
          </w:tcPr>
          <w:p>
            <w:pPr>
              <w:jc w:val="center"/>
            </w:pPr>
            <w:r>
              <w:rPr>
                <w:rFonts w:ascii="Times New Roman" w:hAnsi="Times New Roman"/>
                <w:b/>
                <w:i w:val="0"/>
                <w:color w:val="FFFFFF"/>
                <w:sz w:val="18"/>
                <w:u w:val="none"/>
              </w:rPr>
              <w:t>p-value</w:t>
            </w:r>
          </w:p>
        </w:tc>
        <w:tc>
          <w:tcPr>
            <w:tcW w:type="dxa" w:w="1440"/>
            <w:vAlign w:val="center"/>
            <w:shd w:fill="1F4E79" w:color="1F4E79" w:val="clear"/>
          </w:tcPr>
          <w:p>
            <w:pPr>
              <w:jc w:val="center"/>
            </w:pPr>
            <w:r>
              <w:rPr>
                <w:rFonts w:ascii="Times New Roman" w:hAnsi="Times New Roman"/>
                <w:b/>
                <w:i w:val="0"/>
                <w:color w:val="FFFFFF"/>
                <w:sz w:val="18"/>
                <w:u w:val="none"/>
              </w:rPr>
              <w:t>95% CI lower</w:t>
            </w:r>
          </w:p>
        </w:tc>
        <w:tc>
          <w:tcPr>
            <w:tcW w:type="dxa" w:w="1440"/>
            <w:vAlign w:val="center"/>
            <w:shd w:fill="1F4E79" w:color="1F4E79" w:val="clear"/>
          </w:tcPr>
          <w:p>
            <w:pPr>
              <w:jc w:val="center"/>
            </w:pPr>
            <w:r>
              <w:rPr>
                <w:rFonts w:ascii="Times New Roman" w:hAnsi="Times New Roman"/>
                <w:b/>
                <w:i w:val="0"/>
                <w:color w:val="FFFFFF"/>
                <w:sz w:val="18"/>
                <w:u w:val="none"/>
              </w:rPr>
              <w:t>95% CI upper</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1.3747e-02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Early Apoptosis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1.7496e-02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3.4991e-03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Polystyrene (PS)</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2.0495e-02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Late Apoptosis</w:t>
            </w:r>
          </w:p>
        </w:tc>
        <w:tc>
          <w:tcPr>
            <w:tcW w:type="dxa" w:w="1440"/>
            <w:vAlign w:val="center"/>
            <w:shd w:fill="EBF3FB" w:color="EBF3FB" w:val="clear"/>
          </w:tcPr>
          <w:p>
            <w:pPr>
              <w:jc w:val="center"/>
            </w:pPr>
            <w:r>
              <w:rPr>
                <w:rFonts w:ascii="Times New Roman" w:hAnsi="Times New Roman"/>
                <w:b w:val="0"/>
                <w:i w:val="0"/>
                <w:sz w:val="18"/>
                <w:u w:val="none"/>
              </w:rPr>
              <w:t>Polyethylene (PE)</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1.4996e-03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PET</w:t>
            </w:r>
          </w:p>
        </w:tc>
        <w:tc>
          <w:tcPr>
            <w:tcW w:type="dxa" w:w="1440"/>
            <w:vAlign w:val="center"/>
            <w:shd w:fill="FFFFFF" w:color="FFFFFF" w:val="clear"/>
          </w:tcPr>
          <w:p>
            <w:pPr>
              <w:jc w:val="center"/>
            </w:pPr>
            <w:r>
              <w:rPr>
                <w:rFonts w:ascii="Times New Roman" w:hAnsi="Times New Roman"/>
                <w:b w:val="0"/>
                <w:i w:val="0"/>
                <w:sz w:val="18"/>
                <w:u w:val="none"/>
              </w:rPr>
              <w:t>0.829</w:t>
            </w:r>
          </w:p>
        </w:tc>
        <w:tc>
          <w:tcPr>
            <w:tcW w:type="dxa" w:w="1440"/>
            <w:vAlign w:val="center"/>
            <w:shd w:fill="FFFFFF" w:color="FFFFFF" w:val="clear"/>
          </w:tcPr>
          <w:p>
            <w:pPr>
              <w:jc w:val="center"/>
            </w:pPr>
            <w:r>
              <w:rPr>
                <w:rFonts w:ascii="Times New Roman" w:hAnsi="Times New Roman"/>
                <w:b w:val="0"/>
                <w:i w:val="0"/>
                <w:sz w:val="18"/>
                <w:u w:val="none"/>
              </w:rPr>
              <w:t>6.4734e-02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1.6246e-02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Necrosis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1440"/>
            <w:vAlign w:val="center"/>
            <w:shd w:fill="FFFFFF" w:color="FFFFFF" w:val="clear"/>
          </w:tcPr>
          <w:p>
            <w:pPr>
              <w:jc w:val="center"/>
            </w:pPr>
            <w:r>
              <w:rPr>
                <w:rFonts w:ascii="Times New Roman" w:hAnsi="Times New Roman"/>
                <w:b w:val="0"/>
                <w:i w:val="0"/>
                <w:sz w:val="18"/>
                <w:u w:val="none"/>
              </w:rPr>
              <w:t>2.7493e-03</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1.6746e-02</w:t>
            </w:r>
          </w:p>
        </w:tc>
      </w:tr>
    </w:tbl>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LR significantly outperforms RF (ΔAUC = 0.026, p = 0.0005; null 95% CI [−0.016, 0.016]). The test was designed to answer the primary inference question: does the best-performing feature-based model (LR) significantly exceed the second-best (RF)? The positive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0.00029997</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0.026097</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0.94781</w:t>
            </w:r>
          </w:p>
        </w:tc>
        <w:tc>
          <w:tcPr>
            <w:tcW w:type="dxa" w:w="1872"/>
            <w:vAlign w:val="center"/>
            <w:shd w:fill="EBF3FB" w:color="EBF3FB" w:val="clear"/>
          </w:tcPr>
          <w:p>
            <w:pPr>
              <w:jc w:val="center"/>
            </w:pPr>
            <w:r>
              <w:rPr>
                <w:rFonts w:ascii="Times New Roman" w:hAnsi="Times New Roman"/>
                <w:b w:val="0"/>
                <w:i w:val="0"/>
                <w:sz w:val="18"/>
                <w:u w:val="none"/>
              </w:rPr>
              <w:t>[-0.0362, 0.0352]</w:t>
            </w:r>
          </w:p>
        </w:tc>
      </w:tr>
      <w:tr>
        <w:tc>
          <w:tcPr>
            <w:tcW w:type="dxa" w:w="2880"/>
            <w:vAlign w:val="center"/>
            <w:shd w:fill="FFFFFF" w:color="FFFFFF" w:val="clear"/>
          </w:tcPr>
          <w:p>
            <w:pPr>
              <w:jc w:val="center"/>
            </w:pPr>
            <w:r>
              <w:rPr>
                <w:rFonts w:ascii="Times New Roman" w:hAnsi="Times New Roman"/>
                <w:b w:val="0"/>
                <w:i w:val="0"/>
                <w:sz w:val="18"/>
                <w:u w:val="none"/>
              </w:rPr>
              <w:t>Logistic Regression vs Random Forest</w:t>
            </w:r>
          </w:p>
        </w:tc>
        <w:tc>
          <w:tcPr>
            <w:tcW w:type="dxa" w:w="1008"/>
            <w:vAlign w:val="center"/>
            <w:shd w:fill="FFFFFF" w:color="FFFFFF" w:val="clear"/>
          </w:tcPr>
          <w:p>
            <w:pPr>
              <w:jc w:val="center"/>
            </w:pPr>
            <w:r>
              <w:rPr>
                <w:rFonts w:ascii="Times New Roman" w:hAnsi="Times New Roman"/>
                <w:b w:val="0"/>
                <w:i w:val="0"/>
                <w:sz w:val="18"/>
                <w:u w:val="none"/>
              </w:rPr>
              <w:t>0.981</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0.0259</w:t>
            </w:r>
          </w:p>
        </w:tc>
        <w:tc>
          <w:tcPr>
            <w:tcW w:type="dxa" w:w="1152"/>
            <w:vAlign w:val="center"/>
            <w:shd w:fill="FFFFFF" w:color="FFFFFF" w:val="clear"/>
          </w:tcPr>
          <w:p>
            <w:pPr>
              <w:jc w:val="center"/>
            </w:pPr>
            <w:r>
              <w:rPr>
                <w:rFonts w:ascii="Times New Roman" w:hAnsi="Times New Roman"/>
                <w:b w:val="0"/>
                <w:i w:val="0"/>
                <w:sz w:val="18"/>
                <w:u w:val="none"/>
              </w:rPr>
              <w:t>4.9995e-04</w:t>
            </w:r>
          </w:p>
        </w:tc>
        <w:tc>
          <w:tcPr>
            <w:tcW w:type="dxa" w:w="1872"/>
            <w:vAlign w:val="center"/>
            <w:shd w:fill="FFFFFF" w:color="FFFFFF" w:val="clear"/>
          </w:tcPr>
          <w:p>
            <w:pPr>
              <w:jc w:val="center"/>
            </w:pPr>
            <w:r>
              <w:rPr>
                <w:rFonts w:ascii="Times New Roman" w:hAnsi="Times New Roman"/>
                <w:b w:val="0"/>
                <w:i w:val="0"/>
                <w:sz w:val="18"/>
                <w:u w:val="none"/>
              </w:rPr>
              <w:t>[-0.0159, 0.0160]</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Logistic regression achieves the highest macro-AUC on both cross-validation and held-out test evaluation (0.981 and 0.981 respectively), statistically significantly exceeding RF (p = 0.0005) and all DL architectures. This result aligns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(0.955),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[17]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macro-AUC (0.981) and the best native calibration (ECE = 0.042) of five evaluated models, outperforming random forest (0.955, p = 0.0005), CNN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w:t>
      </w:r>
    </w:p>
    <w:p>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describing the simulation framework and toxicological experimental design is in preparation and has not been submitted elsewhere. No prior version of this paper has been published or is currently under review.</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p>
    <w:p>
      <w:pPr>
        <w:jc w:val="center"/>
      </w:pPr>
      <w:r>
        <w:rPr>
          <w:rFonts w:ascii="Times New Roman" w:hAnsi="Times New Roman"/>
          <w:b/>
          <w:i w:val="0"/>
          <w:sz w:val="20"/>
          <w:u w:val="none"/>
        </w:rPr>
        <w:t>Figure 2.</w:t>
      </w:r>
    </w:p>
    <w:p>
      <w:pPr>
        <w:jc w:val="center"/>
      </w:pPr>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p>
    <w:p>
      <w:pPr>
        <w:jc w:val="center"/>
      </w:pPr>
      <w:r>
        <w:rPr>
          <w:rFonts w:ascii="Times New Roman" w:hAnsi="Times New Roman"/>
          <w:b/>
          <w:i w:val="0"/>
          <w:sz w:val="20"/>
          <w:u w:val="none"/>
        </w:rPr>
        <w:t>Figure 3.</w:t>
      </w:r>
    </w:p>
    <w:p>
      <w:pPr>
        <w:jc w:val="center"/>
      </w:pPr>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p>
    <w:p>
      <w:pPr>
        <w:jc w:val="center"/>
      </w:pPr>
      <w:r>
        <w:rPr>
          <w:rFonts w:ascii="Times New Roman" w:hAnsi="Times New Roman"/>
          <w:b/>
          <w:i w:val="0"/>
          <w:sz w:val="20"/>
          <w:u w:val="none"/>
        </w:rPr>
        <w:t>Figure 4.</w:t>
      </w:r>
    </w:p>
    <w:p>
      <w:pPr>
        <w:jc w:val="center"/>
      </w:pPr>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p>
    <w:p>
      <w:pPr>
        <w:jc w:val="center"/>
      </w:pPr>
      <w:r>
        <w:rPr>
          <w:rFonts w:ascii="Times New Roman" w:hAnsi="Times New Roman"/>
          <w:b/>
          <w:i w:val="0"/>
          <w:sz w:val="20"/>
          <w:u w:val="none"/>
        </w:rPr>
        <w:t>Figure 5.</w:t>
      </w:r>
    </w:p>
    <w:p>
      <w:pPr>
        <w:jc w:val="center"/>
      </w:pPr>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p>
    <w:p>
      <w:pPr>
        <w:jc w:val="center"/>
      </w:pPr>
      <w:r>
        <w:rPr>
          <w:rFonts w:ascii="Times New Roman" w:hAnsi="Times New Roman"/>
          <w:b/>
          <w:i w:val="0"/>
          <w:sz w:val="20"/>
          <w:u w:val="none"/>
        </w:rPr>
        <w:t>Figure 6.</w:t>
      </w:r>
    </w:p>
    <w:p>
      <w:pPr>
        <w:jc w:val="center"/>
      </w:pPr>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p>
    <w:p>
      <w:pPr>
        <w:jc w:val="center"/>
      </w:pPr>
      <w:r>
        <w:rPr>
          <w:rFonts w:ascii="Times New Roman" w:hAnsi="Times New Roman"/>
          <w:b/>
          <w:i w:val="0"/>
          <w:sz w:val="20"/>
          <w:u w:val="none"/>
        </w:rPr>
        <w:t>Figure 7.</w:t>
      </w:r>
    </w:p>
    <w:p>
      <w:pPr>
        <w:jc w:val="center"/>
      </w:pPr>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p>
    <w:p>
      <w:pPr>
        <w:jc w:val="center"/>
      </w:pPr>
      <w:r>
        <w:rPr>
          <w:rFonts w:ascii="Times New Roman" w:hAnsi="Times New Roman"/>
          <w:b/>
          <w:i w:val="0"/>
          <w:sz w:val="20"/>
          <w:u w:val="none"/>
        </w:rPr>
        <w:t>Figure 8.</w:t>
      </w:r>
    </w:p>
    <w:p>
      <w:pPr>
        <w:jc w:val="center"/>
      </w:pPr>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p>
    <w:p>
      <w:pPr>
        <w:jc w:val="center"/>
      </w:pPr>
      <w:r>
        <w:rPr>
          <w:rFonts w:ascii="Times New Roman" w:hAnsi="Times New Roman"/>
          <w:b/>
          <w:i w:val="0"/>
          <w:sz w:val="20"/>
          <w:u w:val="none"/>
        </w:rPr>
        <w:t>Figure 9.</w:t>
      </w:r>
    </w:p>
    <w:p>
      <w:pPr>
        <w:jc w:val="center"/>
      </w:pPr>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