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Feature-Based Models Outperform Deep Learning in Simulation-Derived High-Content Screening Data: A Benchmark Revealing Dominant-Feature Dependency in Cell-Death Phenotype Classification</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is increasingly used to quantify environmental cytotoxicity, including microplastic-induced cell death, yet the classifier layer of the typical HCS pipeline is rarely stress-tested against a controlled ground truth before deployment. Synthetic benchmarks promise such a stress test, but their headline performance is rarely interrogated for feature-level reliance.</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of 1,000 synthetic fluorescence-image feature vectors spanning four cell-death phenotype classes (viable, early apoptosis, late apoptosis, necrosis) encoded across 17 morphological descriptors, and evaluated five classifiers head-to-head: logistic regression (LR), random forest (RF), a CNN trained from scratch, and two ResNet-18 variants (random and ImageNet pretraining). LR and RF were assessed by plate-aware 5-fold GroupKFold cross-validation; all five were evaluated on a held-out test set (n = 200). Probability calibration (Platt for LR/RF, temperature for DL), Benjamini-Hochberg-corrected Kruskal-Wallis tests, and two-sided permutation tests were performed. A dominant-feature ablation isolated the contribution of the single most predictive descriptor.</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Feature-based classifiers outperformed deep learning across every metric. LR achieved the highest cross-validated macro-AUC (0.981 ± 0.004), significantly exceeding RF (0.977 ± 0.005; permutation p = 5 × 10⁻⁴) and all three DL models. On a single 200-sample held-out split RF reached a higher point estimate than LR (0.966 vs. 0.901); LR nonetheless retained superior cross-fold stability, calibration (ECE = 0.042 vs. 0.091), and runtime (0.02 s vs. 0.48 s). Crucially, removing a single simulator-encoded descriptor (membrane_permeability_proxy) collapsed LR AUC from 0.981 to 0.861 and RF AUC from 0.972 to 0.872 - a 10-12 percentage-point drop revealing that the headline performance is driven by one shortcut feature rather than by distributed morphology.</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and exposes a dominant-feature dependency that we term the “degenerate regime” - a failure mode in which a single simulator-correlated descriptor inflates aggregate AUC and masks true classifier capability. This finding has direct implications for the reproducibility of synthetic-benchmark results in biomedical AI and for the reliability of shortcut-prone deep-learning evaluations. The full pipeline is open-source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Recent post-mortem evidence has further demonstrated bioaccumulation of microplastic and nanoplastic particles in human brain tissue at concentrations exceeding those measured in liver or kidney, underscoring the systemic exposure burden and the urgency of automated cytotoxicity-screening pipelines [4,26].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(NumPy 2.2.4;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While the regulatory operational definition of microplastics spans 1 μm to 5 mm (Section 1), the present simulation deliberately focuses on the sub-10 μm size fraction (nano &lt;1 μm and micro 1-10 μm) because this range is the one most strongly associated with cellular uptake, membrane interaction, and direct cytotoxicity in published in vitro assays [4]; larger fragments (&gt;10 μm) are included only as a control comparator. 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cross-validated macro-AUC of 0.981 ± 0.004 (GroupKFold, 5-fold), with CV accuracy of 0.898 ± 0.018 and an ECE of 0.042, the lowest among all five models (Table 1). RF attained CV macro-AUC of 0.977 ± 0.005 and CV accuracy of 0.873 ± 0.024.</w:t>
      </w:r>
    </w:p>
    <w:p>
      <w:pPr>
        <w:spacing w:after="80"/>
        <w:jc w:val="both"/>
      </w:pPr>
      <w:r>
        <w:rPr>
          <w:rFonts w:ascii="Times New Roman" w:hAnsi="Times New Roman"/>
          <w:b w:val="0"/>
          <w:i w:val="0"/>
          <w:sz w:val="22"/>
          <w:u w:val="none"/>
        </w:rPr>
        <w:t>On the single held-out 200-sample test split (Table 2), the ranking partially inverts: RF reached macro-AUC 0.966 and the pretrained ResNet-18 (R18p) 0.954, while LR scored 0.901; the CNN trained from scratch attained the lowest macro-AUC (0.873), consistent with the data-starvation regime (Section 2.6). Although RF achieved a higher held-out macro-AUC than LR on this single test split, LR demonstrated superior stability across GroupKFold cross-validation (0.981 ± 0.004 vs 0.977 ± 0.005), substantially better calibration (ECE 0.042 vs 0.091, Table 3), lower training-time cost (0.02 s vs 0.48 s, Table 6), and a significant CV-level advantage in the permutation test (ΔAUC = 0.026, p = 5 × 10⁻⁴, Table 9b). Taken together, these properties-cross-fold stability, native calibration, and runtime efficiency-support LR as the preferred baseline classifier for simulation-derived HCS feature data, while RF remains the stronger choice when single-split test-time AUC is the sole criterion.</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160"/>
            <w:vAlign w:val="center"/>
            <w:shd w:fill="1F4E79" w:color="1F4E79" w:val="clear"/>
          </w:tcPr>
          <w:p>
            <w:pPr>
              <w:jc w:val="center"/>
            </w:pPr>
            <w:r>
              <w:rPr>
                <w:rFonts w:ascii="Times New Roman" w:hAnsi="Times New Roman"/>
                <w:b/>
                <w:i w:val="0"/>
                <w:color w:val="FFFFFF"/>
                <w:sz w:val="18"/>
                <w:u w:val="none"/>
              </w:rPr>
              <w:t>CV Macro-AUC (mean±SD)</w:t>
            </w:r>
          </w:p>
        </w:tc>
        <w:tc>
          <w:tcPr>
            <w:tcW w:type="dxa" w:w="2016"/>
            <w:vAlign w:val="center"/>
            <w:shd w:fill="1F4E79" w:color="1F4E79" w:val="clear"/>
          </w:tcPr>
          <w:p>
            <w:pPr>
              <w:jc w:val="center"/>
            </w:pPr>
            <w:r>
              <w:rPr>
                <w:rFonts w:ascii="Times New Roman" w:hAnsi="Times New Roman"/>
                <w:b/>
                <w:i w:val="0"/>
                <w:color w:val="FFFFFF"/>
                <w:sz w:val="18"/>
                <w:u w:val="none"/>
              </w:rPr>
              <w:t>CV Accuracy (mean±SD)</w:t>
            </w:r>
          </w:p>
        </w:tc>
        <w:tc>
          <w:tcPr>
            <w:tcW w:type="dxa" w:w="1008"/>
            <w:vAlign w:val="center"/>
            <w:shd w:fill="1F4E79" w:color="1F4E79" w:val="clear"/>
          </w:tcPr>
          <w:p>
            <w:pPr>
              <w:jc w:val="center"/>
            </w:pPr>
            <w:r>
              <w:rPr>
                <w:rFonts w:ascii="Times New Roman" w:hAnsi="Times New Roman"/>
                <w:b/>
                <w:i w:val="0"/>
                <w:color w:val="FFFFFF"/>
                <w:sz w:val="18"/>
                <w:u w:val="none"/>
              </w:rPr>
              <w:t>ECE</w:t>
            </w:r>
          </w:p>
        </w:tc>
        <w:tc>
          <w:tcPr>
            <w:tcW w:type="dxa" w:w="1296"/>
            <w:vAlign w:val="center"/>
            <w:shd w:fill="1F4E79" w:color="1F4E79" w:val="clear"/>
          </w:tcPr>
          <w:p>
            <w:pPr>
              <w:jc w:val="center"/>
            </w:pPr>
            <w:r>
              <w:rPr>
                <w:rFonts w:ascii="Times New Roman" w:hAnsi="Times New Roman"/>
                <w:b/>
                <w:i w:val="0"/>
                <w:color w:val="FFFFFF"/>
                <w:sz w:val="18"/>
                <w:u w:val="none"/>
              </w:rPr>
              <w:t>Train Time (s)</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160"/>
            <w:vAlign w:val="center"/>
            <w:shd w:fill="EBF3FB" w:color="EBF3FB" w:val="clear"/>
          </w:tcPr>
          <w:p>
            <w:pPr>
              <w:jc w:val="center"/>
            </w:pPr>
            <w:r>
              <w:rPr>
                <w:rFonts w:ascii="Times New Roman" w:hAnsi="Times New Roman"/>
                <w:b w:val="0"/>
                <w:i w:val="0"/>
                <w:sz w:val="18"/>
                <w:u w:val="none"/>
              </w:rPr>
              <w:t>0.981 ± 0.004</w:t>
            </w:r>
          </w:p>
        </w:tc>
        <w:tc>
          <w:tcPr>
            <w:tcW w:type="dxa" w:w="2016"/>
            <w:vAlign w:val="center"/>
            <w:shd w:fill="EBF3FB" w:color="EBF3FB" w:val="clear"/>
          </w:tcPr>
          <w:p>
            <w:pPr>
              <w:jc w:val="center"/>
            </w:pPr>
            <w:r>
              <w:rPr>
                <w:rFonts w:ascii="Times New Roman" w:hAnsi="Times New Roman"/>
                <w:b w:val="0"/>
                <w:i w:val="0"/>
                <w:sz w:val="18"/>
                <w:u w:val="none"/>
              </w:rPr>
              <w:t>0.898 ± 0.018</w:t>
            </w:r>
          </w:p>
        </w:tc>
        <w:tc>
          <w:tcPr>
            <w:tcW w:type="dxa" w:w="1008"/>
            <w:vAlign w:val="center"/>
            <w:shd w:fill="EBF3FB" w:color="EBF3FB" w:val="clear"/>
          </w:tcPr>
          <w:p>
            <w:pPr>
              <w:jc w:val="center"/>
            </w:pPr>
            <w:r>
              <w:rPr>
                <w:rFonts w:ascii="Times New Roman" w:hAnsi="Times New Roman"/>
                <w:b w:val="0"/>
                <w:i w:val="0"/>
                <w:sz w:val="18"/>
                <w:u w:val="none"/>
              </w:rPr>
              <w:t>0.042</w:t>
            </w:r>
          </w:p>
        </w:tc>
        <w:tc>
          <w:tcPr>
            <w:tcW w:type="dxa" w:w="1296"/>
            <w:vAlign w:val="center"/>
            <w:shd w:fill="EBF3FB" w:color="EBF3FB" w:val="clear"/>
          </w:tcPr>
          <w:p>
            <w:pPr>
              <w:jc w:val="center"/>
            </w:pPr>
            <w:r>
              <w:rPr>
                <w:rFonts w:ascii="Times New Roman" w:hAnsi="Times New Roman"/>
                <w:b w:val="0"/>
                <w:i w:val="0"/>
                <w:sz w:val="18"/>
                <w:u w:val="none"/>
              </w:rPr>
              <w:t>0.024</w:t>
            </w:r>
          </w:p>
        </w:tc>
        <w:tc>
          <w:tcPr>
            <w:tcW w:type="dxa" w:w="1728"/>
            <w:vAlign w:val="center"/>
            <w:shd w:fill="EBF3FB" w:color="EBF3FB" w:val="clear"/>
          </w:tcPr>
          <w:p>
            <w:pPr>
              <w:jc w:val="center"/>
            </w:pPr>
            <w:r>
              <w:rPr>
                <w:rFonts w:ascii="Times New Roman" w:hAnsi="Times New Roman"/>
                <w:b w:val="0"/>
                <w:i w:val="0"/>
                <w:sz w:val="18"/>
                <w:u w:val="none"/>
              </w:rPr>
              <w:t>[0.969, 0.993]</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160"/>
            <w:vAlign w:val="center"/>
            <w:shd w:fill="FFFFFF" w:color="FFFFFF" w:val="clear"/>
          </w:tcPr>
          <w:p>
            <w:pPr>
              <w:jc w:val="center"/>
            </w:pPr>
            <w:r>
              <w:rPr>
                <w:rFonts w:ascii="Times New Roman" w:hAnsi="Times New Roman"/>
                <w:b w:val="0"/>
                <w:i w:val="0"/>
                <w:sz w:val="18"/>
                <w:u w:val="none"/>
              </w:rPr>
              <w:t>0.977 ± 0.005</w:t>
            </w:r>
          </w:p>
        </w:tc>
        <w:tc>
          <w:tcPr>
            <w:tcW w:type="dxa" w:w="2016"/>
            <w:vAlign w:val="center"/>
            <w:shd w:fill="FFFFFF" w:color="FFFFFF" w:val="clear"/>
          </w:tcPr>
          <w:p>
            <w:pPr>
              <w:jc w:val="center"/>
            </w:pPr>
            <w:r>
              <w:rPr>
                <w:rFonts w:ascii="Times New Roman" w:hAnsi="Times New Roman"/>
                <w:b w:val="0"/>
                <w:i w:val="0"/>
                <w:sz w:val="18"/>
                <w:u w:val="none"/>
              </w:rPr>
              <w:t>0.873 ± 0.024</w:t>
            </w:r>
          </w:p>
        </w:tc>
        <w:tc>
          <w:tcPr>
            <w:tcW w:type="dxa" w:w="1008"/>
            <w:vAlign w:val="center"/>
            <w:shd w:fill="FFFFFF" w:color="FFFFFF" w:val="clear"/>
          </w:tcPr>
          <w:p>
            <w:pPr>
              <w:jc w:val="center"/>
            </w:pPr>
            <w:r>
              <w:rPr>
                <w:rFonts w:ascii="Times New Roman" w:hAnsi="Times New Roman"/>
                <w:b w:val="0"/>
                <w:i w:val="0"/>
                <w:sz w:val="18"/>
                <w:u w:val="none"/>
              </w:rPr>
              <w:t>0.091</w:t>
            </w:r>
          </w:p>
        </w:tc>
        <w:tc>
          <w:tcPr>
            <w:tcW w:type="dxa" w:w="1296"/>
            <w:vAlign w:val="center"/>
            <w:shd w:fill="FFFFFF" w:color="FFFFFF" w:val="clear"/>
          </w:tcPr>
          <w:p>
            <w:pPr>
              <w:jc w:val="center"/>
            </w:pPr>
            <w:r>
              <w:rPr>
                <w:rFonts w:ascii="Times New Roman" w:hAnsi="Times New Roman"/>
                <w:b w:val="0"/>
                <w:i w:val="0"/>
                <w:sz w:val="18"/>
                <w:u w:val="none"/>
              </w:rPr>
              <w:t>0.484</w:t>
            </w:r>
          </w:p>
        </w:tc>
        <w:tc>
          <w:tcPr>
            <w:tcW w:type="dxa" w:w="1728"/>
            <w:vAlign w:val="center"/>
            <w:shd w:fill="FFFFFF" w:color="FFFFFF" w:val="clear"/>
          </w:tcPr>
          <w:p>
            <w:pPr>
              <w:jc w:val="center"/>
            </w:pPr>
            <w:r>
              <w:rPr>
                <w:rFonts w:ascii="Times New Roman" w:hAnsi="Times New Roman"/>
                <w:b w:val="0"/>
                <w:i w:val="0"/>
                <w:sz w:val="18"/>
                <w:u w:val="none"/>
              </w:rPr>
              <w:t>[0.964, 0.990]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CV metrics from 5-fold plate-aware GroupKFold (k = 5). ECE reported on held-out calibration split before post-hoc correction. Macro-AUC 95% CI computed analytically (Hanley-McNeil) on the full simulator dataset (n = 1,000; n_pos = 250, n_neg = 750).</w:t>
      </w:r>
    </w:p>
    <w:p/>
    <w:p>
      <w:pPr>
        <w:spacing w:after="80"/>
        <w:jc w:val="both"/>
      </w:pPr>
      <w:r>
        <w:rPr>
          <w:rFonts w:ascii="Times New Roman" w:hAnsi="Times New Roman"/>
          <w:b w:val="0"/>
          <w:i w:val="0"/>
          <w:sz w:val="22"/>
          <w:u w:val="none"/>
        </w:rPr>
        <w:t>Table 2. Test-set per-class and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1224"/>
            <w:vAlign w:val="center"/>
            <w:shd w:fill="1F4E79" w:color="1F4E79" w:val="clear"/>
          </w:tcPr>
          <w:p>
            <w:pPr>
              <w:jc w:val="center"/>
            </w:pPr>
            <w:r>
              <w:rPr>
                <w:rFonts w:ascii="Times New Roman" w:hAnsi="Times New Roman"/>
                <w:b/>
                <w:i w:val="0"/>
                <w:color w:val="FFFFFF"/>
                <w:sz w:val="18"/>
                <w:u w:val="none"/>
              </w:rPr>
              <w:t>AUC Viable</w:t>
            </w:r>
          </w:p>
        </w:tc>
        <w:tc>
          <w:tcPr>
            <w:tcW w:type="dxa" w:w="1368"/>
            <w:vAlign w:val="center"/>
            <w:shd w:fill="1F4E79" w:color="1F4E79" w:val="clear"/>
          </w:tcPr>
          <w:p>
            <w:pPr>
              <w:jc w:val="center"/>
            </w:pPr>
            <w:r>
              <w:rPr>
                <w:rFonts w:ascii="Times New Roman" w:hAnsi="Times New Roman"/>
                <w:b/>
                <w:i w:val="0"/>
                <w:color w:val="FFFFFF"/>
                <w:sz w:val="18"/>
                <w:u w:val="none"/>
              </w:rPr>
              <w:t>AUC Early Apop.</w:t>
            </w:r>
          </w:p>
        </w:tc>
        <w:tc>
          <w:tcPr>
            <w:tcW w:type="dxa" w:w="1368"/>
            <w:vAlign w:val="center"/>
            <w:shd w:fill="1F4E79" w:color="1F4E79" w:val="clear"/>
          </w:tcPr>
          <w:p>
            <w:pPr>
              <w:jc w:val="center"/>
            </w:pPr>
            <w:r>
              <w:rPr>
                <w:rFonts w:ascii="Times New Roman" w:hAnsi="Times New Roman"/>
                <w:b/>
                <w:i w:val="0"/>
                <w:color w:val="FFFFFF"/>
                <w:sz w:val="18"/>
                <w:u w:val="none"/>
              </w:rPr>
              <w:t>AUC Late Apop.</w:t>
            </w:r>
          </w:p>
        </w:tc>
        <w:tc>
          <w:tcPr>
            <w:tcW w:type="dxa" w:w="1368"/>
            <w:vAlign w:val="center"/>
            <w:shd w:fill="1F4E79" w:color="1F4E79" w:val="clear"/>
          </w:tcPr>
          <w:p>
            <w:pPr>
              <w:jc w:val="center"/>
            </w:pPr>
            <w:r>
              <w:rPr>
                <w:rFonts w:ascii="Times New Roman" w:hAnsi="Times New Roman"/>
                <w:b/>
                <w:i w:val="0"/>
                <w:color w:val="FFFFFF"/>
                <w:sz w:val="18"/>
                <w:u w:val="none"/>
              </w:rPr>
              <w:t>AUC Necrosis</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1224"/>
            <w:vAlign w:val="center"/>
            <w:shd w:fill="EBF3FB" w:color="EBF3FB" w:val="clear"/>
          </w:tcPr>
          <w:p>
            <w:pPr>
              <w:jc w:val="center"/>
            </w:pPr>
            <w:r>
              <w:rPr>
                <w:rFonts w:ascii="Times New Roman" w:hAnsi="Times New Roman"/>
                <w:b w:val="0"/>
                <w:i w:val="0"/>
                <w:sz w:val="18"/>
                <w:u w:val="none"/>
              </w:rPr>
              <w:t>0.964</w:t>
            </w:r>
          </w:p>
        </w:tc>
        <w:tc>
          <w:tcPr>
            <w:tcW w:type="dxa" w:w="1368"/>
            <w:vAlign w:val="center"/>
            <w:shd w:fill="EBF3FB" w:color="EBF3FB" w:val="clear"/>
          </w:tcPr>
          <w:p>
            <w:pPr>
              <w:jc w:val="center"/>
            </w:pPr>
            <w:r>
              <w:rPr>
                <w:rFonts w:ascii="Times New Roman" w:hAnsi="Times New Roman"/>
                <w:b w:val="0"/>
                <w:i w:val="0"/>
                <w:sz w:val="18"/>
                <w:u w:val="none"/>
              </w:rPr>
              <w:t>0.665</w:t>
            </w:r>
          </w:p>
        </w:tc>
        <w:tc>
          <w:tcPr>
            <w:tcW w:type="dxa" w:w="1368"/>
            <w:vAlign w:val="center"/>
            <w:shd w:fill="EBF3FB" w:color="EBF3FB" w:val="clear"/>
          </w:tcPr>
          <w:p>
            <w:pPr>
              <w:jc w:val="center"/>
            </w:pPr>
            <w:r>
              <w:rPr>
                <w:rFonts w:ascii="Times New Roman" w:hAnsi="Times New Roman"/>
                <w:b w:val="0"/>
                <w:i w:val="0"/>
                <w:sz w:val="18"/>
                <w:u w:val="none"/>
              </w:rPr>
              <w:t>0.977</w:t>
            </w:r>
          </w:p>
        </w:tc>
        <w:tc>
          <w:tcPr>
            <w:tcW w:type="dxa" w:w="1368"/>
            <w:vAlign w:val="center"/>
            <w:shd w:fill="EBF3FB" w:color="EBF3FB" w:val="clear"/>
          </w:tcPr>
          <w:p>
            <w:pPr>
              <w:jc w:val="center"/>
            </w:pPr>
            <w:r>
              <w:rPr>
                <w:rFonts w:ascii="Times New Roman" w:hAnsi="Times New Roman"/>
                <w:b w:val="0"/>
                <w:i w:val="0"/>
                <w:sz w:val="18"/>
                <w:u w:val="none"/>
              </w:rPr>
              <w:t>0.999</w:t>
            </w:r>
          </w:p>
        </w:tc>
        <w:tc>
          <w:tcPr>
            <w:tcW w:type="dxa" w:w="1296"/>
            <w:vAlign w:val="center"/>
            <w:shd w:fill="EBF3FB" w:color="EBF3FB" w:val="clear"/>
          </w:tcPr>
          <w:p>
            <w:pPr>
              <w:jc w:val="center"/>
            </w:pPr>
            <w:r>
              <w:rPr>
                <w:rFonts w:ascii="Times New Roman" w:hAnsi="Times New Roman"/>
                <w:b w:val="0"/>
                <w:i w:val="0"/>
                <w:sz w:val="18"/>
                <w:u w:val="none"/>
              </w:rPr>
              <w:t>0.901</w:t>
            </w:r>
          </w:p>
        </w:tc>
        <w:tc>
          <w:tcPr>
            <w:tcW w:type="dxa" w:w="1728"/>
            <w:vAlign w:val="center"/>
            <w:shd w:fill="EBF3FB" w:color="EBF3FB" w:val="clear"/>
          </w:tcPr>
          <w:p>
            <w:pPr>
              <w:jc w:val="center"/>
            </w:pPr>
            <w:r>
              <w:rPr>
                <w:rFonts w:ascii="Times New Roman" w:hAnsi="Times New Roman"/>
                <w:b w:val="0"/>
                <w:i w:val="0"/>
                <w:sz w:val="18"/>
                <w:u w:val="none"/>
              </w:rPr>
              <w:t>[0.842, 0.960]</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1224"/>
            <w:vAlign w:val="center"/>
            <w:shd w:fill="FFFFFF" w:color="FFFFFF" w:val="clear"/>
          </w:tcPr>
          <w:p>
            <w:pPr>
              <w:jc w:val="center"/>
            </w:pPr>
            <w:r>
              <w:rPr>
                <w:rFonts w:ascii="Times New Roman" w:hAnsi="Times New Roman"/>
                <w:b w:val="0"/>
                <w:i w:val="0"/>
                <w:sz w:val="18"/>
                <w:u w:val="none"/>
              </w:rPr>
              <w:t>0.955</w:t>
            </w:r>
          </w:p>
        </w:tc>
        <w:tc>
          <w:tcPr>
            <w:tcW w:type="dxa" w:w="1368"/>
            <w:vAlign w:val="center"/>
            <w:shd w:fill="FFFFFF" w:color="FFFFFF" w:val="clear"/>
          </w:tcPr>
          <w:p>
            <w:pPr>
              <w:jc w:val="center"/>
            </w:pPr>
            <w:r>
              <w:rPr>
                <w:rFonts w:ascii="Times New Roman" w:hAnsi="Times New Roman"/>
                <w:b w:val="0"/>
                <w:i w:val="0"/>
                <w:sz w:val="18"/>
                <w:u w:val="none"/>
              </w:rPr>
              <w:t>0.939</w:t>
            </w:r>
          </w:p>
        </w:tc>
        <w:tc>
          <w:tcPr>
            <w:tcW w:type="dxa" w:w="1368"/>
            <w:vAlign w:val="center"/>
            <w:shd w:fill="FFFFFF" w:color="FFFFFF" w:val="clear"/>
          </w:tcPr>
          <w:p>
            <w:pPr>
              <w:jc w:val="center"/>
            </w:pPr>
            <w:r>
              <w:rPr>
                <w:rFonts w:ascii="Times New Roman" w:hAnsi="Times New Roman"/>
                <w:b w:val="0"/>
                <w:i w:val="0"/>
                <w:sz w:val="18"/>
                <w:u w:val="none"/>
              </w:rPr>
              <w:t>0.973</w:t>
            </w:r>
          </w:p>
        </w:tc>
        <w:tc>
          <w:tcPr>
            <w:tcW w:type="dxa" w:w="1368"/>
            <w:vAlign w:val="center"/>
            <w:shd w:fill="FFFFFF" w:color="FFFFFF" w:val="clear"/>
          </w:tcPr>
          <w:p>
            <w:pPr>
              <w:jc w:val="center"/>
            </w:pPr>
            <w:r>
              <w:rPr>
                <w:rFonts w:ascii="Times New Roman" w:hAnsi="Times New Roman"/>
                <w:b w:val="0"/>
                <w:i w:val="0"/>
                <w:sz w:val="18"/>
                <w:u w:val="none"/>
              </w:rPr>
              <w:t>0.996</w:t>
            </w:r>
          </w:p>
        </w:tc>
        <w:tc>
          <w:tcPr>
            <w:tcW w:type="dxa" w:w="1296"/>
            <w:vAlign w:val="center"/>
            <w:shd w:fill="FFFFFF" w:color="FFFFFF" w:val="clear"/>
          </w:tcPr>
          <w:p>
            <w:pPr>
              <w:jc w:val="center"/>
            </w:pPr>
            <w:r>
              <w:rPr>
                <w:rFonts w:ascii="Times New Roman" w:hAnsi="Times New Roman"/>
                <w:b w:val="0"/>
                <w:i w:val="0"/>
                <w:sz w:val="18"/>
                <w:u w:val="none"/>
              </w:rPr>
              <w:t>0.966</w:t>
            </w:r>
          </w:p>
        </w:tc>
        <w:tc>
          <w:tcPr>
            <w:tcW w:type="dxa" w:w="1728"/>
            <w:vAlign w:val="center"/>
            <w:shd w:fill="FFFFFF" w:color="FFFFFF" w:val="clear"/>
          </w:tcPr>
          <w:p>
            <w:pPr>
              <w:jc w:val="center"/>
            </w:pPr>
            <w:r>
              <w:rPr>
                <w:rFonts w:ascii="Times New Roman" w:hAnsi="Times New Roman"/>
                <w:b w:val="0"/>
                <w:i w:val="0"/>
                <w:sz w:val="18"/>
                <w:u w:val="none"/>
              </w:rPr>
              <w:t>[0.930, 1.000]</w:t>
            </w:r>
          </w:p>
        </w:tc>
      </w:tr>
      <w:tr>
        <w:tc>
          <w:tcPr>
            <w:tcW w:type="dxa" w:w="2304"/>
            <w:vAlign w:val="center"/>
            <w:shd w:fill="EBF3FB" w:color="EBF3FB" w:val="clear"/>
          </w:tcPr>
          <w:p>
            <w:pPr>
              <w:jc w:val="center"/>
            </w:pPr>
            <w:r>
              <w:rPr>
                <w:rFonts w:ascii="Times New Roman" w:hAnsi="Times New Roman"/>
                <w:b w:val="0"/>
                <w:i w:val="0"/>
                <w:sz w:val="18"/>
                <w:u w:val="none"/>
              </w:rPr>
              <w:t>CNN (scratch)</w:t>
            </w:r>
          </w:p>
        </w:tc>
        <w:tc>
          <w:tcPr>
            <w:tcW w:type="dxa" w:w="1224"/>
            <w:vAlign w:val="center"/>
            <w:shd w:fill="EBF3FB" w:color="EBF3FB" w:val="clear"/>
          </w:tcPr>
          <w:p>
            <w:pPr>
              <w:jc w:val="center"/>
            </w:pPr>
            <w:r>
              <w:rPr>
                <w:rFonts w:ascii="Times New Roman" w:hAnsi="Times New Roman"/>
                <w:b w:val="0"/>
                <w:i w:val="0"/>
                <w:sz w:val="18"/>
                <w:u w:val="none"/>
              </w:rPr>
              <w:t>0.888</w:t>
            </w:r>
          </w:p>
        </w:tc>
        <w:tc>
          <w:tcPr>
            <w:tcW w:type="dxa" w:w="1368"/>
            <w:vAlign w:val="center"/>
            <w:shd w:fill="EBF3FB" w:color="EBF3FB" w:val="clear"/>
          </w:tcPr>
          <w:p>
            <w:pPr>
              <w:jc w:val="center"/>
            </w:pPr>
            <w:r>
              <w:rPr>
                <w:rFonts w:ascii="Times New Roman" w:hAnsi="Times New Roman"/>
                <w:b w:val="0"/>
                <w:i w:val="0"/>
                <w:sz w:val="18"/>
                <w:u w:val="none"/>
              </w:rPr>
              <w:t>0.861</w:t>
            </w:r>
          </w:p>
        </w:tc>
        <w:tc>
          <w:tcPr>
            <w:tcW w:type="dxa" w:w="1368"/>
            <w:vAlign w:val="center"/>
            <w:shd w:fill="EBF3FB" w:color="EBF3FB" w:val="clear"/>
          </w:tcPr>
          <w:p>
            <w:pPr>
              <w:jc w:val="center"/>
            </w:pPr>
            <w:r>
              <w:rPr>
                <w:rFonts w:ascii="Times New Roman" w:hAnsi="Times New Roman"/>
                <w:b w:val="0"/>
                <w:i w:val="0"/>
                <w:sz w:val="18"/>
                <w:u w:val="none"/>
              </w:rPr>
              <w:t>0.843</w:t>
            </w:r>
          </w:p>
        </w:tc>
        <w:tc>
          <w:tcPr>
            <w:tcW w:type="dxa" w:w="1368"/>
            <w:vAlign w:val="center"/>
            <w:shd w:fill="EBF3FB" w:color="EBF3FB" w:val="clear"/>
          </w:tcPr>
          <w:p>
            <w:pPr>
              <w:jc w:val="center"/>
            </w:pPr>
            <w:r>
              <w:rPr>
                <w:rFonts w:ascii="Times New Roman" w:hAnsi="Times New Roman"/>
                <w:b w:val="0"/>
                <w:i w:val="0"/>
                <w:sz w:val="18"/>
                <w:u w:val="none"/>
              </w:rPr>
              <w:t>0.899</w:t>
            </w:r>
          </w:p>
        </w:tc>
        <w:tc>
          <w:tcPr>
            <w:tcW w:type="dxa" w:w="1296"/>
            <w:vAlign w:val="center"/>
            <w:shd w:fill="EBF3FB" w:color="EBF3FB" w:val="clear"/>
          </w:tcPr>
          <w:p>
            <w:pPr>
              <w:jc w:val="center"/>
            </w:pPr>
            <w:r>
              <w:rPr>
                <w:rFonts w:ascii="Times New Roman" w:hAnsi="Times New Roman"/>
                <w:b w:val="0"/>
                <w:i w:val="0"/>
                <w:sz w:val="18"/>
                <w:u w:val="none"/>
              </w:rPr>
              <w:t>0.873</w:t>
            </w:r>
          </w:p>
        </w:tc>
        <w:tc>
          <w:tcPr>
            <w:tcW w:type="dxa" w:w="1728"/>
            <w:vAlign w:val="center"/>
            <w:shd w:fill="EBF3FB" w:color="EBF3FB" w:val="clear"/>
          </w:tcPr>
          <w:p>
            <w:pPr>
              <w:jc w:val="center"/>
            </w:pPr>
            <w:r>
              <w:rPr>
                <w:rFonts w:ascii="Times New Roman" w:hAnsi="Times New Roman"/>
                <w:b w:val="0"/>
                <w:i w:val="0"/>
                <w:sz w:val="18"/>
                <w:u w:val="none"/>
              </w:rPr>
              <w:t>[0.807, 0.938]</w:t>
            </w:r>
          </w:p>
        </w:tc>
      </w:tr>
      <w:tr>
        <w:tc>
          <w:tcPr>
            <w:tcW w:type="dxa" w:w="2304"/>
            <w:vAlign w:val="center"/>
            <w:shd w:fill="FFFFFF" w:color="FFFFFF" w:val="clear"/>
          </w:tcPr>
          <w:p>
            <w:pPr>
              <w:jc w:val="center"/>
            </w:pPr>
            <w:r>
              <w:rPr>
                <w:rFonts w:ascii="Times New Roman" w:hAnsi="Times New Roman"/>
                <w:b w:val="0"/>
                <w:i w:val="0"/>
                <w:sz w:val="18"/>
                <w:u w:val="none"/>
              </w:rPr>
              <w:t>ResNet-18 (scratch)</w:t>
            </w:r>
          </w:p>
        </w:tc>
        <w:tc>
          <w:tcPr>
            <w:tcW w:type="dxa" w:w="1224"/>
            <w:vAlign w:val="center"/>
            <w:shd w:fill="FFFFFF" w:color="FFFFFF" w:val="clear"/>
          </w:tcPr>
          <w:p>
            <w:pPr>
              <w:jc w:val="center"/>
            </w:pPr>
            <w:r>
              <w:rPr>
                <w:rFonts w:ascii="Times New Roman" w:hAnsi="Times New Roman"/>
                <w:b w:val="0"/>
                <w:i w:val="0"/>
                <w:sz w:val="18"/>
                <w:u w:val="none"/>
              </w:rPr>
              <w:t>0.951</w:t>
            </w:r>
          </w:p>
        </w:tc>
        <w:tc>
          <w:tcPr>
            <w:tcW w:type="dxa" w:w="1368"/>
            <w:vAlign w:val="center"/>
            <w:shd w:fill="FFFFFF" w:color="FFFFFF" w:val="clear"/>
          </w:tcPr>
          <w:p>
            <w:pPr>
              <w:jc w:val="center"/>
            </w:pPr>
            <w:r>
              <w:rPr>
                <w:rFonts w:ascii="Times New Roman" w:hAnsi="Times New Roman"/>
                <w:b w:val="0"/>
                <w:i w:val="0"/>
                <w:sz w:val="18"/>
                <w:u w:val="none"/>
              </w:rPr>
              <w:t>0.920</w:t>
            </w:r>
          </w:p>
        </w:tc>
        <w:tc>
          <w:tcPr>
            <w:tcW w:type="dxa" w:w="1368"/>
            <w:vAlign w:val="center"/>
            <w:shd w:fill="FFFFFF" w:color="FFFFFF" w:val="clear"/>
          </w:tcPr>
          <w:p>
            <w:pPr>
              <w:jc w:val="center"/>
            </w:pPr>
            <w:r>
              <w:rPr>
                <w:rFonts w:ascii="Times New Roman" w:hAnsi="Times New Roman"/>
                <w:b w:val="0"/>
                <w:i w:val="0"/>
                <w:sz w:val="18"/>
                <w:u w:val="none"/>
              </w:rPr>
              <w:t>0.889</w:t>
            </w:r>
          </w:p>
        </w:tc>
        <w:tc>
          <w:tcPr>
            <w:tcW w:type="dxa" w:w="1368"/>
            <w:vAlign w:val="center"/>
            <w:shd w:fill="FFFFFF" w:color="FFFFFF" w:val="clear"/>
          </w:tcPr>
          <w:p>
            <w:pPr>
              <w:jc w:val="center"/>
            </w:pPr>
            <w:r>
              <w:rPr>
                <w:rFonts w:ascii="Times New Roman" w:hAnsi="Times New Roman"/>
                <w:b w:val="0"/>
                <w:i w:val="0"/>
                <w:sz w:val="18"/>
                <w:u w:val="none"/>
              </w:rPr>
              <w:t>0.879</w:t>
            </w:r>
          </w:p>
        </w:tc>
        <w:tc>
          <w:tcPr>
            <w:tcW w:type="dxa" w:w="1296"/>
            <w:vAlign w:val="center"/>
            <w:shd w:fill="FFFFFF" w:color="FFFFFF" w:val="clear"/>
          </w:tcPr>
          <w:p>
            <w:pPr>
              <w:jc w:val="center"/>
            </w:pPr>
            <w:r>
              <w:rPr>
                <w:rFonts w:ascii="Times New Roman" w:hAnsi="Times New Roman"/>
                <w:b w:val="0"/>
                <w:i w:val="0"/>
                <w:sz w:val="18"/>
                <w:u w:val="none"/>
              </w:rPr>
              <w:t>0.910</w:t>
            </w:r>
          </w:p>
        </w:tc>
        <w:tc>
          <w:tcPr>
            <w:tcW w:type="dxa" w:w="1728"/>
            <w:vAlign w:val="center"/>
            <w:shd w:fill="FFFFFF" w:color="FFFFFF" w:val="clear"/>
          </w:tcPr>
          <w:p>
            <w:pPr>
              <w:jc w:val="center"/>
            </w:pPr>
            <w:r>
              <w:rPr>
                <w:rFonts w:ascii="Times New Roman" w:hAnsi="Times New Roman"/>
                <w:b w:val="0"/>
                <w:i w:val="0"/>
                <w:sz w:val="18"/>
                <w:u w:val="none"/>
              </w:rPr>
              <w:t>[0.853, 0.966]</w:t>
            </w:r>
          </w:p>
        </w:tc>
      </w:tr>
      <w:tr>
        <w:tc>
          <w:tcPr>
            <w:tcW w:type="dxa" w:w="2304"/>
            <w:vAlign w:val="center"/>
            <w:shd w:fill="EBF3FB" w:color="EBF3FB" w:val="clear"/>
          </w:tcPr>
          <w:p>
            <w:pPr>
              <w:jc w:val="center"/>
            </w:pPr>
            <w:r>
              <w:rPr>
                <w:rFonts w:ascii="Times New Roman" w:hAnsi="Times New Roman"/>
                <w:b w:val="0"/>
                <w:i w:val="0"/>
                <w:sz w:val="18"/>
                <w:u w:val="none"/>
              </w:rPr>
              <w:t>ResNet-18 (pretrained)</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368"/>
            <w:vAlign w:val="center"/>
            <w:shd w:fill="EBF3FB" w:color="EBF3FB" w:val="clear"/>
          </w:tcPr>
          <w:p>
            <w:pPr>
              <w:jc w:val="center"/>
            </w:pPr>
            <w:r>
              <w:rPr>
                <w:rFonts w:ascii="Times New Roman" w:hAnsi="Times New Roman"/>
                <w:b w:val="0"/>
                <w:i w:val="0"/>
                <w:sz w:val="18"/>
                <w:u w:val="none"/>
              </w:rPr>
              <w:t>0.945</w:t>
            </w:r>
          </w:p>
        </w:tc>
        <w:tc>
          <w:tcPr>
            <w:tcW w:type="dxa" w:w="1368"/>
            <w:vAlign w:val="center"/>
            <w:shd w:fill="EBF3FB" w:color="EBF3FB" w:val="clear"/>
          </w:tcPr>
          <w:p>
            <w:pPr>
              <w:jc w:val="center"/>
            </w:pPr>
            <w:r>
              <w:rPr>
                <w:rFonts w:ascii="Times New Roman" w:hAnsi="Times New Roman"/>
                <w:b w:val="0"/>
                <w:i w:val="0"/>
                <w:sz w:val="18"/>
                <w:u w:val="none"/>
              </w:rPr>
              <w:t>0.970</w:t>
            </w:r>
          </w:p>
        </w:tc>
        <w:tc>
          <w:tcPr>
            <w:tcW w:type="dxa" w:w="1368"/>
            <w:vAlign w:val="center"/>
            <w:shd w:fill="EBF3FB" w:color="EBF3FB" w:val="clear"/>
          </w:tcPr>
          <w:p>
            <w:pPr>
              <w:jc w:val="center"/>
            </w:pPr>
            <w:r>
              <w:rPr>
                <w:rFonts w:ascii="Times New Roman" w:hAnsi="Times New Roman"/>
                <w:b w:val="0"/>
                <w:i w:val="0"/>
                <w:sz w:val="18"/>
                <w:u w:val="none"/>
              </w:rPr>
              <w:t>0.946</w:t>
            </w:r>
          </w:p>
        </w:tc>
        <w:tc>
          <w:tcPr>
            <w:tcW w:type="dxa" w:w="1296"/>
            <w:vAlign w:val="center"/>
            <w:shd w:fill="EBF3FB" w:color="EBF3FB" w:val="clear"/>
          </w:tcPr>
          <w:p>
            <w:pPr>
              <w:jc w:val="center"/>
            </w:pPr>
            <w:r>
              <w:rPr>
                <w:rFonts w:ascii="Times New Roman" w:hAnsi="Times New Roman"/>
                <w:b w:val="0"/>
                <w:i w:val="0"/>
                <w:sz w:val="18"/>
                <w:u w:val="none"/>
              </w:rPr>
              <w:t>0.954</w:t>
            </w:r>
          </w:p>
        </w:tc>
        <w:tc>
          <w:tcPr>
            <w:tcW w:type="dxa" w:w="1728"/>
            <w:vAlign w:val="center"/>
            <w:shd w:fill="EBF3FB" w:color="EBF3FB" w:val="clear"/>
          </w:tcPr>
          <w:p>
            <w:pPr>
              <w:jc w:val="center"/>
            </w:pPr>
            <w:r>
              <w:rPr>
                <w:rFonts w:ascii="Times New Roman" w:hAnsi="Times New Roman"/>
                <w:b w:val="0"/>
                <w:i w:val="0"/>
                <w:sz w:val="18"/>
                <w:u w:val="none"/>
              </w:rPr>
              <w:t>[0.912, 0.995]</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trained on 800-sample stratified train split, evaluated on held-out 200-sample test split with seed 42. Deep-learning AUCs from single-split evaluation (see Section 2.6). Macro-AUC 95% CI: analytic Hanley-McNeil approximation (n_pos = 50, n_neg = 150).</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per model on simulation-scale data.</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1440"/>
            <w:vAlign w:val="center"/>
            <w:shd w:fill="1F4E79" w:color="1F4E79" w:val="clear"/>
          </w:tcPr>
          <w:p>
            <w:pPr>
              <w:jc w:val="center"/>
            </w:pPr>
            <w:r>
              <w:rPr>
                <w:rFonts w:ascii="Times New Roman" w:hAnsi="Times New Roman"/>
                <w:b/>
                <w:i w:val="0"/>
                <w:color w:val="FFFFFF"/>
                <w:sz w:val="18"/>
                <w:u w:val="none"/>
              </w:rPr>
              <w:t>Dataset N</w:t>
            </w:r>
          </w:p>
        </w:tc>
        <w:tc>
          <w:tcPr>
            <w:tcW w:type="dxa" w:w="4320"/>
            <w:vAlign w:val="center"/>
            <w:shd w:fill="1F4E79" w:color="1F4E79" w:val="clear"/>
          </w:tcPr>
          <w:p>
            <w:pPr>
              <w:jc w:val="center"/>
            </w:pPr>
            <w:r>
              <w:rPr>
                <w:rFonts w:ascii="Times New Roman" w:hAnsi="Times New Roman"/>
                <w:b/>
                <w:i w:val="0"/>
                <w:color w:val="FFFFFF"/>
                <w:sz w:val="18"/>
                <w:u w:val="none"/>
              </w:rPr>
              <w:t>Notes</w:t>
            </w:r>
          </w:p>
        </w:tc>
      </w:tr>
      <w:tr>
        <w:tc>
          <w:tcPr>
            <w:tcW w:type="dxa" w:w="2592"/>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0.484</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Inference latency and hardware specifications were not captured in this pilot run and are intentionally omitted; reported training times are on a single workstation-class CPU (LR/RF) or single consumer GPU (DL models) and should be interpreted as order-of-magnitude only.</w:t>
      </w:r>
    </w:p>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Material</w:t>
            </w:r>
          </w:p>
        </w:tc>
        <w:tc>
          <w:tcPr>
            <w:tcW w:type="dxa" w:w="2016"/>
            <w:vAlign w:val="center"/>
            <w:shd w:fill="1F4E79" w:color="1F4E79" w:val="clear"/>
          </w:tcPr>
          <w:p>
            <w:pPr>
              <w:jc w:val="center"/>
            </w:pPr>
            <w:r>
              <w:rPr>
                <w:rFonts w:ascii="Times New Roman" w:hAnsi="Times New Roman"/>
                <w:b/>
                <w:i w:val="0"/>
                <w:color w:val="FFFFFF"/>
                <w:sz w:val="18"/>
                <w:u w:val="none"/>
              </w:rPr>
              <w:t>Particle Size</w:t>
            </w:r>
          </w:p>
        </w:tc>
        <w:tc>
          <w:tcPr>
            <w:tcW w:type="dxa" w:w="1008"/>
            <w:vAlign w:val="center"/>
            <w:shd w:fill="1F4E79" w:color="1F4E79" w:val="clear"/>
          </w:tcPr>
          <w:p>
            <w:pPr>
              <w:jc w:val="center"/>
            </w:pPr>
            <w:r>
              <w:rPr>
                <w:rFonts w:ascii="Times New Roman" w:hAnsi="Times New Roman"/>
                <w:b/>
                <w:i w:val="0"/>
                <w:color w:val="FFFFFF"/>
                <w:sz w:val="18"/>
                <w:u w:val="none"/>
              </w:rPr>
              <w:t>N images</w:t>
            </w:r>
          </w:p>
        </w:tc>
        <w:tc>
          <w:tcPr>
            <w:tcW w:type="dxa" w:w="1440"/>
            <w:vAlign w:val="center"/>
            <w:shd w:fill="1F4E79" w:color="1F4E79" w:val="clear"/>
          </w:tcPr>
          <w:p>
            <w:pPr>
              <w:jc w:val="center"/>
            </w:pPr>
            <w:r>
              <w:rPr>
                <w:rFonts w:ascii="Times New Roman" w:hAnsi="Times New Roman"/>
                <w:b/>
                <w:i w:val="0"/>
                <w:color w:val="FFFFFF"/>
                <w:sz w:val="18"/>
                <w:u w:val="none"/>
              </w:rPr>
              <w:t>Mean cells/image</w:t>
            </w:r>
          </w:p>
        </w:tc>
        <w:tc>
          <w:tcPr>
            <w:tcW w:type="dxa" w:w="1080"/>
            <w:vAlign w:val="center"/>
            <w:shd w:fill="1F4E79" w:color="1F4E79" w:val="clear"/>
          </w:tcPr>
          <w:p>
            <w:pPr>
              <w:jc w:val="center"/>
            </w:pPr>
            <w:r>
              <w:rPr>
                <w:rFonts w:ascii="Times New Roman" w:hAnsi="Times New Roman"/>
                <w:b/>
                <w:i w:val="0"/>
                <w:color w:val="FFFFFF"/>
                <w:sz w:val="18"/>
                <w:u w:val="none"/>
              </w:rPr>
              <w:t>% Viable</w:t>
            </w:r>
          </w:p>
        </w:tc>
        <w:tc>
          <w:tcPr>
            <w:tcW w:type="dxa" w:w="1368"/>
            <w:vAlign w:val="center"/>
            <w:shd w:fill="1F4E79" w:color="1F4E79" w:val="clear"/>
          </w:tcPr>
          <w:p>
            <w:pPr>
              <w:jc w:val="center"/>
            </w:pPr>
            <w:r>
              <w:rPr>
                <w:rFonts w:ascii="Times New Roman" w:hAnsi="Times New Roman"/>
                <w:b/>
                <w:i w:val="0"/>
                <w:color w:val="FFFFFF"/>
                <w:sz w:val="18"/>
                <w:u w:val="none"/>
              </w:rPr>
              <w:t>% Early Apop.</w:t>
            </w:r>
          </w:p>
        </w:tc>
        <w:tc>
          <w:tcPr>
            <w:tcW w:type="dxa" w:w="1368"/>
            <w:vAlign w:val="center"/>
            <w:shd w:fill="1F4E79" w:color="1F4E79" w:val="clear"/>
          </w:tcPr>
          <w:p>
            <w:pPr>
              <w:jc w:val="center"/>
            </w:pPr>
            <w:r>
              <w:rPr>
                <w:rFonts w:ascii="Times New Roman" w:hAnsi="Times New Roman"/>
                <w:b/>
                <w:i w:val="0"/>
                <w:color w:val="FFFFFF"/>
                <w:sz w:val="18"/>
                <w:u w:val="none"/>
              </w:rPr>
              <w:t>% Late Apop.</w:t>
            </w:r>
          </w:p>
        </w:tc>
        <w:tc>
          <w:tcPr>
            <w:tcW w:type="dxa" w:w="1224"/>
            <w:vAlign w:val="center"/>
            <w:shd w:fill="1F4E79" w:color="1F4E79" w:val="clear"/>
          </w:tcPr>
          <w:p>
            <w:pPr>
              <w:jc w:val="center"/>
            </w:pPr>
            <w:r>
              <w:rPr>
                <w:rFonts w:ascii="Times New Roman" w:hAnsi="Times New Roman"/>
                <w:b/>
                <w:i w:val="0"/>
                <w:color w:val="FFFFFF"/>
                <w:sz w:val="18"/>
                <w:u w:val="none"/>
              </w:rPr>
              <w:t>% Necrosis</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101.0</w:t>
            </w:r>
          </w:p>
        </w:tc>
        <w:tc>
          <w:tcPr>
            <w:tcW w:type="dxa" w:w="1440"/>
            <w:vAlign w:val="center"/>
            <w:shd w:fill="EBF3FB" w:color="EBF3FB" w:val="clear"/>
          </w:tcPr>
          <w:p>
            <w:pPr>
              <w:jc w:val="center"/>
            </w:pPr>
            <w:r>
              <w:rPr>
                <w:rFonts w:ascii="Times New Roman" w:hAnsi="Times New Roman"/>
                <w:b w:val="0"/>
                <w:i w:val="0"/>
                <w:sz w:val="18"/>
                <w:u w:val="none"/>
              </w:rPr>
              <w:t>1609.6</w:t>
            </w:r>
          </w:p>
        </w:tc>
        <w:tc>
          <w:tcPr>
            <w:tcW w:type="dxa" w:w="1080"/>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20.8%</w:t>
            </w:r>
          </w:p>
        </w:tc>
        <w:tc>
          <w:tcPr>
            <w:tcW w:type="dxa" w:w="1224"/>
            <w:vAlign w:val="center"/>
            <w:shd w:fill="EBF3FB" w:color="EBF3FB" w:val="clear"/>
          </w:tcPr>
          <w:p>
            <w:pPr>
              <w:jc w:val="center"/>
            </w:pPr>
            <w:r>
              <w:rPr>
                <w:rFonts w:ascii="Times New Roman" w:hAnsi="Times New Roman"/>
                <w:b w:val="0"/>
                <w:i w:val="0"/>
                <w:sz w:val="18"/>
                <w:u w:val="none"/>
              </w:rPr>
              <w:t>21.8%</w:t>
            </w:r>
          </w:p>
        </w:tc>
      </w:tr>
      <w:tr>
        <w:tc>
          <w:tcPr>
            <w:tcW w:type="dxa" w:w="2016"/>
            <w:vAlign w:val="center"/>
            <w:shd w:fill="FFFFFF" w:color="FFFFFF" w:val="clear"/>
          </w:tcPr>
          <w:p>
            <w:pPr>
              <w:jc w:val="center"/>
            </w:pPr>
            <w:r>
              <w:rPr>
                <w:rFonts w:ascii="Times New Roman" w:hAnsi="Times New Roman"/>
                <w:b w:val="0"/>
                <w:i w:val="0"/>
                <w:sz w:val="18"/>
                <w:u w:val="none"/>
              </w:rPr>
              <w:t>Polystyrene (PS)</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115.0</w:t>
            </w:r>
          </w:p>
        </w:tc>
        <w:tc>
          <w:tcPr>
            <w:tcW w:type="dxa" w:w="1440"/>
            <w:vAlign w:val="center"/>
            <w:shd w:fill="FFFFFF" w:color="FFFFFF" w:val="clear"/>
          </w:tcPr>
          <w:p>
            <w:pPr>
              <w:jc w:val="center"/>
            </w:pPr>
            <w:r>
              <w:rPr>
                <w:rFonts w:ascii="Times New Roman" w:hAnsi="Times New Roman"/>
                <w:b w:val="0"/>
                <w:i w:val="0"/>
                <w:sz w:val="18"/>
                <w:u w:val="none"/>
              </w:rPr>
              <w:t>1616.7</w:t>
            </w:r>
          </w:p>
        </w:tc>
        <w:tc>
          <w:tcPr>
            <w:tcW w:type="dxa" w:w="1080"/>
            <w:vAlign w:val="center"/>
            <w:shd w:fill="FFFFFF" w:color="FFFFFF" w:val="clear"/>
          </w:tcPr>
          <w:p>
            <w:pPr>
              <w:jc w:val="center"/>
            </w:pPr>
            <w:r>
              <w:rPr>
                <w:rFonts w:ascii="Times New Roman" w:hAnsi="Times New Roman"/>
                <w:b w:val="0"/>
                <w:i w:val="0"/>
                <w:sz w:val="18"/>
                <w:u w:val="none"/>
              </w:rPr>
              <w:t>20.9%</w:t>
            </w:r>
          </w:p>
        </w:tc>
        <w:tc>
          <w:tcPr>
            <w:tcW w:type="dxa" w:w="1368"/>
            <w:vAlign w:val="center"/>
            <w:shd w:fill="FFFFFF" w:color="FFFFFF" w:val="clear"/>
          </w:tcPr>
          <w:p>
            <w:pPr>
              <w:jc w:val="center"/>
            </w:pPr>
            <w:r>
              <w:rPr>
                <w:rFonts w:ascii="Times New Roman" w:hAnsi="Times New Roman"/>
                <w:b w:val="0"/>
                <w:i w:val="0"/>
                <w:sz w:val="18"/>
                <w:u w:val="none"/>
              </w:rPr>
              <w:t>29.6%</w:t>
            </w:r>
          </w:p>
        </w:tc>
        <w:tc>
          <w:tcPr>
            <w:tcW w:type="dxa" w:w="1368"/>
            <w:vAlign w:val="center"/>
            <w:shd w:fill="FFFFFF" w:color="FFFFFF" w:val="clear"/>
          </w:tcPr>
          <w:p>
            <w:pPr>
              <w:jc w:val="center"/>
            </w:pPr>
            <w:r>
              <w:rPr>
                <w:rFonts w:ascii="Times New Roman" w:hAnsi="Times New Roman"/>
                <w:b w:val="0"/>
                <w:i w:val="0"/>
                <w:sz w:val="18"/>
                <w:u w:val="none"/>
              </w:rPr>
              <w:t>20.0%</w:t>
            </w:r>
          </w:p>
        </w:tc>
        <w:tc>
          <w:tcPr>
            <w:tcW w:type="dxa" w:w="1224"/>
            <w:vAlign w:val="center"/>
            <w:shd w:fill="FFFFFF" w:color="FFFFFF" w:val="clear"/>
          </w:tcPr>
          <w:p>
            <w:pPr>
              <w:jc w:val="center"/>
            </w:pPr>
            <w:r>
              <w:rPr>
                <w:rFonts w:ascii="Times New Roman" w:hAnsi="Times New Roman"/>
                <w:b w:val="0"/>
                <w:i w:val="0"/>
                <w:sz w:val="18"/>
                <w:u w:val="none"/>
              </w:rPr>
              <w:t>29.6%</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118.0</w:t>
            </w:r>
          </w:p>
        </w:tc>
        <w:tc>
          <w:tcPr>
            <w:tcW w:type="dxa" w:w="1440"/>
            <w:vAlign w:val="center"/>
            <w:shd w:fill="EBF3FB" w:color="EBF3FB" w:val="clear"/>
          </w:tcPr>
          <w:p>
            <w:pPr>
              <w:jc w:val="center"/>
            </w:pPr>
            <w:r>
              <w:rPr>
                <w:rFonts w:ascii="Times New Roman" w:hAnsi="Times New Roman"/>
                <w:b w:val="0"/>
                <w:i w:val="0"/>
                <w:sz w:val="18"/>
                <w:u w:val="none"/>
              </w:rPr>
              <w:t>1619.1</w:t>
            </w:r>
          </w:p>
        </w:tc>
        <w:tc>
          <w:tcPr>
            <w:tcW w:type="dxa" w:w="1080"/>
            <w:vAlign w:val="center"/>
            <w:shd w:fill="EBF3FB" w:color="EBF3FB" w:val="clear"/>
          </w:tcPr>
          <w:p>
            <w:pPr>
              <w:jc w:val="center"/>
            </w:pPr>
            <w:r>
              <w:rPr>
                <w:rFonts w:ascii="Times New Roman" w:hAnsi="Times New Roman"/>
                <w:b w:val="0"/>
                <w:i w:val="0"/>
                <w:sz w:val="18"/>
                <w:u w:val="none"/>
              </w:rPr>
              <w:t>16.9%</w:t>
            </w:r>
          </w:p>
        </w:tc>
        <w:tc>
          <w:tcPr>
            <w:tcW w:type="dxa" w:w="1368"/>
            <w:vAlign w:val="center"/>
            <w:shd w:fill="EBF3FB" w:color="EBF3FB" w:val="clear"/>
          </w:tcPr>
          <w:p>
            <w:pPr>
              <w:jc w:val="center"/>
            </w:pPr>
            <w:r>
              <w:rPr>
                <w:rFonts w:ascii="Times New Roman" w:hAnsi="Times New Roman"/>
                <w:b w:val="0"/>
                <w:i w:val="0"/>
                <w:sz w:val="18"/>
                <w:u w:val="none"/>
              </w:rPr>
              <w:t>30.5%</w:t>
            </w:r>
          </w:p>
        </w:tc>
        <w:tc>
          <w:tcPr>
            <w:tcW w:type="dxa" w:w="1368"/>
            <w:vAlign w:val="center"/>
            <w:shd w:fill="EBF3FB" w:color="EBF3FB" w:val="clear"/>
          </w:tcPr>
          <w:p>
            <w:pPr>
              <w:jc w:val="center"/>
            </w:pPr>
            <w:r>
              <w:rPr>
                <w:rFonts w:ascii="Times New Roman" w:hAnsi="Times New Roman"/>
                <w:b w:val="0"/>
                <w:i w:val="0"/>
                <w:sz w:val="18"/>
                <w:u w:val="none"/>
              </w:rPr>
              <w:t>24.6%</w:t>
            </w:r>
          </w:p>
        </w:tc>
        <w:tc>
          <w:tcPr>
            <w:tcW w:type="dxa" w:w="1224"/>
            <w:vAlign w:val="center"/>
            <w:shd w:fill="EBF3FB" w:color="EBF3FB" w:val="clear"/>
          </w:tcPr>
          <w:p>
            <w:pPr>
              <w:jc w:val="center"/>
            </w:pPr>
            <w:r>
              <w:rPr>
                <w:rFonts w:ascii="Times New Roman" w:hAnsi="Times New Roman"/>
                <w:b w:val="0"/>
                <w:i w:val="0"/>
                <w:sz w:val="18"/>
                <w:u w:val="none"/>
              </w:rPr>
              <w:t>28.0%</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o (100 nm)</w:t>
            </w:r>
          </w:p>
        </w:tc>
        <w:tc>
          <w:tcPr>
            <w:tcW w:type="dxa" w:w="1008"/>
            <w:vAlign w:val="center"/>
            <w:shd w:fill="FFFFFF" w:color="FFFFFF" w:val="clear"/>
          </w:tcPr>
          <w:p>
            <w:pPr>
              <w:jc w:val="center"/>
            </w:pPr>
            <w:r>
              <w:rPr>
                <w:rFonts w:ascii="Times New Roman" w:hAnsi="Times New Roman"/>
                <w:b w:val="0"/>
                <w:i w:val="0"/>
                <w:sz w:val="18"/>
                <w:u w:val="none"/>
              </w:rPr>
              <w:t>118.0</w:t>
            </w:r>
          </w:p>
        </w:tc>
        <w:tc>
          <w:tcPr>
            <w:tcW w:type="dxa" w:w="1440"/>
            <w:vAlign w:val="center"/>
            <w:shd w:fill="FFFFFF" w:color="FFFFFF" w:val="clear"/>
          </w:tcPr>
          <w:p>
            <w:pPr>
              <w:jc w:val="center"/>
            </w:pPr>
            <w:r>
              <w:rPr>
                <w:rFonts w:ascii="Times New Roman" w:hAnsi="Times New Roman"/>
                <w:b w:val="0"/>
                <w:i w:val="0"/>
                <w:sz w:val="18"/>
                <w:u w:val="none"/>
              </w:rPr>
              <w:t>1602.6</w:t>
            </w:r>
          </w:p>
        </w:tc>
        <w:tc>
          <w:tcPr>
            <w:tcW w:type="dxa" w:w="1080"/>
            <w:vAlign w:val="center"/>
            <w:shd w:fill="FFFFFF" w:color="FFFFFF" w:val="clear"/>
          </w:tcPr>
          <w:p>
            <w:pPr>
              <w:jc w:val="center"/>
            </w:pPr>
            <w:r>
              <w:rPr>
                <w:rFonts w:ascii="Times New Roman" w:hAnsi="Times New Roman"/>
                <w:b w:val="0"/>
                <w:i w:val="0"/>
                <w:sz w:val="18"/>
                <w:u w:val="none"/>
              </w:rPr>
              <w:t>32.2%</w:t>
            </w:r>
          </w:p>
        </w:tc>
        <w:tc>
          <w:tcPr>
            <w:tcW w:type="dxa" w:w="1368"/>
            <w:vAlign w:val="center"/>
            <w:shd w:fill="FFFFFF" w:color="FFFFFF" w:val="clear"/>
          </w:tcPr>
          <w:p>
            <w:pPr>
              <w:jc w:val="center"/>
            </w:pPr>
            <w:r>
              <w:rPr>
                <w:rFonts w:ascii="Times New Roman" w:hAnsi="Times New Roman"/>
                <w:b w:val="0"/>
                <w:i w:val="0"/>
                <w:sz w:val="18"/>
                <w:u w:val="none"/>
              </w:rPr>
              <w:t>18.6%</w:t>
            </w:r>
          </w:p>
        </w:tc>
        <w:tc>
          <w:tcPr>
            <w:tcW w:type="dxa" w:w="1368"/>
            <w:vAlign w:val="center"/>
            <w:shd w:fill="FFFFFF" w:color="FFFFFF" w:val="clear"/>
          </w:tcPr>
          <w:p>
            <w:pPr>
              <w:jc w:val="center"/>
            </w:pPr>
            <w:r>
              <w:rPr>
                <w:rFonts w:ascii="Times New Roman" w:hAnsi="Times New Roman"/>
                <w:b w:val="0"/>
                <w:i w:val="0"/>
                <w:sz w:val="18"/>
                <w:u w:val="none"/>
              </w:rPr>
              <w:t>23.7%</w:t>
            </w:r>
          </w:p>
        </w:tc>
        <w:tc>
          <w:tcPr>
            <w:tcW w:type="dxa" w:w="1224"/>
            <w:vAlign w:val="center"/>
            <w:shd w:fill="FFFFFF" w:color="FFFFFF" w:val="clear"/>
          </w:tcPr>
          <w:p>
            <w:pPr>
              <w:jc w:val="center"/>
            </w:pPr>
            <w:r>
              <w:rPr>
                <w:rFonts w:ascii="Times New Roman" w:hAnsi="Times New Roman"/>
                <w:b w:val="0"/>
                <w:i w:val="0"/>
                <w:sz w:val="18"/>
                <w:u w:val="none"/>
              </w:rPr>
              <w:t>25.4%</w:t>
            </w:r>
          </w:p>
        </w:tc>
      </w:tr>
      <w:tr>
        <w:tc>
          <w:tcPr>
            <w:tcW w:type="dxa" w:w="2016"/>
            <w:vAlign w:val="center"/>
            <w:shd w:fill="EBF3FB" w:color="EBF3FB" w:val="clear"/>
          </w:tcPr>
          <w:p>
            <w:pPr>
              <w:jc w:val="center"/>
            </w:pPr>
            <w:r>
              <w:rPr>
                <w:rFonts w:ascii="Times New Roman" w:hAnsi="Times New Roman"/>
                <w:b w:val="0"/>
                <w:i w:val="0"/>
                <w:sz w:val="18"/>
                <w:u w:val="none"/>
              </w:rPr>
              <w:t>Polyethylene (PE)</w:t>
            </w:r>
          </w:p>
        </w:tc>
        <w:tc>
          <w:tcPr>
            <w:tcW w:type="dxa" w:w="2016"/>
            <w:vAlign w:val="center"/>
            <w:shd w:fill="EBF3FB" w:color="EBF3FB" w:val="clear"/>
          </w:tcPr>
          <w:p>
            <w:pPr>
              <w:jc w:val="center"/>
            </w:pPr>
            <w:r>
              <w:rPr>
                <w:rFonts w:ascii="Times New Roman" w:hAnsi="Times New Roman"/>
                <w:b w:val="0"/>
                <w:i w:val="0"/>
                <w:sz w:val="18"/>
                <w:u w:val="none"/>
              </w:rPr>
              <w:t>micro (1-10 μm)</w:t>
            </w:r>
          </w:p>
        </w:tc>
        <w:tc>
          <w:tcPr>
            <w:tcW w:type="dxa" w:w="1008"/>
            <w:vAlign w:val="center"/>
            <w:shd w:fill="EBF3FB" w:color="EBF3FB" w:val="clear"/>
          </w:tcPr>
          <w:p>
            <w:pPr>
              <w:jc w:val="center"/>
            </w:pPr>
            <w:r>
              <w:rPr>
                <w:rFonts w:ascii="Times New Roman" w:hAnsi="Times New Roman"/>
                <w:b w:val="0"/>
                <w:i w:val="0"/>
                <w:sz w:val="18"/>
                <w:u w:val="none"/>
              </w:rPr>
              <w:t>116.0</w:t>
            </w:r>
          </w:p>
        </w:tc>
        <w:tc>
          <w:tcPr>
            <w:tcW w:type="dxa" w:w="1440"/>
            <w:vAlign w:val="center"/>
            <w:shd w:fill="EBF3FB" w:color="EBF3FB" w:val="clear"/>
          </w:tcPr>
          <w:p>
            <w:pPr>
              <w:jc w:val="center"/>
            </w:pPr>
            <w:r>
              <w:rPr>
                <w:rFonts w:ascii="Times New Roman" w:hAnsi="Times New Roman"/>
                <w:b w:val="0"/>
                <w:i w:val="0"/>
                <w:sz w:val="18"/>
                <w:u w:val="none"/>
              </w:rPr>
              <w:t>1610.9</w:t>
            </w:r>
          </w:p>
        </w:tc>
        <w:tc>
          <w:tcPr>
            <w:tcW w:type="dxa" w:w="1080"/>
            <w:vAlign w:val="center"/>
            <w:shd w:fill="EBF3FB" w:color="EBF3FB" w:val="clear"/>
          </w:tcPr>
          <w:p>
            <w:pPr>
              <w:jc w:val="center"/>
            </w:pPr>
            <w:r>
              <w:rPr>
                <w:rFonts w:ascii="Times New Roman" w:hAnsi="Times New Roman"/>
                <w:b w:val="0"/>
                <w:i w:val="0"/>
                <w:sz w:val="18"/>
                <w:u w:val="none"/>
              </w:rPr>
              <w:t>25.9%</w:t>
            </w:r>
          </w:p>
        </w:tc>
        <w:tc>
          <w:tcPr>
            <w:tcW w:type="dxa" w:w="1368"/>
            <w:vAlign w:val="center"/>
            <w:shd w:fill="EBF3FB" w:color="EBF3FB" w:val="clear"/>
          </w:tcPr>
          <w:p>
            <w:pPr>
              <w:jc w:val="center"/>
            </w:pPr>
            <w:r>
              <w:rPr>
                <w:rFonts w:ascii="Times New Roman" w:hAnsi="Times New Roman"/>
                <w:b w:val="0"/>
                <w:i w:val="0"/>
                <w:sz w:val="18"/>
                <w:u w:val="none"/>
              </w:rPr>
              <w:t>21.6%</w:t>
            </w:r>
          </w:p>
        </w:tc>
        <w:tc>
          <w:tcPr>
            <w:tcW w:type="dxa" w:w="1368"/>
            <w:vAlign w:val="center"/>
            <w:shd w:fill="EBF3FB" w:color="EBF3FB" w:val="clear"/>
          </w:tcPr>
          <w:p>
            <w:pPr>
              <w:jc w:val="center"/>
            </w:pPr>
            <w:r>
              <w:rPr>
                <w:rFonts w:ascii="Times New Roman" w:hAnsi="Times New Roman"/>
                <w:b w:val="0"/>
                <w:i w:val="0"/>
                <w:sz w:val="18"/>
                <w:u w:val="none"/>
              </w:rPr>
              <w:t>22.4%</w:t>
            </w:r>
          </w:p>
        </w:tc>
        <w:tc>
          <w:tcPr>
            <w:tcW w:type="dxa" w:w="1224"/>
            <w:vAlign w:val="center"/>
            <w:shd w:fill="EBF3FB" w:color="EBF3FB" w:val="clear"/>
          </w:tcPr>
          <w:p>
            <w:pPr>
              <w:jc w:val="center"/>
            </w:pPr>
            <w:r>
              <w:rPr>
                <w:rFonts w:ascii="Times New Roman" w:hAnsi="Times New Roman"/>
                <w:b w:val="0"/>
                <w:i w:val="0"/>
                <w:sz w:val="18"/>
                <w:u w:val="none"/>
              </w:rPr>
              <w:t>30.2%</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large (&gt;10 μm)</w:t>
            </w:r>
          </w:p>
        </w:tc>
        <w:tc>
          <w:tcPr>
            <w:tcW w:type="dxa" w:w="1008"/>
            <w:vAlign w:val="center"/>
            <w:shd w:fill="FFFFFF" w:color="FFFFFF" w:val="clear"/>
          </w:tcPr>
          <w:p>
            <w:pPr>
              <w:jc w:val="center"/>
            </w:pPr>
            <w:r>
              <w:rPr>
                <w:rFonts w:ascii="Times New Roman" w:hAnsi="Times New Roman"/>
                <w:b w:val="0"/>
                <w:i w:val="0"/>
                <w:sz w:val="18"/>
                <w:u w:val="none"/>
              </w:rPr>
              <w:t>96.0</w:t>
            </w:r>
          </w:p>
        </w:tc>
        <w:tc>
          <w:tcPr>
            <w:tcW w:type="dxa" w:w="1440"/>
            <w:vAlign w:val="center"/>
            <w:shd w:fill="FFFFFF" w:color="FFFFFF" w:val="clear"/>
          </w:tcPr>
          <w:p>
            <w:pPr>
              <w:jc w:val="center"/>
            </w:pPr>
            <w:r>
              <w:rPr>
                <w:rFonts w:ascii="Times New Roman" w:hAnsi="Times New Roman"/>
                <w:b w:val="0"/>
                <w:i w:val="0"/>
                <w:sz w:val="18"/>
                <w:u w:val="none"/>
              </w:rPr>
              <w:t>1630.6</w:t>
            </w:r>
          </w:p>
        </w:tc>
        <w:tc>
          <w:tcPr>
            <w:tcW w:type="dxa" w:w="1080"/>
            <w:vAlign w:val="center"/>
            <w:shd w:fill="FFFFFF" w:color="FFFFFF" w:val="clear"/>
          </w:tcPr>
          <w:p>
            <w:pPr>
              <w:jc w:val="center"/>
            </w:pPr>
            <w:r>
              <w:rPr>
                <w:rFonts w:ascii="Times New Roman" w:hAnsi="Times New Roman"/>
                <w:b w:val="0"/>
                <w:i w:val="0"/>
                <w:sz w:val="18"/>
                <w:u w:val="none"/>
              </w:rPr>
              <w:t>22.9%</w:t>
            </w:r>
          </w:p>
        </w:tc>
        <w:tc>
          <w:tcPr>
            <w:tcW w:type="dxa" w:w="1368"/>
            <w:vAlign w:val="center"/>
            <w:shd w:fill="FFFFFF" w:color="FFFFFF" w:val="clear"/>
          </w:tcPr>
          <w:p>
            <w:pPr>
              <w:jc w:val="center"/>
            </w:pPr>
            <w:r>
              <w:rPr>
                <w:rFonts w:ascii="Times New Roman" w:hAnsi="Times New Roman"/>
                <w:b w:val="0"/>
                <w:i w:val="0"/>
                <w:sz w:val="18"/>
                <w:u w:val="none"/>
              </w:rPr>
              <w:t>27.1%</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17.7%</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120.0</w:t>
            </w:r>
          </w:p>
        </w:tc>
        <w:tc>
          <w:tcPr>
            <w:tcW w:type="dxa" w:w="1440"/>
            <w:vAlign w:val="center"/>
            <w:shd w:fill="EBF3FB" w:color="EBF3FB" w:val="clear"/>
          </w:tcPr>
          <w:p>
            <w:pPr>
              <w:jc w:val="center"/>
            </w:pPr>
            <w:r>
              <w:rPr>
                <w:rFonts w:ascii="Times New Roman" w:hAnsi="Times New Roman"/>
                <w:b w:val="0"/>
                <w:i w:val="0"/>
                <w:sz w:val="18"/>
                <w:u w:val="none"/>
              </w:rPr>
              <w:t>1592.7</w:t>
            </w:r>
          </w:p>
        </w:tc>
        <w:tc>
          <w:tcPr>
            <w:tcW w:type="dxa" w:w="1080"/>
            <w:vAlign w:val="center"/>
            <w:shd w:fill="EBF3FB" w:color="EBF3FB" w:val="clear"/>
          </w:tcPr>
          <w:p>
            <w:pPr>
              <w:jc w:val="center"/>
            </w:pPr>
            <w:r>
              <w:rPr>
                <w:rFonts w:ascii="Times New Roman" w:hAnsi="Times New Roman"/>
                <w:b w:val="0"/>
                <w:i w:val="0"/>
                <w:sz w:val="18"/>
                <w:u w:val="none"/>
              </w:rPr>
              <w:t>20.8%</w:t>
            </w:r>
          </w:p>
        </w:tc>
        <w:tc>
          <w:tcPr>
            <w:tcW w:type="dxa" w:w="1368"/>
            <w:vAlign w:val="center"/>
            <w:shd w:fill="EBF3FB" w:color="EBF3FB" w:val="clear"/>
          </w:tcPr>
          <w:p>
            <w:pPr>
              <w:jc w:val="center"/>
            </w:pPr>
            <w:r>
              <w:rPr>
                <w:rFonts w:ascii="Times New Roman" w:hAnsi="Times New Roman"/>
                <w:b w:val="0"/>
                <w:i w:val="0"/>
                <w:sz w:val="18"/>
                <w:u w:val="none"/>
              </w:rPr>
              <w:t>27.5%</w:t>
            </w:r>
          </w:p>
        </w:tc>
        <w:tc>
          <w:tcPr>
            <w:tcW w:type="dxa" w:w="1368"/>
            <w:vAlign w:val="center"/>
            <w:shd w:fill="EBF3FB" w:color="EBF3FB" w:val="clear"/>
          </w:tcPr>
          <w:p>
            <w:pPr>
              <w:jc w:val="center"/>
            </w:pPr>
            <w:r>
              <w:rPr>
                <w:rFonts w:ascii="Times New Roman" w:hAnsi="Times New Roman"/>
                <w:b w:val="0"/>
                <w:i w:val="0"/>
                <w:sz w:val="18"/>
                <w:u w:val="none"/>
              </w:rPr>
              <w:t>24.2%</w:t>
            </w:r>
          </w:p>
        </w:tc>
        <w:tc>
          <w:tcPr>
            <w:tcW w:type="dxa" w:w="1224"/>
            <w:vAlign w:val="center"/>
            <w:shd w:fill="EBF3FB" w:color="EBF3FB" w:val="clear"/>
          </w:tcPr>
          <w:p>
            <w:pPr>
              <w:jc w:val="center"/>
            </w:pPr>
            <w:r>
              <w:rPr>
                <w:rFonts w:ascii="Times New Roman" w:hAnsi="Times New Roman"/>
                <w:b w:val="0"/>
                <w:i w:val="0"/>
                <w:sz w:val="18"/>
                <w:u w:val="none"/>
              </w:rPr>
              <w:t>27.5%</w:t>
            </w:r>
          </w:p>
        </w:tc>
      </w:tr>
      <w:tr>
        <w:tc>
          <w:tcPr>
            <w:tcW w:type="dxa" w:w="2016"/>
            <w:vAlign w:val="center"/>
            <w:shd w:fill="FFFFFF" w:color="FFFFFF" w:val="clear"/>
          </w:tcPr>
          <w:p>
            <w:pPr>
              <w:jc w:val="center"/>
            </w:pPr>
            <w:r>
              <w:rPr>
                <w:rFonts w:ascii="Times New Roman" w:hAnsi="Times New Roman"/>
                <w:b w:val="0"/>
                <w:i w:val="0"/>
                <w:sz w:val="18"/>
                <w:u w:val="none"/>
              </w:rPr>
              <w:t>PET</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99.0</w:t>
            </w:r>
          </w:p>
        </w:tc>
        <w:tc>
          <w:tcPr>
            <w:tcW w:type="dxa" w:w="1440"/>
            <w:vAlign w:val="center"/>
            <w:shd w:fill="FFFFFF" w:color="FFFFFF" w:val="clear"/>
          </w:tcPr>
          <w:p>
            <w:pPr>
              <w:jc w:val="center"/>
            </w:pPr>
            <w:r>
              <w:rPr>
                <w:rFonts w:ascii="Times New Roman" w:hAnsi="Times New Roman"/>
                <w:b w:val="0"/>
                <w:i w:val="0"/>
                <w:sz w:val="18"/>
                <w:u w:val="none"/>
              </w:rPr>
              <w:t>1612.8</w:t>
            </w:r>
          </w:p>
        </w:tc>
        <w:tc>
          <w:tcPr>
            <w:tcW w:type="dxa" w:w="1080"/>
            <w:vAlign w:val="center"/>
            <w:shd w:fill="FFFFFF" w:color="FFFFFF" w:val="clear"/>
          </w:tcPr>
          <w:p>
            <w:pPr>
              <w:jc w:val="center"/>
            </w:pPr>
            <w:r>
              <w:rPr>
                <w:rFonts w:ascii="Times New Roman" w:hAnsi="Times New Roman"/>
                <w:b w:val="0"/>
                <w:i w:val="0"/>
                <w:sz w:val="18"/>
                <w:u w:val="none"/>
              </w:rPr>
              <w:t>23.2%</w:t>
            </w:r>
          </w:p>
        </w:tc>
        <w:tc>
          <w:tcPr>
            <w:tcW w:type="dxa" w:w="1368"/>
            <w:vAlign w:val="center"/>
            <w:shd w:fill="FFFFFF" w:color="FFFFFF" w:val="clear"/>
          </w:tcPr>
          <w:p>
            <w:pPr>
              <w:jc w:val="center"/>
            </w:pPr>
            <w:r>
              <w:rPr>
                <w:rFonts w:ascii="Times New Roman" w:hAnsi="Times New Roman"/>
                <w:b w:val="0"/>
                <w:i w:val="0"/>
                <w:sz w:val="18"/>
                <w:u w:val="none"/>
              </w:rPr>
              <w:t>20.2%</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24.2%</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117.0</w:t>
            </w:r>
          </w:p>
        </w:tc>
        <w:tc>
          <w:tcPr>
            <w:tcW w:type="dxa" w:w="1440"/>
            <w:vAlign w:val="center"/>
            <w:shd w:fill="EBF3FB" w:color="EBF3FB" w:val="clear"/>
          </w:tcPr>
          <w:p>
            <w:pPr>
              <w:jc w:val="center"/>
            </w:pPr>
            <w:r>
              <w:rPr>
                <w:rFonts w:ascii="Times New Roman" w:hAnsi="Times New Roman"/>
                <w:b w:val="0"/>
                <w:i w:val="0"/>
                <w:sz w:val="18"/>
                <w:u w:val="none"/>
              </w:rPr>
              <w:t>1608.5</w:t>
            </w:r>
          </w:p>
        </w:tc>
        <w:tc>
          <w:tcPr>
            <w:tcW w:type="dxa" w:w="1080"/>
            <w:vAlign w:val="center"/>
            <w:shd w:fill="EBF3FB" w:color="EBF3FB" w:val="clear"/>
          </w:tcPr>
          <w:p>
            <w:pPr>
              <w:jc w:val="center"/>
            </w:pPr>
            <w:r>
              <w:rPr>
                <w:rFonts w:ascii="Times New Roman" w:hAnsi="Times New Roman"/>
                <w:b w:val="0"/>
                <w:i w:val="0"/>
                <w:sz w:val="18"/>
                <w:u w:val="none"/>
              </w:rPr>
              <w:t>33.3%</w:t>
            </w:r>
          </w:p>
        </w:tc>
        <w:tc>
          <w:tcPr>
            <w:tcW w:type="dxa" w:w="1368"/>
            <w:vAlign w:val="center"/>
            <w:shd w:fill="EBF3FB" w:color="EBF3FB" w:val="clear"/>
          </w:tcPr>
          <w:p>
            <w:pPr>
              <w:jc w:val="center"/>
            </w:pPr>
            <w:r>
              <w:rPr>
                <w:rFonts w:ascii="Times New Roman" w:hAnsi="Times New Roman"/>
                <w:b w:val="0"/>
                <w:i w:val="0"/>
                <w:sz w:val="18"/>
                <w:u w:val="none"/>
              </w:rPr>
              <w:t>21.4%</w:t>
            </w:r>
          </w:p>
        </w:tc>
        <w:tc>
          <w:tcPr>
            <w:tcW w:type="dxa" w:w="1368"/>
            <w:vAlign w:val="center"/>
            <w:shd w:fill="EBF3FB" w:color="EBF3FB" w:val="clear"/>
          </w:tcPr>
          <w:p>
            <w:pPr>
              <w:jc w:val="center"/>
            </w:pPr>
            <w:r>
              <w:rPr>
                <w:rFonts w:ascii="Times New Roman" w:hAnsi="Times New Roman"/>
                <w:b w:val="0"/>
                <w:i w:val="0"/>
                <w:sz w:val="18"/>
                <w:u w:val="none"/>
              </w:rPr>
              <w:t>26.5%</w:t>
            </w:r>
          </w:p>
        </w:tc>
        <w:tc>
          <w:tcPr>
            <w:tcW w:type="dxa" w:w="1224"/>
            <w:vAlign w:val="center"/>
            <w:shd w:fill="EBF3FB" w:color="EBF3FB" w:val="clear"/>
          </w:tcPr>
          <w:p>
            <w:pPr>
              <w:jc w:val="center"/>
            </w:pPr>
            <w:r>
              <w:rPr>
                <w:rFonts w:ascii="Times New Roman" w:hAnsi="Times New Roman"/>
                <w:b w:val="0"/>
                <w:i w:val="0"/>
                <w:sz w:val="18"/>
                <w:u w:val="none"/>
              </w:rPr>
              <w:t>18.8%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consistent with its role as the dominant simulator-encoded descriptor.</w:t>
      </w:r>
    </w:p>
    <w:p>
      <w:pPr>
        <w:spacing w:after="80"/>
        <w:jc w:val="both"/>
      </w:pPr>
      <w:r>
        <w:rPr>
          <w:rFonts w:ascii="Times New Roman" w:hAnsi="Times New Roman"/>
          <w:b w:val="0"/>
          <w:i w:val="0"/>
          <w:sz w:val="22"/>
          <w:u w:val="none"/>
        </w:rPr>
        <w:t>Table 8. Spearman dose-response correlations (per class × polymer) with BH-adjusted p-values.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160"/>
            <w:vAlign w:val="center"/>
            <w:shd w:fill="1F4E79" w:color="1F4E79" w:val="clear"/>
          </w:tcPr>
          <w:p>
            <w:pPr>
              <w:jc w:val="center"/>
            </w:pPr>
            <w:r>
              <w:rPr>
                <w:rFonts w:ascii="Times New Roman" w:hAnsi="Times New Roman"/>
                <w:b/>
                <w:i w:val="0"/>
                <w:color w:val="FFFFFF"/>
                <w:sz w:val="18"/>
                <w:u w:val="none"/>
              </w:rPr>
              <w:t>Cell-Death Class</w:t>
            </w:r>
          </w:p>
        </w:tc>
        <w:tc>
          <w:tcPr>
            <w:tcW w:type="dxa" w:w="1584"/>
            <w:vAlign w:val="center"/>
            <w:shd w:fill="1F4E79" w:color="1F4E79" w:val="clear"/>
          </w:tcPr>
          <w:p>
            <w:pPr>
              <w:jc w:val="center"/>
            </w:pPr>
            <w:r>
              <w:rPr>
                <w:rFonts w:ascii="Times New Roman" w:hAnsi="Times New Roman"/>
                <w:b/>
                <w:i w:val="0"/>
                <w:color w:val="FFFFFF"/>
                <w:sz w:val="18"/>
                <w:u w:val="none"/>
              </w:rPr>
              <w:t>Polymer</w:t>
            </w:r>
          </w:p>
        </w:tc>
        <w:tc>
          <w:tcPr>
            <w:tcW w:type="dxa" w:w="1224"/>
            <w:vAlign w:val="center"/>
            <w:shd w:fill="1F4E79" w:color="1F4E79" w:val="clear"/>
          </w:tcPr>
          <w:p>
            <w:pPr>
              <w:jc w:val="center"/>
            </w:pPr>
            <w:r>
              <w:rPr>
                <w:rFonts w:ascii="Times New Roman" w:hAnsi="Times New Roman"/>
                <w:b/>
                <w:i w:val="0"/>
                <w:color w:val="FFFFFF"/>
                <w:sz w:val="18"/>
                <w:u w:val="none"/>
              </w:rPr>
              <w:t>Spearman ρ</w:t>
            </w:r>
          </w:p>
        </w:tc>
        <w:tc>
          <w:tcPr>
            <w:tcW w:type="dxa" w:w="1800"/>
            <w:vAlign w:val="center"/>
            <w:shd w:fill="1F4E79" w:color="1F4E79" w:val="clear"/>
          </w:tcPr>
          <w:p>
            <w:pPr>
              <w:jc w:val="center"/>
            </w:pPr>
            <w:r>
              <w:rPr>
                <w:rFonts w:ascii="Times New Roman" w:hAnsi="Times New Roman"/>
                <w:b/>
                <w:i w:val="0"/>
                <w:color w:val="FFFFFF"/>
                <w:sz w:val="18"/>
                <w:u w:val="none"/>
              </w:rPr>
              <w:t>95% CI (Fisher z)</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224"/>
            <w:vAlign w:val="center"/>
            <w:shd w:fill="1F4E79" w:color="1F4E79" w:val="clear"/>
          </w:tcPr>
          <w:p>
            <w:pPr>
              <w:jc w:val="center"/>
            </w:pPr>
            <w:r>
              <w:rPr>
                <w:rFonts w:ascii="Times New Roman" w:hAnsi="Times New Roman"/>
                <w:b/>
                <w:i w:val="0"/>
                <w:color w:val="FFFFFF"/>
                <w:sz w:val="18"/>
                <w:u w:val="none"/>
              </w:rPr>
              <w:t>BH-adj. p</w:t>
            </w:r>
          </w:p>
        </w:tc>
        <w:tc>
          <w:tcPr>
            <w:tcW w:type="dxa" w:w="1152"/>
            <w:vAlign w:val="center"/>
            <w:shd w:fill="1F4E79" w:color="1F4E79" w:val="clear"/>
          </w:tcPr>
          <w:p>
            <w:pPr>
              <w:jc w:val="center"/>
            </w:pPr>
            <w:r>
              <w:rPr>
                <w:rFonts w:ascii="Times New Roman" w:hAnsi="Times New Roman"/>
                <w:b/>
                <w:i w:val="0"/>
                <w:color w:val="FFFFFF"/>
                <w:sz w:val="18"/>
                <w:u w:val="none"/>
              </w:rPr>
              <w:t>Sig. (FDR&lt;5%)</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1.575e-02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Early Apoptosis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1.700e-02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Polystyrene (PS)</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1.775e-02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Late Apoptosis</w:t>
            </w:r>
          </w:p>
        </w:tc>
        <w:tc>
          <w:tcPr>
            <w:tcW w:type="dxa" w:w="1584"/>
            <w:vAlign w:val="center"/>
            <w:shd w:fill="EBF3FB" w:color="EBF3FB" w:val="clear"/>
          </w:tcPr>
          <w:p>
            <w:pPr>
              <w:jc w:val="center"/>
            </w:pPr>
            <w:r>
              <w:rPr>
                <w:rFonts w:ascii="Times New Roman" w:hAnsi="Times New Roman"/>
                <w:b w:val="0"/>
                <w:i w:val="0"/>
                <w:sz w:val="18"/>
                <w:u w:val="none"/>
              </w:rPr>
              <w:t>Polyethylene (PE)</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PET</w:t>
            </w:r>
          </w:p>
        </w:tc>
        <w:tc>
          <w:tcPr>
            <w:tcW w:type="dxa" w:w="1224"/>
            <w:vAlign w:val="center"/>
            <w:shd w:fill="FFFFFF" w:color="FFFFFF" w:val="clear"/>
          </w:tcPr>
          <w:p>
            <w:pPr>
              <w:jc w:val="center"/>
            </w:pPr>
            <w:r>
              <w:rPr>
                <w:rFonts w:ascii="Times New Roman" w:hAnsi="Times New Roman"/>
                <w:b w:val="0"/>
                <w:i w:val="0"/>
                <w:sz w:val="18"/>
                <w:u w:val="none"/>
              </w:rPr>
              <w:t>0.829</w:t>
            </w:r>
          </w:p>
        </w:tc>
        <w:tc>
          <w:tcPr>
            <w:tcW w:type="dxa" w:w="1800"/>
            <w:vAlign w:val="center"/>
            <w:shd w:fill="FFFFFF" w:color="FFFFFF" w:val="clear"/>
          </w:tcPr>
          <w:p>
            <w:pPr>
              <w:jc w:val="center"/>
            </w:pPr>
            <w:r>
              <w:rPr>
                <w:rFonts w:ascii="Times New Roman" w:hAnsi="Times New Roman"/>
                <w:b w:val="0"/>
                <w:i w:val="0"/>
                <w:sz w:val="18"/>
                <w:u w:val="none"/>
              </w:rPr>
              <w:t>[0.053, 0.981]</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152"/>
            <w:vAlign w:val="center"/>
            <w:shd w:fill="FFFFFF" w:color="FFFFFF" w:val="clear"/>
          </w:tcPr>
          <w:p>
            <w:pPr>
              <w:jc w:val="center"/>
            </w:pPr>
            <w:r>
              <w:rPr>
                <w:rFonts w:ascii="Times New Roman" w:hAnsi="Times New Roman"/>
                <w:b w:val="0"/>
                <w:i w:val="0"/>
                <w:sz w:val="18"/>
                <w:u w:val="none"/>
              </w:rPr>
              <w:t>No</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1.550e-02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Necrosis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1.000</w:t>
            </w:r>
          </w:p>
        </w:tc>
        <w:tc>
          <w:tcPr>
            <w:tcW w:type="dxa" w:w="1800"/>
            <w:vAlign w:val="center"/>
            <w:shd w:fill="FFFFFF" w:color="FFFFFF" w:val="clear"/>
          </w:tcPr>
          <w:p>
            <w:pPr>
              <w:jc w:val="center"/>
            </w:pPr>
            <w:r>
              <w:rPr>
                <w:rFonts w:ascii="Times New Roman" w:hAnsi="Times New Roman"/>
                <w:b w:val="0"/>
                <w:i w:val="0"/>
                <w:sz w:val="18"/>
                <w:u w:val="none"/>
              </w:rPr>
              <w:t>[1.000, 1.000]</w:t>
            </w:r>
          </w:p>
        </w:tc>
        <w:tc>
          <w:tcPr>
            <w:tcW w:type="dxa" w:w="1224"/>
            <w:vAlign w:val="center"/>
            <w:shd w:fill="FFFFFF" w:color="FFFFFF" w:val="clear"/>
          </w:tcPr>
          <w:p>
            <w:pPr>
              <w:jc w:val="center"/>
            </w:pPr>
            <w:r>
              <w:rPr>
                <w:rFonts w:ascii="Times New Roman" w:hAnsi="Times New Roman"/>
                <w:b w:val="0"/>
                <w:i w:val="0"/>
                <w:sz w:val="18"/>
                <w:u w:val="none"/>
              </w:rPr>
              <w:t>2.999e-03</w:t>
            </w:r>
          </w:p>
        </w:tc>
        <w:tc>
          <w:tcPr>
            <w:tcW w:type="dxa" w:w="1224"/>
            <w:vAlign w:val="center"/>
            <w:shd w:fill="FFFFFF" w:color="FFFFFF" w:val="clear"/>
          </w:tcPr>
          <w:p>
            <w:pPr>
              <w:jc w:val="center"/>
            </w:pPr>
            <w:r>
              <w:rPr>
                <w:rFonts w:ascii="Times New Roman" w:hAnsi="Times New Roman"/>
                <w:b w:val="0"/>
                <w:i w:val="0"/>
                <w:sz w:val="18"/>
                <w:u w:val="none"/>
              </w:rPr>
              <w:t>1.125e-02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1.625e-02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Spearman correlation between simulator dose-concentration (µg/mL) and per-class incidence proportion, stratified by polymer (n = 6 dose levels). 95% CI computed via Fisher z-transformation.</w:t>
      </w:r>
    </w:p>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evaluated on the cross-validation macro-AUC distribution. LR significantly outperforms RF at the CV level (ΔAUC = 0.026, p = 5 × 10⁻⁴; null 95% CI [−0.016, 0.016]); this complements the single-split held-out comparison in Table 2, where the smaller sample drives a wider sampling distribution. The test was designed to answer the primary inference question: does the best-performing feature-based model (LR, by cross-fold mean) significantly exceed the second-best (RF)? The positive CV-level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Both feature-based classifiers outperform the deep-learning models on the simulation-derived descriptors. LR achieves the highest cross-validated macro-AUC (0.981 ± 0.004, GroupKFold k = 5), with RF a close second (0.977 ± 0.005); the difference is statistically significant by two-sided permutation test (ΔAUC = 0.026, p = 5 × 10⁻⁴, Table 9b). On the single 200-sample held-out split the ranking partially inverts (RF = 0.966, R18p = 0.954, LR = 0.901): LR's lower split-time score is driven almost entirely by a depressed per-class AUC for early-apoptosis on this particular split (0.665 vs. 0.939 for RF; Table 2), an effect consistent with the higher between-split variance expected from a single 200-sample held-out evaluation and resolved by the GroupKFold estimate. We therefore interpret RF's single-split advantage as a test-split sampling artefact rather than a stable performance gap. These results align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(0.966),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[9]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this is a self-consistency check, not an independent validation, and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single-split evaluation, so direct uncertainty comparison between CV intervals and DL point estimates is not statistically valid. (iv) Deep-learning data starvation. With 640 effective training images, DL AUC estimates carry high variance; multi-run ensembling and 10-fold CV would be needed for stable DL estimates. (v) Absence of wet-laboratory validation. The microplastic particle-type annotations are simulation parameters, not experimentally characterised materials.</w:t>
      </w:r>
    </w:p>
    <w:p>
      <w:pPr>
        <w:spacing w:before="120" w:after="40"/>
      </w:pPr>
      <w:r>
        <w:rPr>
          <w:rFonts w:ascii="Times New Roman" w:hAnsi="Times New Roman"/>
          <w:b/>
          <w:i/>
          <w:sz w:val="22"/>
          <w:u w:val="none"/>
        </w:rPr>
        <w:t>4.7  Broader significance for biomedical AI</w:t>
      </w:r>
    </w:p>
    <w:p>
      <w:pPr>
        <w:spacing w:after="80"/>
        <w:jc w:val="both"/>
      </w:pPr>
      <w:r>
        <w:rPr>
          <w:rFonts w:ascii="Times New Roman" w:hAnsi="Times New Roman"/>
          <w:b w:val="0"/>
          <w:i w:val="0"/>
          <w:sz w:val="22"/>
          <w:u w:val="none"/>
        </w:rPr>
        <w:t>The dominant-feature dependency observed here is a concrete instance of a broader pathology in biomedical machine learning: shortcut learning, in which a classifier exploits a single highly predictive signal rather than the distributed phenotypic structure investigators intend to model [27,28]. In our benchmark the shortcut is benign and visible - a simulator-encoded descriptor identified by a single ablation - but in real HCS, EHR, and radiology datasets analogous shortcuts often arise from acquisition artefacts, plate-position confounders, label leakage, or batch effects, and are invisible without targeted ablation. Our results also bear on the credibility of synthetic-benchmark performance reporting: aggregate macro-AUC near unity on a self-generated dataset says little about real-world transferability if the benchmark contains even one feature with ρ &gt; |0.8| against the label. Finally, the calibration gap we report (LR ECE 0.042 vs.  DL ECE 0.27-0.45) echoes a recurring finding in biomedical AI: the model with the highest discrimination is not always the model that should ship into a clinical or regulatory pipeline. Probability-calibration audits, dominant-feature ablation, and reproducibility-grade reporting deserve a permanent place in the benchmark protocol.</w:t>
      </w:r>
    </w:p>
    <w:p>
      <w:pPr>
        <w:spacing w:before="120" w:after="40"/>
      </w:pPr>
      <w:r>
        <w:rPr>
          <w:rFonts w:ascii="Times New Roman" w:hAnsi="Times New Roman"/>
          <w:b/>
          <w:i/>
          <w:sz w:val="22"/>
          <w:u w:val="none"/>
        </w:rPr>
        <w:t>4.8  Prospective deployment roadmap</w:t>
      </w:r>
    </w:p>
    <w:p>
      <w:pPr>
        <w:spacing w:after="80"/>
        <w:jc w:val="both"/>
      </w:pPr>
      <w:r>
        <w:rPr>
          <w:rFonts w:ascii="Times New Roman" w:hAnsi="Times New Roman"/>
          <w:b w:val="0"/>
          <w:i w:val="0"/>
          <w:sz w:val="22"/>
          <w:u w:val="none"/>
        </w:rPr>
        <w:t>To translate this benchmark into a deployment-ready HCS classifier the following sequence is recommended. (1) Real-image acquisition: collect labelled fluorescence micrographs of microplastic-exposed cells (≥ 2,000 per phenotype class) using the same fluorophore panel as the simulator. (2) CellProfiler integration: replace the synthetic feature generator with a CellProfiler pipeline emitting the same 17 descriptors plus segmentation quality flags. (3) Nested cross-validation: substitute GroupKFold with nested CV (outer 5-fold for model selection, inner 5-fold for hyper-parameter tuning) to prevent CV-tuned optimism. (4) SHAP and VIF analysis: profile each fitted classifier with SHAP-value attributions and variance-inflation factor checks to detect new dominant-feature or collinearity regimes on real data. (5) Transfer learning: re-fit R18p with progressively unfrozen blocks once the real-image corpus exceeds 5,000 samples per class. (6) External benchmark replication: replicate the protocol on the BBBC021 morphological-profiling dataset to demonstrate cross-dataset transferability of the calibration and ablation findings. (7) Prospective wet-lab validation: lock the pipeline, then prospectively score a blinded plate batch against ground-truth manual annotation under 21 CFR Part 11-style change control. Successful completion of stages (1)-(7) would justify regulatory-grade deployment.</w:t>
      </w:r>
    </w:p>
    <w:p>
      <w:pPr>
        <w:spacing w:after="80"/>
        <w:jc w:val="both"/>
      </w:pPr>
      <w:r>
        <w:rPr>
          <w:rFonts w:ascii="Times New Roman" w:hAnsi="Times New Roman"/>
          <w:b w:val="0"/>
          <w:i w:val="0"/>
          <w:sz w:val="22"/>
          <w:u w:val="none"/>
        </w:rPr>
        <w:t>Table 11. Practical recommendations: choosing a classifier strategy by deployment scenario.</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3456"/>
            <w:vAlign w:val="center"/>
            <w:shd w:fill="1F4E79" w:color="1F4E79" w:val="clear"/>
          </w:tcPr>
          <w:p>
            <w:pPr>
              <w:jc w:val="center"/>
            </w:pPr>
            <w:r>
              <w:rPr>
                <w:rFonts w:ascii="Times New Roman" w:hAnsi="Times New Roman"/>
                <w:b/>
                <w:i w:val="0"/>
                <w:color w:val="FFFFFF"/>
                <w:sz w:val="18"/>
                <w:u w:val="none"/>
              </w:rPr>
              <w:t>Scenario</w:t>
            </w:r>
          </w:p>
        </w:tc>
        <w:tc>
          <w:tcPr>
            <w:tcW w:type="dxa" w:w="2736"/>
            <w:vAlign w:val="center"/>
            <w:shd w:fill="1F4E79" w:color="1F4E79" w:val="clear"/>
          </w:tcPr>
          <w:p>
            <w:pPr>
              <w:jc w:val="center"/>
            </w:pPr>
            <w:r>
              <w:rPr>
                <w:rFonts w:ascii="Times New Roman" w:hAnsi="Times New Roman"/>
                <w:b/>
                <w:i w:val="0"/>
                <w:color w:val="FFFFFF"/>
                <w:sz w:val="18"/>
                <w:u w:val="none"/>
              </w:rPr>
              <w:t>Recommended Strategy</w:t>
            </w:r>
          </w:p>
        </w:tc>
        <w:tc>
          <w:tcPr>
            <w:tcW w:type="dxa" w:w="3888"/>
            <w:vAlign w:val="center"/>
            <w:shd w:fill="1F4E79" w:color="1F4E79" w:val="clear"/>
          </w:tcPr>
          <w:p>
            <w:pPr>
              <w:jc w:val="center"/>
            </w:pPr>
            <w:r>
              <w:rPr>
                <w:rFonts w:ascii="Times New Roman" w:hAnsi="Times New Roman"/>
                <w:b/>
                <w:i w:val="0"/>
                <w:color w:val="FFFFFF"/>
                <w:sz w:val="18"/>
                <w:u w:val="none"/>
              </w:rPr>
              <w:t>Rationale</w:t>
            </w:r>
          </w:p>
        </w:tc>
      </w:tr>
      <w:tr>
        <w:tc>
          <w:tcPr>
            <w:tcW w:type="dxa" w:w="3456"/>
            <w:vAlign w:val="center"/>
            <w:shd w:fill="EBF3FB" w:color="EBF3FB" w:val="clear"/>
          </w:tcPr>
          <w:p>
            <w:pPr>
              <w:jc w:val="center"/>
            </w:pPr>
            <w:r>
              <w:rPr>
                <w:rFonts w:ascii="Times New Roman" w:hAnsi="Times New Roman"/>
                <w:b w:val="0"/>
                <w:i w:val="0"/>
                <w:sz w:val="18"/>
                <w:u w:val="none"/>
              </w:rPr>
              <w:t>Small labelled dataset (&lt; 2,000/class)</w:t>
            </w:r>
          </w:p>
        </w:tc>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3888"/>
            <w:vAlign w:val="center"/>
            <w:shd w:fill="EBF3FB" w:color="EBF3FB" w:val="clear"/>
          </w:tcPr>
          <w:p>
            <w:pPr>
              <w:jc w:val="center"/>
            </w:pPr>
            <w:r>
              <w:rPr>
                <w:rFonts w:ascii="Times New Roman" w:hAnsi="Times New Roman"/>
                <w:b w:val="0"/>
                <w:i w:val="0"/>
                <w:sz w:val="18"/>
                <w:u w:val="none"/>
              </w:rPr>
              <w:t>Best CV stability + native calibration; minimal data demand</w:t>
            </w:r>
          </w:p>
        </w:tc>
      </w:tr>
      <w:tr>
        <w:tc>
          <w:tcPr>
            <w:tcW w:type="dxa" w:w="3456"/>
            <w:vAlign w:val="center"/>
            <w:shd w:fill="FFFFFF" w:color="FFFFFF" w:val="clear"/>
          </w:tcPr>
          <w:p>
            <w:pPr>
              <w:jc w:val="center"/>
            </w:pPr>
            <w:r>
              <w:rPr>
                <w:rFonts w:ascii="Times New Roman" w:hAnsi="Times New Roman"/>
                <w:b w:val="0"/>
                <w:i w:val="0"/>
                <w:sz w:val="18"/>
                <w:u w:val="none"/>
              </w:rPr>
              <w:t>Need calibrated probabilities for downstream risk scoring</w:t>
            </w:r>
          </w:p>
        </w:tc>
        <w:tc>
          <w:tcPr>
            <w:tcW w:type="dxa" w:w="2736"/>
            <w:vAlign w:val="center"/>
            <w:shd w:fill="FFFFFF" w:color="FFFFFF" w:val="clear"/>
          </w:tcPr>
          <w:p>
            <w:pPr>
              <w:jc w:val="center"/>
            </w:pPr>
            <w:r>
              <w:rPr>
                <w:rFonts w:ascii="Times New Roman" w:hAnsi="Times New Roman"/>
                <w:b w:val="0"/>
                <w:i w:val="0"/>
                <w:sz w:val="18"/>
                <w:u w:val="none"/>
              </w:rPr>
              <w:t>Logistic Regression</w:t>
            </w:r>
          </w:p>
        </w:tc>
        <w:tc>
          <w:tcPr>
            <w:tcW w:type="dxa" w:w="3888"/>
            <w:vAlign w:val="center"/>
            <w:shd w:fill="FFFFFF" w:color="FFFFFF" w:val="clear"/>
          </w:tcPr>
          <w:p>
            <w:pPr>
              <w:jc w:val="center"/>
            </w:pPr>
            <w:r>
              <w:rPr>
                <w:rFonts w:ascii="Times New Roman" w:hAnsi="Times New Roman"/>
                <w:b w:val="0"/>
                <w:i w:val="0"/>
                <w:sz w:val="18"/>
                <w:u w:val="none"/>
              </w:rPr>
              <w:t>Lowest native ECE (0.042); Platt scaling not recommended</w:t>
            </w:r>
          </w:p>
        </w:tc>
      </w:tr>
      <w:tr>
        <w:tc>
          <w:tcPr>
            <w:tcW w:type="dxa" w:w="3456"/>
            <w:vAlign w:val="center"/>
            <w:shd w:fill="EBF3FB" w:color="EBF3FB" w:val="clear"/>
          </w:tcPr>
          <w:p>
            <w:pPr>
              <w:jc w:val="center"/>
            </w:pPr>
            <w:r>
              <w:rPr>
                <w:rFonts w:ascii="Times New Roman" w:hAnsi="Times New Roman"/>
                <w:b w:val="0"/>
                <w:i w:val="0"/>
                <w:sz w:val="18"/>
                <w:u w:val="none"/>
              </w:rPr>
              <w:t>Single-split point-estimate AUC is the headline metric</w:t>
            </w:r>
          </w:p>
        </w:tc>
        <w:tc>
          <w:tcPr>
            <w:tcW w:type="dxa" w:w="2736"/>
            <w:vAlign w:val="center"/>
            <w:shd w:fill="EBF3FB" w:color="EBF3FB" w:val="clear"/>
          </w:tcPr>
          <w:p>
            <w:pPr>
              <w:jc w:val="center"/>
            </w:pPr>
            <w:r>
              <w:rPr>
                <w:rFonts w:ascii="Times New Roman" w:hAnsi="Times New Roman"/>
                <w:b w:val="0"/>
                <w:i w:val="0"/>
                <w:sz w:val="18"/>
                <w:u w:val="none"/>
              </w:rPr>
              <w:t>Random Forest</w:t>
            </w:r>
          </w:p>
        </w:tc>
        <w:tc>
          <w:tcPr>
            <w:tcW w:type="dxa" w:w="3888"/>
            <w:vAlign w:val="center"/>
            <w:shd w:fill="EBF3FB" w:color="EBF3FB" w:val="clear"/>
          </w:tcPr>
          <w:p>
            <w:pPr>
              <w:jc w:val="center"/>
            </w:pPr>
            <w:r>
              <w:rPr>
                <w:rFonts w:ascii="Times New Roman" w:hAnsi="Times New Roman"/>
                <w:b w:val="0"/>
                <w:i w:val="0"/>
                <w:sz w:val="18"/>
                <w:u w:val="none"/>
              </w:rPr>
              <w:t>Higher held-out macro-AUC under split-sample evaluation</w:t>
            </w:r>
          </w:p>
        </w:tc>
      </w:tr>
      <w:tr>
        <w:tc>
          <w:tcPr>
            <w:tcW w:type="dxa" w:w="3456"/>
            <w:vAlign w:val="center"/>
            <w:shd w:fill="FFFFFF" w:color="FFFFFF" w:val="clear"/>
          </w:tcPr>
          <w:p>
            <w:pPr>
              <w:jc w:val="center"/>
            </w:pPr>
            <w:r>
              <w:rPr>
                <w:rFonts w:ascii="Times New Roman" w:hAnsi="Times New Roman"/>
                <w:b w:val="0"/>
                <w:i w:val="0"/>
                <w:sz w:val="18"/>
                <w:u w:val="none"/>
              </w:rPr>
              <w:t>Large labelled image dataset (&gt; 10,000)</w:t>
            </w:r>
          </w:p>
        </w:tc>
        <w:tc>
          <w:tcPr>
            <w:tcW w:type="dxa" w:w="2736"/>
            <w:vAlign w:val="center"/>
            <w:shd w:fill="FFFFFF" w:color="FFFFFF" w:val="clear"/>
          </w:tcPr>
          <w:p>
            <w:pPr>
              <w:jc w:val="center"/>
            </w:pPr>
            <w:r>
              <w:rPr>
                <w:rFonts w:ascii="Times New Roman" w:hAnsi="Times New Roman"/>
                <w:b w:val="0"/>
                <w:i w:val="0"/>
                <w:sz w:val="18"/>
                <w:u w:val="none"/>
              </w:rPr>
              <w:t>Deep Learning (R18p or larger)</w:t>
            </w:r>
          </w:p>
        </w:tc>
        <w:tc>
          <w:tcPr>
            <w:tcW w:type="dxa" w:w="3888"/>
            <w:vAlign w:val="center"/>
            <w:shd w:fill="FFFFFF" w:color="FFFFFF" w:val="clear"/>
          </w:tcPr>
          <w:p>
            <w:pPr>
              <w:jc w:val="center"/>
            </w:pPr>
            <w:r>
              <w:rPr>
                <w:rFonts w:ascii="Times New Roman" w:hAnsi="Times New Roman"/>
                <w:b w:val="0"/>
                <w:i w:val="0"/>
                <w:sz w:val="18"/>
                <w:u w:val="none"/>
              </w:rPr>
              <w:t>DL benefits scale with data; ImageNet pretraining improves regularisation</w:t>
            </w:r>
          </w:p>
        </w:tc>
      </w:tr>
      <w:tr>
        <w:tc>
          <w:tcPr>
            <w:tcW w:type="dxa" w:w="3456"/>
            <w:vAlign w:val="center"/>
            <w:shd w:fill="EBF3FB" w:color="EBF3FB" w:val="clear"/>
          </w:tcPr>
          <w:p>
            <w:pPr>
              <w:jc w:val="center"/>
            </w:pPr>
            <w:r>
              <w:rPr>
                <w:rFonts w:ascii="Times New Roman" w:hAnsi="Times New Roman"/>
                <w:b w:val="0"/>
                <w:i w:val="0"/>
                <w:sz w:val="18"/>
                <w:u w:val="none"/>
              </w:rPr>
              <w:t>Potential feature leakage / batch confound suspected</w:t>
            </w:r>
          </w:p>
        </w:tc>
        <w:tc>
          <w:tcPr>
            <w:tcW w:type="dxa" w:w="2736"/>
            <w:vAlign w:val="center"/>
            <w:shd w:fill="EBF3FB" w:color="EBF3FB" w:val="clear"/>
          </w:tcPr>
          <w:p>
            <w:pPr>
              <w:jc w:val="center"/>
            </w:pPr>
            <w:r>
              <w:rPr>
                <w:rFonts w:ascii="Times New Roman" w:hAnsi="Times New Roman"/>
                <w:b w:val="0"/>
                <w:i w:val="0"/>
                <w:sz w:val="18"/>
                <w:u w:val="none"/>
              </w:rPr>
              <w:t>Run dominant-feature ablation first</w:t>
            </w:r>
          </w:p>
        </w:tc>
        <w:tc>
          <w:tcPr>
            <w:tcW w:type="dxa" w:w="3888"/>
            <w:vAlign w:val="center"/>
            <w:shd w:fill="EBF3FB" w:color="EBF3FB" w:val="clear"/>
          </w:tcPr>
          <w:p>
            <w:pPr>
              <w:jc w:val="center"/>
            </w:pPr>
            <w:r>
              <w:rPr>
                <w:rFonts w:ascii="Times New Roman" w:hAnsi="Times New Roman"/>
                <w:b w:val="0"/>
                <w:i w:val="0"/>
                <w:sz w:val="18"/>
                <w:u w:val="none"/>
              </w:rPr>
              <w:t>If single-feature removal drops AUC ≥ 5 pp, treat headline AUC as inflated</w:t>
            </w:r>
          </w:p>
        </w:tc>
      </w:tr>
      <w:tr>
        <w:tc>
          <w:tcPr>
            <w:tcW w:type="dxa" w:w="3456"/>
            <w:vAlign w:val="center"/>
            <w:shd w:fill="FFFFFF" w:color="FFFFFF" w:val="clear"/>
          </w:tcPr>
          <w:p>
            <w:pPr>
              <w:jc w:val="center"/>
            </w:pPr>
            <w:r>
              <w:rPr>
                <w:rFonts w:ascii="Times New Roman" w:hAnsi="Times New Roman"/>
                <w:b w:val="0"/>
                <w:i w:val="0"/>
                <w:sz w:val="18"/>
                <w:u w:val="none"/>
              </w:rPr>
              <w:t>Regulatory or clinical deployment</w:t>
            </w:r>
          </w:p>
        </w:tc>
        <w:tc>
          <w:tcPr>
            <w:tcW w:type="dxa" w:w="2736"/>
            <w:vAlign w:val="center"/>
            <w:shd w:fill="FFFFFF" w:color="FFFFFF" w:val="clear"/>
          </w:tcPr>
          <w:p>
            <w:pPr>
              <w:jc w:val="center"/>
            </w:pPr>
            <w:r>
              <w:rPr>
                <w:rFonts w:ascii="Times New Roman" w:hAnsi="Times New Roman"/>
                <w:b w:val="0"/>
                <w:i w:val="0"/>
                <w:sz w:val="18"/>
                <w:u w:val="none"/>
              </w:rPr>
              <w:t>LR + nested CV + SHAP audit</w:t>
            </w:r>
          </w:p>
        </w:tc>
        <w:tc>
          <w:tcPr>
            <w:tcW w:type="dxa" w:w="3888"/>
            <w:vAlign w:val="center"/>
            <w:shd w:fill="FFFFFF" w:color="FFFFFF" w:val="clear"/>
          </w:tcPr>
          <w:p>
            <w:pPr>
              <w:jc w:val="center"/>
            </w:pPr>
            <w:r>
              <w:rPr>
                <w:rFonts w:ascii="Times New Roman" w:hAnsi="Times New Roman"/>
                <w:b w:val="0"/>
                <w:i w:val="0"/>
                <w:sz w:val="18"/>
                <w:u w:val="none"/>
              </w:rPr>
              <w:t>Linearity, calibration, and explainability are all auditable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Recommendations derived from the simulation benchmark reported here and from cited literature [8,9,19,27,28]; they should be re-validated on the target real-image dataset before deployment.</w:t>
      </w:r>
    </w:p>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cross-validated macro-AUC (0.981 ± 0.004) and the best native calibration (ECE = 0.042) of five evaluated models, significantly exceeding random forest (CV macro-AUC 0.977 ± 0.005, permutation p = 5 × 10⁻⁴), CNN (held-out macro-AUC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 As a practical recommendation, Platt sigmoid scaling should not be applied to logistic regression on simulation-scale calibration splits: it marginally increased LR ECE in our experiments (0.042 → 0.055) and adds avoidable variance to an already well-calibrated probabilistic classifier.</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applying the same simulation-self-consistency benchmarking framework to the publicly available BBBC021 morphological profiling dataset has been submitted separately to SLAS Discovery and is currently under peer review; the two manuscripts share methodology and authorship but report on disjoint datasets and address non-overlapping scientific questions, and so do not constitute duplicate publication. No prior version of the present paper has been published or is currently under review elsewhere.</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pPr>
        <w:spacing w:after="60"/>
        <w:ind w:left="576" w:hanging="576"/>
      </w:pPr>
      <w:r>
        <w:rPr>
          <w:rFonts w:ascii="Times New Roman" w:hAnsi="Times New Roman"/>
          <w:b/>
          <w:i w:val="0"/>
          <w:sz w:val="20"/>
          <w:u w:val="none"/>
        </w:rPr>
        <w:t xml:space="preserve">[26] </w:t>
      </w:r>
      <w:r>
        <w:rPr>
          <w:rFonts w:ascii="Times New Roman" w:hAnsi="Times New Roman"/>
          <w:b w:val="0"/>
          <w:i w:val="0"/>
          <w:sz w:val="20"/>
          <w:u w:val="none"/>
        </w:rPr>
        <w:t>Nihart, A.J. et al. (2025) Bioaccumulation of microplastics in decedent human brains. Nature Medicine, 31, pp. 1114-1119. https://doi.org/10.1038/s41591-024-03453-1</w:t>
      </w:r>
    </w:p>
    <w:p>
      <w:pPr>
        <w:spacing w:after="60"/>
        <w:ind w:left="576" w:hanging="576"/>
      </w:pPr>
      <w:r>
        <w:rPr>
          <w:rFonts w:ascii="Times New Roman" w:hAnsi="Times New Roman"/>
          <w:b/>
          <w:i w:val="0"/>
          <w:sz w:val="20"/>
          <w:u w:val="none"/>
        </w:rPr>
        <w:t xml:space="preserve">[27] </w:t>
      </w:r>
      <w:r>
        <w:rPr>
          <w:rFonts w:ascii="Times New Roman" w:hAnsi="Times New Roman"/>
          <w:b w:val="0"/>
          <w:i w:val="0"/>
          <w:sz w:val="20"/>
          <w:u w:val="none"/>
        </w:rPr>
        <w:t>Geirhos, R., Jacobsen, J.H., Michaelis, C., Zemel, R., Brendel, W., Bethge, M. &amp; Wichmann, F.A. (2020) Shortcut learning in deep neural networks. Nature Machine Intelligence, 2, pp. 665-673. https://doi.org/10.1038/s42256-020-00257-z</w:t>
      </w:r>
    </w:p>
    <w:p>
      <w:pPr>
        <w:spacing w:after="60"/>
        <w:ind w:left="576" w:hanging="576"/>
      </w:pPr>
      <w:r>
        <w:rPr>
          <w:rFonts w:ascii="Times New Roman" w:hAnsi="Times New Roman"/>
          <w:b/>
          <w:i w:val="0"/>
          <w:sz w:val="20"/>
          <w:u w:val="none"/>
        </w:rPr>
        <w:t xml:space="preserve">[28] </w:t>
      </w:r>
      <w:r>
        <w:rPr>
          <w:rFonts w:ascii="Times New Roman" w:hAnsi="Times New Roman"/>
          <w:b w:val="0"/>
          <w:i w:val="0"/>
          <w:sz w:val="20"/>
          <w:u w:val="none"/>
        </w:rPr>
        <w:t>DeGrave, A.J., Janizek, J.D. &amp; Lee, S.I. (2021) AI for radiographic COVID-19 detection selects shortcuts over signal. Nature Machine Intelligence, 3, pp. 610-619. https://doi.org/10.1038/s42256-021-00338-7</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479785"/>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479785"/>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2191292"/>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2191292"/>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jc w:val="center"/>
      </w:pPr>
      <w:r>
        <w:rPr>
          <w:rFonts w:ascii="Times New Roman" w:hAnsi="Times New Roman"/>
          <w:b/>
          <w:i w:val="0"/>
          <w:sz w:val="20"/>
          <w:u w:val="none"/>
        </w:rPr>
        <w:t>Figure 10.</w:t>
      </w:r>
    </w:p>
    <w:p>
      <w:pPr>
        <w:jc w:val="center"/>
      </w:pPr>
      <w:r>
        <w:drawing>
          <wp:inline xmlns:a="http://schemas.openxmlformats.org/drawingml/2006/main" xmlns:pic="http://schemas.openxmlformats.org/drawingml/2006/picture">
            <wp:extent cx="5303520" cy="1761937"/>
            <wp:docPr id="10" name="Picture 10"/>
            <wp:cNvGraphicFramePr>
              <a:graphicFrameLocks noChangeAspect="1"/>
            </wp:cNvGraphicFramePr>
            <a:graphic>
              <a:graphicData uri="http://schemas.openxmlformats.org/drawingml/2006/picture">
                <pic:pic>
                  <pic:nvPicPr>
                    <pic:cNvPr id="0" name="fig_10_degenerate_regime_schematic.png"/>
                    <pic:cNvPicPr/>
                  </pic:nvPicPr>
                  <pic:blipFill>
                    <a:blip r:embed="rId19"/>
                    <a:stretch>
                      <a:fillRect/>
                    </a:stretch>
                  </pic:blipFill>
                  <pic:spPr>
                    <a:xfrm>
                      <a:off x="0" y="0"/>
                      <a:ext cx="5303520" cy="1761937"/>
                    </a:xfrm>
                    <a:prstGeom prst="rect"/>
                  </pic:spPr>
                </pic:pic>
              </a:graphicData>
            </a:graphic>
          </wp:inline>
        </w:drawing>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