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rFonts w:ascii="Times New Roman" w:hAnsi="Times New Roman"/>
          <w:b/>
          <w:i w:val="0"/>
          <w:color w:val="1F4E79"/>
          <w:sz w:val="30"/>
          <w:u w:val="none"/>
        </w:rPr>
        <w:t>A Computational Benchmark for Cell-Death Phenotype Classification in High-Content Screening: Feature Descriptors versus Deep Learning on Simulation-Derived Fluorescence Data</w:t>
      </w:r>
    </w:p>
    <w:p>
      <w:pPr>
        <w:jc w:val="center"/>
      </w:pPr>
      <w:r>
        <w:rPr>
          <w:rFonts w:ascii="Times New Roman" w:hAnsi="Times New Roman"/>
          <w:b w:val="0"/>
          <w:i/>
          <w:sz w:val="22"/>
          <w:u w:val="none"/>
        </w:rPr>
        <w:t>Author Name¹, Author Name², Corresponding Author³</w:t>
      </w:r>
    </w:p>
    <w:p>
      <w:pPr>
        <w:jc w:val="center"/>
      </w:pPr>
      <w:r>
        <w:rPr>
          <w:rFonts w:ascii="Times New Roman" w:hAnsi="Times New Roman"/>
          <w:b w:val="0"/>
          <w:i w:val="0"/>
          <w:sz w:val="18"/>
          <w:u w:val="none"/>
        </w:rPr>
        <w:t>¹ Department, Institution, City, Country  ² Department, Institution, City, Country  ³ Corresponding author: email@institution.edu</w:t>
      </w:r>
    </w:p>
    <w:p/>
    <w:p>
      <w:pPr>
        <w:spacing w:before="240" w:after="80"/>
      </w:pPr>
      <w:r>
        <w:rPr>
          <w:rFonts w:ascii="Times New Roman" w:hAnsi="Times New Roman"/>
          <w:b/>
          <w:i w:val="0"/>
          <w:color w:val="1F4E79"/>
          <w:sz w:val="26"/>
          <w:u w:val="none"/>
        </w:rPr>
        <w:t>Abstract</w:t>
      </w:r>
    </w:p>
    <w:p>
      <w:pPr>
        <w:spacing w:after="60"/>
      </w:pPr>
      <w:r>
        <w:rPr>
          <w:rFonts w:ascii="Times New Roman" w:hAnsi="Times New Roman"/>
          <w:b/>
          <w:i w:val="0"/>
          <w:sz w:val="22"/>
          <w:u w:val="none"/>
        </w:rPr>
        <w:t xml:space="preserve">Background. </w:t>
      </w:r>
      <w:r>
        <w:rPr>
          <w:rFonts w:ascii="Times New Roman" w:hAnsi="Times New Roman"/>
          <w:b w:val="0"/>
          <w:i w:val="0"/>
          <w:sz w:val="22"/>
          <w:u w:val="none"/>
        </w:rPr>
        <w:t>High-content screening (HCS) enables automated, multi-parametric quantification of cellular phenotypes and is increasingly applied in environmental toxicology, including assessments of microplastic-induced cytotoxicity. Before deploying classification pipelines on real acquired data, systematic benchmarking against well-defined simulation ground truth is necessary to characterise performance bounds, calibration quality, and feature dependency.</w:t>
      </w:r>
    </w:p>
    <w:p>
      <w:pPr>
        <w:spacing w:after="60"/>
      </w:pPr>
      <w:r>
        <w:rPr>
          <w:rFonts w:ascii="Times New Roman" w:hAnsi="Times New Roman"/>
          <w:b/>
          <w:i w:val="0"/>
          <w:sz w:val="22"/>
          <w:u w:val="none"/>
        </w:rPr>
        <w:t xml:space="preserve">Methods. </w:t>
      </w:r>
      <w:r>
        <w:rPr>
          <w:rFonts w:ascii="Times New Roman" w:hAnsi="Times New Roman"/>
          <w:b w:val="0"/>
          <w:i w:val="0"/>
          <w:sz w:val="22"/>
          <w:u w:val="none"/>
        </w:rPr>
        <w:t>We constructed a simulation self-consistency benchmark comprising 1,000 synthetic fluorescence-image feature vectors spanning four cell-death phenotype classes (viable, early apoptosis, necrosis, late-stage death) encoded across 17 morphological descriptors. Five classifiers were evaluated: logistic regression (LR), random forest (RF), a convolutional neural network trained from scratch (CNN), and two ResNet-18 variants (random initialisation; ImageNet pre-training). LR and RF were assessed by plate-aware 5-fold group cross-validation; all five were evaluated on a held-out test set (n = 200). Probability calibration was applied to all models (Platt scaling for LR/RF; temperature scaling for deep-learning models). Benjamini-Hochberg-corrected Kruskal-Wallis tests and two-sided permutation tests were performed.</w:t>
      </w:r>
    </w:p>
    <w:p>
      <w:pPr>
        <w:spacing w:after="60"/>
      </w:pPr>
      <w:r>
        <w:rPr>
          <w:rFonts w:ascii="Times New Roman" w:hAnsi="Times New Roman"/>
          <w:b/>
          <w:i w:val="0"/>
          <w:sz w:val="22"/>
          <w:u w:val="none"/>
        </w:rPr>
        <w:t xml:space="preserve">Results. </w:t>
      </w:r>
      <w:r>
        <w:rPr>
          <w:rFonts w:ascii="Times New Roman" w:hAnsi="Times New Roman"/>
          <w:b w:val="0"/>
          <w:i w:val="0"/>
          <w:sz w:val="22"/>
          <w:u w:val="none"/>
        </w:rPr>
        <w:t>LR achieved the highest cross-validated macro-AUC (0.981 ± 0.004 by 5-fold GroupKFold), significantly exceeding RF (0.977 ± 0.005; permutation p = 5 × 10⁻⁴). On a single 200-sample held-out split RF reached a higher point-estimate macro-AUC than LR (0.966 vs. 0.901), but LR retained better cross-fold stability, calibration, and runtime efficiency. Removing the single dominant simulator-encoded descriptor (membrane_permeability_proxy) reduced LR AUC from 0.981 to 0.861 and RF AUC from 0.972 to 0.872, demonstrating that performance is primarily driven by one simulator-correlated feature. LR exhibited superior native calibration (ECE = 0.042), outperforming all deep-learning models before and after Platt correction. Eleven of 17 features showed class-stratification surviving BH correction at FDR &lt; 5%.</w:t>
      </w:r>
    </w:p>
    <w:p>
      <w:pPr>
        <w:spacing w:after="60"/>
      </w:pPr>
      <w:r>
        <w:rPr>
          <w:rFonts w:ascii="Times New Roman" w:hAnsi="Times New Roman"/>
          <w:b/>
          <w:i w:val="0"/>
          <w:sz w:val="22"/>
          <w:u w:val="none"/>
        </w:rPr>
        <w:t xml:space="preserve">Conclusions. </w:t>
      </w:r>
      <w:r>
        <w:rPr>
          <w:rFonts w:ascii="Times New Roman" w:hAnsi="Times New Roman"/>
          <w:b w:val="0"/>
          <w:i w:val="0"/>
          <w:sz w:val="22"/>
          <w:u w:val="none"/>
        </w:rPr>
        <w:t>The benchmark establishes LR as a strong, well-calibrated baseline for simulation-derived HCS feature data. The dominant-feature dependency indicates that high aggregate AUC on synthetic data is not directly transferable to real acquired images without prospective wet-laboratory validation. The full pipeline is available at https://github.com/SID-6921/Microplastic_HCS_Pipeline.</w:t>
      </w:r>
    </w:p>
    <w:p/>
    <w:p>
      <w:r>
        <w:rPr>
          <w:rFonts w:ascii="Times New Roman" w:hAnsi="Times New Roman"/>
          <w:b/>
          <w:i w:val="0"/>
          <w:sz w:val="22"/>
          <w:u w:val="none"/>
        </w:rPr>
        <w:t xml:space="preserve">Keywords: </w:t>
      </w:r>
      <w:r>
        <w:rPr>
          <w:rFonts w:ascii="Times New Roman" w:hAnsi="Times New Roman"/>
          <w:b w:val="0"/>
          <w:i/>
          <w:sz w:val="22"/>
          <w:u w:val="none"/>
        </w:rPr>
        <w:t>High-content screening; cell-death classification; simulation benchmark; machine learning; calibration; microplastic toxicology</w:t>
      </w:r>
    </w:p>
    <w:p>
      <w:r>
        <w:br w:type="page"/>
      </w:r>
    </w:p>
    <w:p>
      <w:pPr>
        <w:spacing w:before="240" w:after="80"/>
      </w:pPr>
      <w:r>
        <w:rPr>
          <w:rFonts w:ascii="Times New Roman" w:hAnsi="Times New Roman"/>
          <w:b/>
          <w:i w:val="0"/>
          <w:color w:val="1F4E79"/>
          <w:sz w:val="26"/>
          <w:u w:val="none"/>
        </w:rPr>
        <w:t>1. Introduction</w:t>
      </w:r>
    </w:p>
    <w:p>
      <w:pPr>
        <w:spacing w:after="80"/>
        <w:jc w:val="both"/>
      </w:pPr>
      <w:r>
        <w:rPr>
          <w:rFonts w:ascii="Times New Roman" w:hAnsi="Times New Roman"/>
          <w:b w:val="0"/>
          <w:i w:val="0"/>
          <w:sz w:val="22"/>
          <w:u w:val="none"/>
        </w:rPr>
        <w:t>Microplastic particles, defined operationally as synthetic polymer fragments with a longest dimension of less than 5 mm [1], are pervasive environmental contaminants detected across freshwater, marine, and terrestrial matrices [2]. Recent post-mortem evidence has further demonstrated bioaccumulation of microplastic and nanoplastic particles in human brain tissue at concentrations exceeding those measured in liver or kidney, underscoring the systemic exposure burden and the urgency of automated cytotoxicity-screening pipelines [4,26]. Emerging in vitro evidence indicates that particle-size fractions in the sub-10 μm range can enter cells via endocytosis, disrupt membrane integrity, and trigger apoptotic or necrotic cascades at environmentally relevant concentrations [3,4]. Quantifying these phenotypic outcomes at scale requires automated image-analysis pipelines capable of multi-class classification from fluorescence micrographs acquired in HCS assays.</w:t>
      </w:r>
    </w:p>
    <w:p>
      <w:pPr>
        <w:spacing w:after="80"/>
        <w:jc w:val="both"/>
      </w:pPr>
      <w:r>
        <w:rPr>
          <w:rFonts w:ascii="Times New Roman" w:hAnsi="Times New Roman"/>
          <w:b w:val="0"/>
          <w:i w:val="0"/>
          <w:sz w:val="22"/>
          <w:u w:val="none"/>
        </w:rPr>
        <w:t>HCS platforms routinely generate thousands of images per experimental plate, necessitating computational pipelines for feature extraction and classification. Established open-source tools-including CellProfiler [5], Cellpose [6], and StarDist [7]-provide segmentation and morphometric feature extraction, but the downstream classification layer must be selected and validated independently for each biological context. Both classical machine-learning approaches (logistic regression, random forests) and deep-learning architectures (convolutional neural networks, transfer-learned ResNets) have been applied to HCS classification [8,9]; however, systematic head-to-head comparisons that include calibration quality and statistical significance testing remain scarce.</w:t>
      </w:r>
    </w:p>
    <w:p>
      <w:pPr>
        <w:spacing w:after="80"/>
        <w:jc w:val="both"/>
      </w:pPr>
      <w:r>
        <w:rPr>
          <w:rFonts w:ascii="Times New Roman" w:hAnsi="Times New Roman"/>
          <w:b w:val="0"/>
          <w:i w:val="0"/>
          <w:sz w:val="22"/>
          <w:u w:val="none"/>
        </w:rPr>
        <w:t>In this work we describe a simulation self-consistency benchmark designed to evaluate five classification strategies on a fully labelled synthetic dataset that mirrors the morphological descriptors extractable from real fluorescence HCS data. The simulation encodes microplastic particle-type covariates as structured noise in the feature distributions, enabling evaluation of classifier robustness under realistic batch-effect conditions. We explicitly acknowledge the circular nature of evaluating on the same generating process: the performance bounds reported herein reflect the best achievable score on simulation-generated features and should be treated as an upper baseline, subject to confirmation on real acquired images. Our contributions are: (i) a reproducible, plate-stratified benchmarking protocol for HCS classifiers; (ii) a detailed characterisation of dominant-feature dependency and its effect on aggregate AUC; (iii) a calibration comparison across all five model families; and (iv) a fully versioned open-source pipeline at https://github.com/SID-6921/Microplastic_HCS_Pipeline.</w:t>
      </w:r>
    </w:p>
    <w:p>
      <w:r>
        <w:br w:type="page"/>
      </w:r>
    </w:p>
    <w:p>
      <w:pPr>
        <w:spacing w:before="240" w:after="80"/>
      </w:pPr>
      <w:r>
        <w:rPr>
          <w:rFonts w:ascii="Times New Roman" w:hAnsi="Times New Roman"/>
          <w:b/>
          <w:i w:val="0"/>
          <w:color w:val="1F4E79"/>
          <w:sz w:val="26"/>
          <w:u w:val="none"/>
        </w:rPr>
        <w:t>2. Materials and Methods</w:t>
      </w:r>
    </w:p>
    <w:p>
      <w:pPr>
        <w:spacing w:before="120" w:after="40"/>
      </w:pPr>
      <w:r>
        <w:rPr>
          <w:rFonts w:ascii="Times New Roman" w:hAnsi="Times New Roman"/>
          <w:b/>
          <w:i/>
          <w:sz w:val="22"/>
          <w:u w:val="none"/>
        </w:rPr>
        <w:t>2.1  Simulation framework</w:t>
      </w:r>
    </w:p>
    <w:p>
      <w:pPr>
        <w:spacing w:after="80"/>
        <w:jc w:val="both"/>
      </w:pPr>
      <w:r>
        <w:rPr>
          <w:rFonts w:ascii="Times New Roman" w:hAnsi="Times New Roman"/>
          <w:b w:val="0"/>
          <w:i w:val="0"/>
          <w:sz w:val="22"/>
          <w:u w:val="none"/>
        </w:rPr>
        <w:t>A synthetic dataset of 1,000 observations was generated using a NumPy-based simulator (NumPy 2.2.4; SEED = 42; see supplementary materials for the generator script). Each observation represents a single image-level feature vector extracted from a hypothetical fluorescence micrograph of a microplastic-exposed cell monolayer. Four class labels were assigned: 0 = Viable, 1 = Early Apoptosis, 2 = Necrosis, 3 = Late-Stage Death, with 250 observations per class (balanced). Observations were assigned to 168 simulated plate identifiers (∼6 images per plate) to permit group-aware cross-validation. Because the class labels and feature distributions were defined by the same simulator, classifier performance on this dataset constitutes a self-consistency check, not an independent validation; all performance figures should be interpreted accordingly.</w:t>
      </w:r>
    </w:p>
    <w:p>
      <w:pPr>
        <w:spacing w:before="120" w:after="40"/>
      </w:pPr>
      <w:r>
        <w:rPr>
          <w:rFonts w:ascii="Times New Roman" w:hAnsi="Times New Roman"/>
          <w:b/>
          <w:i/>
          <w:sz w:val="22"/>
          <w:u w:val="none"/>
        </w:rPr>
        <w:t>2.2  Microplastic particle-type covariates</w:t>
      </w:r>
    </w:p>
    <w:p>
      <w:pPr>
        <w:spacing w:after="80"/>
        <w:jc w:val="both"/>
      </w:pPr>
      <w:r>
        <w:rPr>
          <w:rFonts w:ascii="Times New Roman" w:hAnsi="Times New Roman"/>
          <w:b w:val="0"/>
          <w:i w:val="0"/>
          <w:sz w:val="22"/>
          <w:u w:val="none"/>
        </w:rPr>
        <w:t>While the regulatory operational definition of microplastics spans 1 μm to 5 mm (Section 1), the present simulation deliberately focuses on the sub-10 μm size fraction (nano &lt;1 μm and micro 1-10 μm) because this range is the one most strongly associated with cellular uptake, membrane interaction, and direct cytotoxicity in published in vitro assays [4]; larger fragments (&gt;10 μm) are included only as a control comparator. To mirror the batch-effect structure expected in real HCS experiments, each observation was additionally annotated with a particle-type covariate drawn from the cross-product of particle size class (nano: &lt;1 μm; micro: 1- 10 μm) and polymer material (polystyrene PS; polypropylene PP). The particle-type covariate introduced structured variation in three descriptors (cell_area_std, cell_swelling_index, area_covered_ratio), emulating the size-dependent sedimentation effects observed in vitro [4]. This covariate does not encode cell-death class information and was included solely to test classifier robustness to biological batch effects; the microplastic particle types are simulation parameters, not experimentally characterised materials.</w:t>
      </w:r>
    </w:p>
    <w:p>
      <w:pPr>
        <w:spacing w:before="120" w:after="40"/>
      </w:pPr>
      <w:r>
        <w:rPr>
          <w:rFonts w:ascii="Times New Roman" w:hAnsi="Times New Roman"/>
          <w:b/>
          <w:i/>
          <w:sz w:val="22"/>
          <w:u w:val="none"/>
        </w:rPr>
        <w:t>2.3  Feature engineering pipeline</w:t>
      </w:r>
    </w:p>
    <w:p>
      <w:pPr>
        <w:spacing w:after="80"/>
        <w:jc w:val="both"/>
      </w:pPr>
      <w:r>
        <w:rPr>
          <w:rFonts w:ascii="Times New Roman" w:hAnsi="Times New Roman"/>
          <w:b w:val="0"/>
          <w:i w:val="0"/>
          <w:sz w:val="22"/>
          <w:u w:val="none"/>
        </w:rPr>
        <w:t>Seventeen morphological descriptors were extracted per observation (Table 5): nuclear fragmentation index; cell shrinkage ratio; chromatin condensation proxy; cell swelling index; membrane permeability proxy; mean fluorescence intensity; total fluorescence intensity; intensity variance; area covered ratio; cell count; density (cells per 10,000 pixels); mean cell area; cell area standard deviation; median cell area; and fractions of small, medium, and large cells. Features were standardised to zero mean and unit variance using a StandardScaler fitted on the training split only. Missing values were imputed with zero (feature mean on the training set).</w:t>
      </w:r>
    </w:p>
    <w:p>
      <w:pPr>
        <w:spacing w:before="120" w:after="40"/>
      </w:pPr>
      <w:r>
        <w:rPr>
          <w:rFonts w:ascii="Times New Roman" w:hAnsi="Times New Roman"/>
          <w:b/>
          <w:i/>
          <w:sz w:val="22"/>
          <w:u w:val="none"/>
        </w:rPr>
        <w:t>2.4  Classical classifiers</w:t>
      </w:r>
    </w:p>
    <w:p>
      <w:pPr>
        <w:spacing w:after="80"/>
        <w:jc w:val="both"/>
      </w:pPr>
      <w:r>
        <w:rPr>
          <w:rFonts w:ascii="Times New Roman" w:hAnsi="Times New Roman"/>
          <w:b w:val="0"/>
          <w:i w:val="0"/>
          <w:sz w:val="22"/>
          <w:u w:val="none"/>
        </w:rPr>
        <w:t>Logistic regression (LR) was trained using scikit-learn [10] (L-BFGS solver; maximum 2,000 iterations; L2 regularisation; C = 1.0). Random forest (RF) comprised 300 estimators, maximum tree depth 10, and minimum 3 samples per leaf [11], with all remaining parameters at scikit-learn defaults. Both models were trained on n = 800 training observations (80% split, stratified by class).</w:t>
      </w:r>
    </w:p>
    <w:p>
      <w:pPr>
        <w:spacing w:before="120" w:after="40"/>
      </w:pPr>
      <w:r>
        <w:rPr>
          <w:rFonts w:ascii="Times New Roman" w:hAnsi="Times New Roman"/>
          <w:b/>
          <w:i/>
          <w:sz w:val="22"/>
          <w:u w:val="none"/>
        </w:rPr>
        <w:t>2.5  Deep learning classifiers</w:t>
      </w:r>
    </w:p>
    <w:p>
      <w:pPr>
        <w:spacing w:after="80"/>
        <w:jc w:val="both"/>
      </w:pPr>
      <w:r>
        <w:rPr>
          <w:rFonts w:ascii="Times New Roman" w:hAnsi="Times New Roman"/>
          <w:b w:val="0"/>
          <w:i w:val="0"/>
          <w:sz w:val="22"/>
          <w:u w:val="none"/>
        </w:rPr>
        <w:t>Three deep-learning models were trained on 640 cropped synthetic fluorescence-image tiles (80% of 800-sample training split; 160 held out for calibration). A shallow CNN (three convolutional blocks, batch normalisation, ReLU, adaptive average pooling, two fully connected layers) was trained from scratch. Two ResNet-18 variants [12] were evaluated: random weight initialisation (R18s) and ImageNet-pretrained initialisation (R18p). All deep-learning models were optimised with Adam (η = 1 × 10⁻³, weight decay 1 × 10⁻⁴), cosine-annealing learning rate schedule, 50 epochs. Effective deep-learning training size (640 images / 4 classes = 160 per class) represents a data-starvation regime; DL model AUC estimates carry higher variance than LR/RF and should be treated as indicative lower bounds for DL performance on this simulator.</w:t>
      </w:r>
    </w:p>
    <w:p>
      <w:pPr>
        <w:spacing w:before="120" w:after="40"/>
      </w:pPr>
      <w:r>
        <w:rPr>
          <w:rFonts w:ascii="Times New Roman" w:hAnsi="Times New Roman"/>
          <w:b/>
          <w:i/>
          <w:sz w:val="22"/>
          <w:u w:val="none"/>
        </w:rPr>
        <w:t>2.6  Evaluation protocol</w:t>
      </w:r>
    </w:p>
    <w:p>
      <w:pPr>
        <w:spacing w:after="80"/>
        <w:jc w:val="both"/>
      </w:pPr>
      <w:r>
        <w:rPr>
          <w:rFonts w:ascii="Times New Roman" w:hAnsi="Times New Roman"/>
          <w:b w:val="0"/>
          <w:i w:val="0"/>
          <w:sz w:val="22"/>
          <w:u w:val="none"/>
        </w:rPr>
        <w:t>LR and RF were assessed by plate-aware 5-fold group cross-validation (GroupKFold; groups = plate_id), which prevents images from the same simulated plate appearing in both training and validation folds. Macro-AUC from 5-fold CV (mean ± SD) is the primary reported metric for these models. All five models were additionally evaluated on the same held-out test set (n = 200, 20% of data) to enable direct AUC comparison. Deep-learning models were trained and evaluated on a single 800/200 stratified split due to computational constraints; their test-set AUC is a single-point estimate without cross-validated uncertainty. This asymmetry is an acknowledged limitation: the CV-based uncertainty bands for LR/RF (Table 1) are not directly comparable to the point estimates for CNN/ResNet. We recommend interpreting Table 2 (test-set AUC) as the primary cross-model comparison and Table 1 (CV metrics) as the LR/RF stability characterisation.</w:t>
      </w:r>
    </w:p>
    <w:p>
      <w:pPr>
        <w:spacing w:before="120" w:after="40"/>
      </w:pPr>
      <w:r>
        <w:rPr>
          <w:rFonts w:ascii="Times New Roman" w:hAnsi="Times New Roman"/>
          <w:b/>
          <w:i/>
          <w:sz w:val="22"/>
          <w:u w:val="none"/>
        </w:rPr>
        <w:t>2.7  Probability calibration</w:t>
      </w:r>
    </w:p>
    <w:p>
      <w:pPr>
        <w:spacing w:after="80"/>
        <w:jc w:val="both"/>
      </w:pPr>
      <w:r>
        <w:rPr>
          <w:rFonts w:ascii="Times New Roman" w:hAnsi="Times New Roman"/>
          <w:b w:val="0"/>
          <w:i w:val="0"/>
          <w:sz w:val="22"/>
          <w:u w:val="none"/>
        </w:rPr>
        <w:t>All five models were calibrated post-hoc. For LR and RF, Platt sigmoid scaling [13] was applied: each base model was refitted on a fit-split (640 observations) and the sigmoid layer was calibrated on a held-out calibration split (160 observations). For CNN, R18s, and R18p, temperature scaling [14] was applied to the final logit layer. Calibration quality was measured by the expected calibration error (ECE) computed over 10 bins, averaged across four classes (Table 3). Notably, LR exhibited the lowest pre-calibration ECE (0.042) of all five models, indicating inherent probabilistic calibration; Platt scaling increased LR ECE marginally to 0.055 and is therefore not recommended for LR in this context.</w:t>
      </w:r>
    </w:p>
    <w:p>
      <w:pPr>
        <w:spacing w:before="120" w:after="40"/>
      </w:pPr>
      <w:r>
        <w:rPr>
          <w:rFonts w:ascii="Times New Roman" w:hAnsi="Times New Roman"/>
          <w:b/>
          <w:i/>
          <w:sz w:val="22"/>
          <w:u w:val="none"/>
        </w:rPr>
        <w:t>2.8  Statistical analysis</w:t>
      </w:r>
    </w:p>
    <w:p>
      <w:pPr>
        <w:spacing w:after="80"/>
        <w:jc w:val="both"/>
      </w:pPr>
      <w:r>
        <w:rPr>
          <w:rFonts w:ascii="Times New Roman" w:hAnsi="Times New Roman"/>
          <w:b w:val="0"/>
          <w:i w:val="0"/>
          <w:sz w:val="22"/>
          <w:u w:val="none"/>
        </w:rPr>
        <w:t>Permutation significance of the AUC difference between classifiers was assessed by a two-sided permutation test (10,000 permutations) with LR as the reference model. Kruskal-Wallis H-tests were used to evaluate class-stratification of each feature, with p-values corrected for 17 simultaneous tests using the Benjamini-Hochberg false-discovery-rate procedure (FDR &lt; 5%) [15]. Spearman rank correlation between each feature and continuous dose-proxy rank was calculated to assess monotonic dose-response. DeLong confidence intervals (95%) were computed for all reported AUC values.</w:t>
      </w:r>
    </w:p>
    <w:p>
      <w:pPr>
        <w:spacing w:before="120" w:after="40"/>
      </w:pPr>
      <w:r>
        <w:rPr>
          <w:rFonts w:ascii="Times New Roman" w:hAnsi="Times New Roman"/>
          <w:b/>
          <w:i/>
          <w:sz w:val="22"/>
          <w:u w:val="none"/>
        </w:rPr>
        <w:t>2.9  RF feature ablation</w:t>
      </w:r>
    </w:p>
    <w:p>
      <w:pPr>
        <w:spacing w:after="80"/>
        <w:jc w:val="both"/>
      </w:pPr>
      <w:r>
        <w:rPr>
          <w:rFonts w:ascii="Times New Roman" w:hAnsi="Times New Roman"/>
          <w:b w:val="0"/>
          <w:i w:val="0"/>
          <w:sz w:val="22"/>
          <w:u w:val="none"/>
        </w:rPr>
        <w:t>A forward-removal ablation study was performed on RF to quantify feature redundancy. Features were removed in order of decreasing RF mean-impurity-decrease importance, and macro-AUC on the test set was re-evaluated after each removal. Results are reported in Table 4 (RF) and Table 4b (LR), with LR ablation following the same removal order to enable direct comparison.</w:t>
      </w:r>
    </w:p>
    <w:p>
      <w:pPr>
        <w:spacing w:before="120" w:after="40"/>
      </w:pPr>
      <w:r>
        <w:rPr>
          <w:rFonts w:ascii="Times New Roman" w:hAnsi="Times New Roman"/>
          <w:b/>
          <w:i/>
          <w:sz w:val="22"/>
          <w:u w:val="none"/>
        </w:rPr>
        <w:t>2.10  Degenerate-feature sensitivity analysis</w:t>
      </w:r>
    </w:p>
    <w:p>
      <w:pPr>
        <w:spacing w:after="80"/>
        <w:jc w:val="both"/>
      </w:pPr>
      <w:r>
        <w:rPr>
          <w:rFonts w:ascii="Times New Roman" w:hAnsi="Times New Roman"/>
          <w:b w:val="0"/>
          <w:i w:val="0"/>
          <w:sz w:val="22"/>
          <w:u w:val="none"/>
        </w:rPr>
        <w:t>To isolate the contribution of the single dominant simulator-correlated feature (membrane_permeability_proxy; Spearman ρ = −0.894), both LR and RF were retrained on all 17 features and again on 16 features excluding this descriptor, and test-set macro-AUC was compared (Table 10). A large AUC drop upon removal indicates performance is primarily driven by a single simulator-encoded signal rather than a distributed morphological representation.</w:t>
      </w:r>
    </w:p>
    <w:p>
      <w:pPr>
        <w:spacing w:before="120" w:after="40"/>
      </w:pPr>
      <w:r>
        <w:rPr>
          <w:rFonts w:ascii="Times New Roman" w:hAnsi="Times New Roman"/>
          <w:b/>
          <w:i/>
          <w:sz w:val="22"/>
          <w:u w:val="none"/>
        </w:rPr>
        <w:t>2.11  Feature importance and biological correlation</w:t>
      </w:r>
    </w:p>
    <w:p>
      <w:pPr>
        <w:spacing w:after="80"/>
        <w:jc w:val="both"/>
      </w:pPr>
      <w:r>
        <w:rPr>
          <w:rFonts w:ascii="Times New Roman" w:hAnsi="Times New Roman"/>
          <w:b w:val="0"/>
          <w:i w:val="0"/>
          <w:sz w:val="22"/>
          <w:u w:val="none"/>
        </w:rPr>
        <w:t>RF feature importances (mean decrease in impurity, MDI) were recorded after training on the full 800-observation training set. Kruskal-Wallis H and Spearman ρ values for each descriptor are provided in Table 5 alongside BH-corrected p-values.</w:t>
      </w:r>
    </w:p>
    <w:p>
      <w:pPr>
        <w:spacing w:before="120" w:after="40"/>
      </w:pPr>
      <w:r>
        <w:rPr>
          <w:rFonts w:ascii="Times New Roman" w:hAnsi="Times New Roman"/>
          <w:b/>
          <w:i/>
          <w:sz w:val="22"/>
          <w:u w:val="none"/>
        </w:rPr>
        <w:t>2.12  Dose-response modelling</w:t>
      </w:r>
    </w:p>
    <w:p>
      <w:pPr>
        <w:spacing w:after="80"/>
        <w:jc w:val="both"/>
      </w:pPr>
      <w:r>
        <w:rPr>
          <w:rFonts w:ascii="Times New Roman" w:hAnsi="Times New Roman"/>
          <w:b w:val="0"/>
          <w:i w:val="0"/>
          <w:sz w:val="22"/>
          <w:u w:val="none"/>
        </w:rPr>
        <w:t>A monotonic dose-response relationship between particle exposure rank and cell-death probability was modelled using Spearman correlation and isotonic regression (Table 8). Exposure rank was defined as the ordinal particle-type label (0 = control, 1 = nanoplastic, 2 = microplastic, 3 = high-dose microplastic) and is a simulation parameter, not an experimentally measured dose.</w:t>
      </w:r>
    </w:p>
    <w:p>
      <w:r>
        <w:br w:type="page"/>
      </w:r>
    </w:p>
    <w:p>
      <w:pPr>
        <w:spacing w:before="240" w:after="80"/>
      </w:pPr>
      <w:r>
        <w:rPr>
          <w:rFonts w:ascii="Times New Roman" w:hAnsi="Times New Roman"/>
          <w:b/>
          <w:i w:val="0"/>
          <w:color w:val="1F4E79"/>
          <w:sz w:val="26"/>
          <w:u w:val="none"/>
        </w:rPr>
        <w:t>3. Results</w:t>
      </w:r>
    </w:p>
    <w:p>
      <w:pPr>
        <w:spacing w:before="120" w:after="40"/>
      </w:pPr>
      <w:r>
        <w:rPr>
          <w:rFonts w:ascii="Times New Roman" w:hAnsi="Times New Roman"/>
          <w:b/>
          <w:i/>
          <w:sz w:val="22"/>
          <w:u w:val="none"/>
        </w:rPr>
        <w:t>3.1  Classifier performance</w:t>
      </w:r>
    </w:p>
    <w:p>
      <w:pPr>
        <w:spacing w:after="80"/>
        <w:jc w:val="both"/>
      </w:pPr>
      <w:r>
        <w:rPr>
          <w:rFonts w:ascii="Times New Roman" w:hAnsi="Times New Roman"/>
          <w:b w:val="0"/>
          <w:i w:val="0"/>
          <w:sz w:val="22"/>
          <w:u w:val="none"/>
        </w:rPr>
        <w:t>LR achieved the highest cross-validated macro-AUC of 0.981 ± 0.004 (GroupKFold, 5-fold), with CV accuracy of 0.898 ± 0.018 and an ECE of 0.042, the lowest among all five models (Table 1). RF attained CV macro-AUC of 0.977 ± 0.005 and CV accuracy of 0.873 ± 0.024.</w:t>
      </w:r>
    </w:p>
    <w:p>
      <w:pPr>
        <w:spacing w:after="80"/>
        <w:jc w:val="both"/>
      </w:pPr>
      <w:r>
        <w:rPr>
          <w:rFonts w:ascii="Times New Roman" w:hAnsi="Times New Roman"/>
          <w:b w:val="0"/>
          <w:i w:val="0"/>
          <w:sz w:val="22"/>
          <w:u w:val="none"/>
        </w:rPr>
        <w:t>On the single held-out 200-sample test split (Table 2), the ranking partially inverts: RF reached macro-AUC 0.966 and the pretrained ResNet-18 (R18p) 0.954, while LR scored 0.901; the CNN trained from scratch attained the lowest macro-AUC (0.873), consistent with the data-starvation regime (Section 2.6). Although RF achieved a higher held-out macro-AUC than LR on this single test split, LR demonstrated superior stability across GroupKFold cross-validation (0.981 ± 0.004 vs 0.977 ± 0.005), substantially better calibration (ECE 0.042 vs 0.091, Table 3), lower training-time cost (0.02 s vs 0.48 s, Table 6), and a significant CV-level advantage in the permutation test (ΔAUC = 0.026, p = 5 × 10⁻⁴, Table 9b). Taken together, these properties-cross-fold stability, native calibration, and runtime efficiency-support LR as the preferred baseline classifier for simulation-derived HCS feature data, while RF remains the stronger choice when single-split test-time AUC is the sole criterion.</w:t>
      </w:r>
    </w:p>
    <w:p>
      <w:pPr>
        <w:spacing w:after="80"/>
        <w:jc w:val="both"/>
      </w:pPr>
      <w:r>
        <w:rPr>
          <w:rFonts w:ascii="Times New Roman" w:hAnsi="Times New Roman"/>
          <w:b w:val="0"/>
          <w:i w:val="0"/>
          <w:sz w:val="22"/>
          <w:u w:val="none"/>
        </w:rPr>
        <w:t>Table 1. Cross-validation performance of LR and RF (GroupKFold, n = 5 folds).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rPr>
          <w:trHeight w:val="504"/>
        </w:trPr>
        <w:tc>
          <w:tcPr>
            <w:tcW w:type="dxa" w:w="2016"/>
            <w:vAlign w:val="center"/>
            <w:shd w:fill="1F4E79" w:color="1F4E79" w:val="clear"/>
          </w:tcPr>
          <w:p>
            <w:pPr>
              <w:jc w:val="center"/>
            </w:pPr>
            <w:r>
              <w:rPr>
                <w:rFonts w:ascii="Times New Roman" w:hAnsi="Times New Roman"/>
                <w:b/>
                <w:i w:val="0"/>
                <w:color w:val="FFFFFF"/>
                <w:sz w:val="18"/>
                <w:u w:val="none"/>
              </w:rPr>
              <w:t>Model</w:t>
            </w:r>
          </w:p>
        </w:tc>
        <w:tc>
          <w:tcPr>
            <w:tcW w:type="dxa" w:w="2160"/>
            <w:vAlign w:val="center"/>
            <w:shd w:fill="1F4E79" w:color="1F4E79" w:val="clear"/>
          </w:tcPr>
          <w:p>
            <w:pPr>
              <w:jc w:val="center"/>
            </w:pPr>
            <w:r>
              <w:rPr>
                <w:rFonts w:ascii="Times New Roman" w:hAnsi="Times New Roman"/>
                <w:b/>
                <w:i w:val="0"/>
                <w:color w:val="FFFFFF"/>
                <w:sz w:val="18"/>
                <w:u w:val="none"/>
              </w:rPr>
              <w:t>CV Macro-AUC (mean±SD)</w:t>
            </w:r>
          </w:p>
        </w:tc>
        <w:tc>
          <w:tcPr>
            <w:tcW w:type="dxa" w:w="2016"/>
            <w:vAlign w:val="center"/>
            <w:shd w:fill="1F4E79" w:color="1F4E79" w:val="clear"/>
          </w:tcPr>
          <w:p>
            <w:pPr>
              <w:jc w:val="center"/>
            </w:pPr>
            <w:r>
              <w:rPr>
                <w:rFonts w:ascii="Times New Roman" w:hAnsi="Times New Roman"/>
                <w:b/>
                <w:i w:val="0"/>
                <w:color w:val="FFFFFF"/>
                <w:sz w:val="18"/>
                <w:u w:val="none"/>
              </w:rPr>
              <w:t>CV Accuracy (mean±SD)</w:t>
            </w:r>
          </w:p>
        </w:tc>
        <w:tc>
          <w:tcPr>
            <w:tcW w:type="dxa" w:w="1008"/>
            <w:vAlign w:val="center"/>
            <w:shd w:fill="1F4E79" w:color="1F4E79" w:val="clear"/>
          </w:tcPr>
          <w:p>
            <w:pPr>
              <w:jc w:val="center"/>
            </w:pPr>
            <w:r>
              <w:rPr>
                <w:rFonts w:ascii="Times New Roman" w:hAnsi="Times New Roman"/>
                <w:b/>
                <w:i w:val="0"/>
                <w:color w:val="FFFFFF"/>
                <w:sz w:val="18"/>
                <w:u w:val="none"/>
              </w:rPr>
              <w:t>ECE</w:t>
            </w:r>
          </w:p>
        </w:tc>
        <w:tc>
          <w:tcPr>
            <w:tcW w:type="dxa" w:w="1296"/>
            <w:vAlign w:val="center"/>
            <w:shd w:fill="1F4E79" w:color="1F4E79" w:val="clear"/>
          </w:tcPr>
          <w:p>
            <w:pPr>
              <w:jc w:val="center"/>
            </w:pPr>
            <w:r>
              <w:rPr>
                <w:rFonts w:ascii="Times New Roman" w:hAnsi="Times New Roman"/>
                <w:b/>
                <w:i w:val="0"/>
                <w:color w:val="FFFFFF"/>
                <w:sz w:val="18"/>
                <w:u w:val="none"/>
              </w:rPr>
              <w:t>Train Time (s)</w:t>
            </w:r>
          </w:p>
        </w:tc>
        <w:tc>
          <w:tcPr>
            <w:tcW w:type="dxa" w:w="1728"/>
            <w:vAlign w:val="center"/>
            <w:shd w:fill="1F4E79" w:color="1F4E79" w:val="clear"/>
          </w:tcPr>
          <w:p>
            <w:pPr>
              <w:jc w:val="center"/>
            </w:pPr>
            <w:r>
              <w:rPr>
                <w:rFonts w:ascii="Times New Roman" w:hAnsi="Times New Roman"/>
                <w:b/>
                <w:i w:val="0"/>
                <w:color w:val="FFFFFF"/>
                <w:sz w:val="18"/>
                <w:u w:val="none"/>
              </w:rPr>
              <w:t>Macro-AUC 95% CI</w:t>
            </w:r>
          </w:p>
        </w:tc>
      </w:tr>
      <w:tr>
        <w:tc>
          <w:tcPr>
            <w:tcW w:type="dxa" w:w="2016"/>
            <w:vAlign w:val="center"/>
            <w:shd w:fill="EBF3FB" w:color="EBF3FB" w:val="clear"/>
          </w:tcPr>
          <w:p>
            <w:pPr>
              <w:jc w:val="center"/>
            </w:pPr>
            <w:r>
              <w:rPr>
                <w:rFonts w:ascii="Times New Roman" w:hAnsi="Times New Roman"/>
                <w:b w:val="0"/>
                <w:i w:val="0"/>
                <w:sz w:val="18"/>
                <w:u w:val="none"/>
              </w:rPr>
              <w:t>Logistic Regression</w:t>
            </w:r>
          </w:p>
        </w:tc>
        <w:tc>
          <w:tcPr>
            <w:tcW w:type="dxa" w:w="2160"/>
            <w:vAlign w:val="center"/>
            <w:shd w:fill="EBF3FB" w:color="EBF3FB" w:val="clear"/>
          </w:tcPr>
          <w:p>
            <w:pPr>
              <w:jc w:val="center"/>
            </w:pPr>
            <w:r>
              <w:rPr>
                <w:rFonts w:ascii="Times New Roman" w:hAnsi="Times New Roman"/>
                <w:b w:val="0"/>
                <w:i w:val="0"/>
                <w:sz w:val="18"/>
                <w:u w:val="none"/>
              </w:rPr>
              <w:t>0.981 ± 0.004</w:t>
            </w:r>
          </w:p>
        </w:tc>
        <w:tc>
          <w:tcPr>
            <w:tcW w:type="dxa" w:w="2016"/>
            <w:vAlign w:val="center"/>
            <w:shd w:fill="EBF3FB" w:color="EBF3FB" w:val="clear"/>
          </w:tcPr>
          <w:p>
            <w:pPr>
              <w:jc w:val="center"/>
            </w:pPr>
            <w:r>
              <w:rPr>
                <w:rFonts w:ascii="Times New Roman" w:hAnsi="Times New Roman"/>
                <w:b w:val="0"/>
                <w:i w:val="0"/>
                <w:sz w:val="18"/>
                <w:u w:val="none"/>
              </w:rPr>
              <w:t>0.898 ± 0.018</w:t>
            </w:r>
          </w:p>
        </w:tc>
        <w:tc>
          <w:tcPr>
            <w:tcW w:type="dxa" w:w="1008"/>
            <w:vAlign w:val="center"/>
            <w:shd w:fill="EBF3FB" w:color="EBF3FB" w:val="clear"/>
          </w:tcPr>
          <w:p>
            <w:pPr>
              <w:jc w:val="center"/>
            </w:pPr>
            <w:r>
              <w:rPr>
                <w:rFonts w:ascii="Times New Roman" w:hAnsi="Times New Roman"/>
                <w:b w:val="0"/>
                <w:i w:val="0"/>
                <w:sz w:val="18"/>
                <w:u w:val="none"/>
              </w:rPr>
              <w:t>0.042</w:t>
            </w:r>
          </w:p>
        </w:tc>
        <w:tc>
          <w:tcPr>
            <w:tcW w:type="dxa" w:w="1296"/>
            <w:vAlign w:val="center"/>
            <w:shd w:fill="EBF3FB" w:color="EBF3FB" w:val="clear"/>
          </w:tcPr>
          <w:p>
            <w:pPr>
              <w:jc w:val="center"/>
            </w:pPr>
            <w:r>
              <w:rPr>
                <w:rFonts w:ascii="Times New Roman" w:hAnsi="Times New Roman"/>
                <w:b w:val="0"/>
                <w:i w:val="0"/>
                <w:sz w:val="18"/>
                <w:u w:val="none"/>
              </w:rPr>
              <w:t>0.024</w:t>
            </w:r>
          </w:p>
        </w:tc>
        <w:tc>
          <w:tcPr>
            <w:tcW w:type="dxa" w:w="1728"/>
            <w:vAlign w:val="center"/>
            <w:shd w:fill="EBF3FB" w:color="EBF3FB" w:val="clear"/>
          </w:tcPr>
          <w:p>
            <w:pPr>
              <w:jc w:val="center"/>
            </w:pPr>
            <w:r>
              <w:rPr>
                <w:rFonts w:ascii="Times New Roman" w:hAnsi="Times New Roman"/>
                <w:b w:val="0"/>
                <w:i w:val="0"/>
                <w:sz w:val="18"/>
                <w:u w:val="none"/>
              </w:rPr>
              <w:t>[0.969, 0.993]</w:t>
            </w:r>
          </w:p>
        </w:tc>
      </w:tr>
      <w:tr>
        <w:tc>
          <w:tcPr>
            <w:tcW w:type="dxa" w:w="2016"/>
            <w:vAlign w:val="center"/>
            <w:shd w:fill="FFFFFF" w:color="FFFFFF" w:val="clear"/>
          </w:tcPr>
          <w:p>
            <w:pPr>
              <w:jc w:val="center"/>
            </w:pPr>
            <w:r>
              <w:rPr>
                <w:rFonts w:ascii="Times New Roman" w:hAnsi="Times New Roman"/>
                <w:b w:val="0"/>
                <w:i w:val="0"/>
                <w:sz w:val="18"/>
                <w:u w:val="none"/>
              </w:rPr>
              <w:t>Random Forest</w:t>
            </w:r>
          </w:p>
        </w:tc>
        <w:tc>
          <w:tcPr>
            <w:tcW w:type="dxa" w:w="2160"/>
            <w:vAlign w:val="center"/>
            <w:shd w:fill="FFFFFF" w:color="FFFFFF" w:val="clear"/>
          </w:tcPr>
          <w:p>
            <w:pPr>
              <w:jc w:val="center"/>
            </w:pPr>
            <w:r>
              <w:rPr>
                <w:rFonts w:ascii="Times New Roman" w:hAnsi="Times New Roman"/>
                <w:b w:val="0"/>
                <w:i w:val="0"/>
                <w:sz w:val="18"/>
                <w:u w:val="none"/>
              </w:rPr>
              <w:t>0.977 ± 0.005</w:t>
            </w:r>
          </w:p>
        </w:tc>
        <w:tc>
          <w:tcPr>
            <w:tcW w:type="dxa" w:w="2016"/>
            <w:vAlign w:val="center"/>
            <w:shd w:fill="FFFFFF" w:color="FFFFFF" w:val="clear"/>
          </w:tcPr>
          <w:p>
            <w:pPr>
              <w:jc w:val="center"/>
            </w:pPr>
            <w:r>
              <w:rPr>
                <w:rFonts w:ascii="Times New Roman" w:hAnsi="Times New Roman"/>
                <w:b w:val="0"/>
                <w:i w:val="0"/>
                <w:sz w:val="18"/>
                <w:u w:val="none"/>
              </w:rPr>
              <w:t>0.873 ± 0.024</w:t>
            </w:r>
          </w:p>
        </w:tc>
        <w:tc>
          <w:tcPr>
            <w:tcW w:type="dxa" w:w="1008"/>
            <w:vAlign w:val="center"/>
            <w:shd w:fill="FFFFFF" w:color="FFFFFF" w:val="clear"/>
          </w:tcPr>
          <w:p>
            <w:pPr>
              <w:jc w:val="center"/>
            </w:pPr>
            <w:r>
              <w:rPr>
                <w:rFonts w:ascii="Times New Roman" w:hAnsi="Times New Roman"/>
                <w:b w:val="0"/>
                <w:i w:val="0"/>
                <w:sz w:val="18"/>
                <w:u w:val="none"/>
              </w:rPr>
              <w:t>0.091</w:t>
            </w:r>
          </w:p>
        </w:tc>
        <w:tc>
          <w:tcPr>
            <w:tcW w:type="dxa" w:w="1296"/>
            <w:vAlign w:val="center"/>
            <w:shd w:fill="FFFFFF" w:color="FFFFFF" w:val="clear"/>
          </w:tcPr>
          <w:p>
            <w:pPr>
              <w:jc w:val="center"/>
            </w:pPr>
            <w:r>
              <w:rPr>
                <w:rFonts w:ascii="Times New Roman" w:hAnsi="Times New Roman"/>
                <w:b w:val="0"/>
                <w:i w:val="0"/>
                <w:sz w:val="18"/>
                <w:u w:val="none"/>
              </w:rPr>
              <w:t>0.484</w:t>
            </w:r>
          </w:p>
        </w:tc>
        <w:tc>
          <w:tcPr>
            <w:tcW w:type="dxa" w:w="1728"/>
            <w:vAlign w:val="center"/>
            <w:shd w:fill="FFFFFF" w:color="FFFFFF" w:val="clear"/>
          </w:tcPr>
          <w:p>
            <w:pPr>
              <w:jc w:val="center"/>
            </w:pPr>
            <w:r>
              <w:rPr>
                <w:rFonts w:ascii="Times New Roman" w:hAnsi="Times New Roman"/>
                <w:b w:val="0"/>
                <w:i w:val="0"/>
                <w:sz w:val="18"/>
                <w:u w:val="none"/>
              </w:rPr>
              <w:t>[0.964, 0.990]</w:t>
            </w:r>
          </w:p>
        </w:tc>
      </w:tr>
    </w:tbl>
    <w:p>
      <w:pPr>
        <w:spacing w:before="40"/>
      </w:pPr>
      <w:r>
        <w:rPr>
          <w:rFonts w:ascii="Times New Roman" w:hAnsi="Times New Roman"/>
          <w:b/>
          <w:i w:val="0"/>
          <w:sz w:val="18"/>
          <w:u w:val="none"/>
        </w:rPr>
        <w:t xml:space="preserve">Note: </w:t>
      </w:r>
      <w:r>
        <w:rPr>
          <w:rFonts w:ascii="Times New Roman" w:hAnsi="Times New Roman"/>
          <w:b w:val="0"/>
          <w:i/>
          <w:sz w:val="18"/>
          <w:u w:val="none"/>
        </w:rPr>
        <w:t>CV metrics from 5-fold plate-aware GroupKFold (k = 5). ECE reported on held-out calibration split before post-hoc correction. Macro-AUC 95% CI computed analytically (Hanley-McNeil) on the full simulator dataset (n = 1,000; n_pos = 250, n_neg = 750).</w:t>
      </w:r>
    </w:p>
    <w:p/>
    <w:p>
      <w:pPr>
        <w:spacing w:after="80"/>
        <w:jc w:val="both"/>
      </w:pPr>
      <w:r>
        <w:rPr>
          <w:rFonts w:ascii="Times New Roman" w:hAnsi="Times New Roman"/>
          <w:b w:val="0"/>
          <w:i w:val="0"/>
          <w:sz w:val="22"/>
          <w:u w:val="none"/>
        </w:rPr>
        <w:t>Table 2. Test-set per-class and macro-AUC for all five models (held-out n = 200).</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rPr>
          <w:trHeight w:val="504"/>
        </w:trPr>
        <w:tc>
          <w:tcPr>
            <w:tcW w:type="dxa" w:w="2304"/>
            <w:vAlign w:val="center"/>
            <w:shd w:fill="1F4E79" w:color="1F4E79" w:val="clear"/>
          </w:tcPr>
          <w:p>
            <w:pPr>
              <w:jc w:val="center"/>
            </w:pPr>
            <w:r>
              <w:rPr>
                <w:rFonts w:ascii="Times New Roman" w:hAnsi="Times New Roman"/>
                <w:b/>
                <w:i w:val="0"/>
                <w:color w:val="FFFFFF"/>
                <w:sz w:val="18"/>
                <w:u w:val="none"/>
              </w:rPr>
              <w:t>Model</w:t>
            </w:r>
          </w:p>
        </w:tc>
        <w:tc>
          <w:tcPr>
            <w:tcW w:type="dxa" w:w="1224"/>
            <w:vAlign w:val="center"/>
            <w:shd w:fill="1F4E79" w:color="1F4E79" w:val="clear"/>
          </w:tcPr>
          <w:p>
            <w:pPr>
              <w:jc w:val="center"/>
            </w:pPr>
            <w:r>
              <w:rPr>
                <w:rFonts w:ascii="Times New Roman" w:hAnsi="Times New Roman"/>
                <w:b/>
                <w:i w:val="0"/>
                <w:color w:val="FFFFFF"/>
                <w:sz w:val="18"/>
                <w:u w:val="none"/>
              </w:rPr>
              <w:t>AUC Viable</w:t>
            </w:r>
          </w:p>
        </w:tc>
        <w:tc>
          <w:tcPr>
            <w:tcW w:type="dxa" w:w="1368"/>
            <w:vAlign w:val="center"/>
            <w:shd w:fill="1F4E79" w:color="1F4E79" w:val="clear"/>
          </w:tcPr>
          <w:p>
            <w:pPr>
              <w:jc w:val="center"/>
            </w:pPr>
            <w:r>
              <w:rPr>
                <w:rFonts w:ascii="Times New Roman" w:hAnsi="Times New Roman"/>
                <w:b/>
                <w:i w:val="0"/>
                <w:color w:val="FFFFFF"/>
                <w:sz w:val="18"/>
                <w:u w:val="none"/>
              </w:rPr>
              <w:t>AUC Early Apop.</w:t>
            </w:r>
          </w:p>
        </w:tc>
        <w:tc>
          <w:tcPr>
            <w:tcW w:type="dxa" w:w="1368"/>
            <w:vAlign w:val="center"/>
            <w:shd w:fill="1F4E79" w:color="1F4E79" w:val="clear"/>
          </w:tcPr>
          <w:p>
            <w:pPr>
              <w:jc w:val="center"/>
            </w:pPr>
            <w:r>
              <w:rPr>
                <w:rFonts w:ascii="Times New Roman" w:hAnsi="Times New Roman"/>
                <w:b/>
                <w:i w:val="0"/>
                <w:color w:val="FFFFFF"/>
                <w:sz w:val="18"/>
                <w:u w:val="none"/>
              </w:rPr>
              <w:t>AUC Late Apop.</w:t>
            </w:r>
          </w:p>
        </w:tc>
        <w:tc>
          <w:tcPr>
            <w:tcW w:type="dxa" w:w="1368"/>
            <w:vAlign w:val="center"/>
            <w:shd w:fill="1F4E79" w:color="1F4E79" w:val="clear"/>
          </w:tcPr>
          <w:p>
            <w:pPr>
              <w:jc w:val="center"/>
            </w:pPr>
            <w:r>
              <w:rPr>
                <w:rFonts w:ascii="Times New Roman" w:hAnsi="Times New Roman"/>
                <w:b/>
                <w:i w:val="0"/>
                <w:color w:val="FFFFFF"/>
                <w:sz w:val="18"/>
                <w:u w:val="none"/>
              </w:rPr>
              <w:t>AUC Necrosis</w:t>
            </w:r>
          </w:p>
        </w:tc>
        <w:tc>
          <w:tcPr>
            <w:tcW w:type="dxa" w:w="1296"/>
            <w:vAlign w:val="center"/>
            <w:shd w:fill="1F4E79" w:color="1F4E79" w:val="clear"/>
          </w:tcPr>
          <w:p>
            <w:pPr>
              <w:jc w:val="center"/>
            </w:pPr>
            <w:r>
              <w:rPr>
                <w:rFonts w:ascii="Times New Roman" w:hAnsi="Times New Roman"/>
                <w:b/>
                <w:i w:val="0"/>
                <w:color w:val="FFFFFF"/>
                <w:sz w:val="18"/>
                <w:u w:val="none"/>
              </w:rPr>
              <w:t>Macro-AUC</w:t>
            </w:r>
          </w:p>
        </w:tc>
        <w:tc>
          <w:tcPr>
            <w:tcW w:type="dxa" w:w="1728"/>
            <w:vAlign w:val="center"/>
            <w:shd w:fill="1F4E79" w:color="1F4E79" w:val="clear"/>
          </w:tcPr>
          <w:p>
            <w:pPr>
              <w:jc w:val="center"/>
            </w:pPr>
            <w:r>
              <w:rPr>
                <w:rFonts w:ascii="Times New Roman" w:hAnsi="Times New Roman"/>
                <w:b/>
                <w:i w:val="0"/>
                <w:color w:val="FFFFFF"/>
                <w:sz w:val="18"/>
                <w:u w:val="none"/>
              </w:rPr>
              <w:t>Macro-AUC 95% CI</w:t>
            </w:r>
          </w:p>
        </w:tc>
      </w:tr>
      <w:tr>
        <w:tc>
          <w:tcPr>
            <w:tcW w:type="dxa" w:w="2304"/>
            <w:vAlign w:val="center"/>
            <w:shd w:fill="EBF3FB" w:color="EBF3FB" w:val="clear"/>
          </w:tcPr>
          <w:p>
            <w:pPr>
              <w:jc w:val="center"/>
            </w:pPr>
            <w:r>
              <w:rPr>
                <w:rFonts w:ascii="Times New Roman" w:hAnsi="Times New Roman"/>
                <w:b w:val="0"/>
                <w:i w:val="0"/>
                <w:sz w:val="18"/>
                <w:u w:val="none"/>
              </w:rPr>
              <w:t>Logistic Regression</w:t>
            </w:r>
          </w:p>
        </w:tc>
        <w:tc>
          <w:tcPr>
            <w:tcW w:type="dxa" w:w="1224"/>
            <w:vAlign w:val="center"/>
            <w:shd w:fill="EBF3FB" w:color="EBF3FB" w:val="clear"/>
          </w:tcPr>
          <w:p>
            <w:pPr>
              <w:jc w:val="center"/>
            </w:pPr>
            <w:r>
              <w:rPr>
                <w:rFonts w:ascii="Times New Roman" w:hAnsi="Times New Roman"/>
                <w:b w:val="0"/>
                <w:i w:val="0"/>
                <w:sz w:val="18"/>
                <w:u w:val="none"/>
              </w:rPr>
              <w:t>0.964</w:t>
            </w:r>
          </w:p>
        </w:tc>
        <w:tc>
          <w:tcPr>
            <w:tcW w:type="dxa" w:w="1368"/>
            <w:vAlign w:val="center"/>
            <w:shd w:fill="EBF3FB" w:color="EBF3FB" w:val="clear"/>
          </w:tcPr>
          <w:p>
            <w:pPr>
              <w:jc w:val="center"/>
            </w:pPr>
            <w:r>
              <w:rPr>
                <w:rFonts w:ascii="Times New Roman" w:hAnsi="Times New Roman"/>
                <w:b w:val="0"/>
                <w:i w:val="0"/>
                <w:sz w:val="18"/>
                <w:u w:val="none"/>
              </w:rPr>
              <w:t>0.665</w:t>
            </w:r>
          </w:p>
        </w:tc>
        <w:tc>
          <w:tcPr>
            <w:tcW w:type="dxa" w:w="1368"/>
            <w:vAlign w:val="center"/>
            <w:shd w:fill="EBF3FB" w:color="EBF3FB" w:val="clear"/>
          </w:tcPr>
          <w:p>
            <w:pPr>
              <w:jc w:val="center"/>
            </w:pPr>
            <w:r>
              <w:rPr>
                <w:rFonts w:ascii="Times New Roman" w:hAnsi="Times New Roman"/>
                <w:b w:val="0"/>
                <w:i w:val="0"/>
                <w:sz w:val="18"/>
                <w:u w:val="none"/>
              </w:rPr>
              <w:t>0.977</w:t>
            </w:r>
          </w:p>
        </w:tc>
        <w:tc>
          <w:tcPr>
            <w:tcW w:type="dxa" w:w="1368"/>
            <w:vAlign w:val="center"/>
            <w:shd w:fill="EBF3FB" w:color="EBF3FB" w:val="clear"/>
          </w:tcPr>
          <w:p>
            <w:pPr>
              <w:jc w:val="center"/>
            </w:pPr>
            <w:r>
              <w:rPr>
                <w:rFonts w:ascii="Times New Roman" w:hAnsi="Times New Roman"/>
                <w:b w:val="0"/>
                <w:i w:val="0"/>
                <w:sz w:val="18"/>
                <w:u w:val="none"/>
              </w:rPr>
              <w:t>0.999</w:t>
            </w:r>
          </w:p>
        </w:tc>
        <w:tc>
          <w:tcPr>
            <w:tcW w:type="dxa" w:w="1296"/>
            <w:vAlign w:val="center"/>
            <w:shd w:fill="EBF3FB" w:color="EBF3FB" w:val="clear"/>
          </w:tcPr>
          <w:p>
            <w:pPr>
              <w:jc w:val="center"/>
            </w:pPr>
            <w:r>
              <w:rPr>
                <w:rFonts w:ascii="Times New Roman" w:hAnsi="Times New Roman"/>
                <w:b w:val="0"/>
                <w:i w:val="0"/>
                <w:sz w:val="18"/>
                <w:u w:val="none"/>
              </w:rPr>
              <w:t>0.901</w:t>
            </w:r>
          </w:p>
        </w:tc>
        <w:tc>
          <w:tcPr>
            <w:tcW w:type="dxa" w:w="1728"/>
            <w:vAlign w:val="center"/>
            <w:shd w:fill="EBF3FB" w:color="EBF3FB" w:val="clear"/>
          </w:tcPr>
          <w:p>
            <w:pPr>
              <w:jc w:val="center"/>
            </w:pPr>
            <w:r>
              <w:rPr>
                <w:rFonts w:ascii="Times New Roman" w:hAnsi="Times New Roman"/>
                <w:b w:val="0"/>
                <w:i w:val="0"/>
                <w:sz w:val="18"/>
                <w:u w:val="none"/>
              </w:rPr>
              <w:t>[0.842, 0.960]</w:t>
            </w:r>
          </w:p>
        </w:tc>
      </w:tr>
      <w:tr>
        <w:tc>
          <w:tcPr>
            <w:tcW w:type="dxa" w:w="2304"/>
            <w:vAlign w:val="center"/>
            <w:shd w:fill="FFFFFF" w:color="FFFFFF" w:val="clear"/>
          </w:tcPr>
          <w:p>
            <w:pPr>
              <w:jc w:val="center"/>
            </w:pPr>
            <w:r>
              <w:rPr>
                <w:rFonts w:ascii="Times New Roman" w:hAnsi="Times New Roman"/>
                <w:b w:val="0"/>
                <w:i w:val="0"/>
                <w:sz w:val="18"/>
                <w:u w:val="none"/>
              </w:rPr>
              <w:t>Random Forest</w:t>
            </w:r>
          </w:p>
        </w:tc>
        <w:tc>
          <w:tcPr>
            <w:tcW w:type="dxa" w:w="1224"/>
            <w:vAlign w:val="center"/>
            <w:shd w:fill="FFFFFF" w:color="FFFFFF" w:val="clear"/>
          </w:tcPr>
          <w:p>
            <w:pPr>
              <w:jc w:val="center"/>
            </w:pPr>
            <w:r>
              <w:rPr>
                <w:rFonts w:ascii="Times New Roman" w:hAnsi="Times New Roman"/>
                <w:b w:val="0"/>
                <w:i w:val="0"/>
                <w:sz w:val="18"/>
                <w:u w:val="none"/>
              </w:rPr>
              <w:t>0.955</w:t>
            </w:r>
          </w:p>
        </w:tc>
        <w:tc>
          <w:tcPr>
            <w:tcW w:type="dxa" w:w="1368"/>
            <w:vAlign w:val="center"/>
            <w:shd w:fill="FFFFFF" w:color="FFFFFF" w:val="clear"/>
          </w:tcPr>
          <w:p>
            <w:pPr>
              <w:jc w:val="center"/>
            </w:pPr>
            <w:r>
              <w:rPr>
                <w:rFonts w:ascii="Times New Roman" w:hAnsi="Times New Roman"/>
                <w:b w:val="0"/>
                <w:i w:val="0"/>
                <w:sz w:val="18"/>
                <w:u w:val="none"/>
              </w:rPr>
              <w:t>0.939</w:t>
            </w:r>
          </w:p>
        </w:tc>
        <w:tc>
          <w:tcPr>
            <w:tcW w:type="dxa" w:w="1368"/>
            <w:vAlign w:val="center"/>
            <w:shd w:fill="FFFFFF" w:color="FFFFFF" w:val="clear"/>
          </w:tcPr>
          <w:p>
            <w:pPr>
              <w:jc w:val="center"/>
            </w:pPr>
            <w:r>
              <w:rPr>
                <w:rFonts w:ascii="Times New Roman" w:hAnsi="Times New Roman"/>
                <w:b w:val="0"/>
                <w:i w:val="0"/>
                <w:sz w:val="18"/>
                <w:u w:val="none"/>
              </w:rPr>
              <w:t>0.973</w:t>
            </w:r>
          </w:p>
        </w:tc>
        <w:tc>
          <w:tcPr>
            <w:tcW w:type="dxa" w:w="1368"/>
            <w:vAlign w:val="center"/>
            <w:shd w:fill="FFFFFF" w:color="FFFFFF" w:val="clear"/>
          </w:tcPr>
          <w:p>
            <w:pPr>
              <w:jc w:val="center"/>
            </w:pPr>
            <w:r>
              <w:rPr>
                <w:rFonts w:ascii="Times New Roman" w:hAnsi="Times New Roman"/>
                <w:b w:val="0"/>
                <w:i w:val="0"/>
                <w:sz w:val="18"/>
                <w:u w:val="none"/>
              </w:rPr>
              <w:t>0.996</w:t>
            </w:r>
          </w:p>
        </w:tc>
        <w:tc>
          <w:tcPr>
            <w:tcW w:type="dxa" w:w="1296"/>
            <w:vAlign w:val="center"/>
            <w:shd w:fill="FFFFFF" w:color="FFFFFF" w:val="clear"/>
          </w:tcPr>
          <w:p>
            <w:pPr>
              <w:jc w:val="center"/>
            </w:pPr>
            <w:r>
              <w:rPr>
                <w:rFonts w:ascii="Times New Roman" w:hAnsi="Times New Roman"/>
                <w:b w:val="0"/>
                <w:i w:val="0"/>
                <w:sz w:val="18"/>
                <w:u w:val="none"/>
              </w:rPr>
              <w:t>0.966</w:t>
            </w:r>
          </w:p>
        </w:tc>
        <w:tc>
          <w:tcPr>
            <w:tcW w:type="dxa" w:w="1728"/>
            <w:vAlign w:val="center"/>
            <w:shd w:fill="FFFFFF" w:color="FFFFFF" w:val="clear"/>
          </w:tcPr>
          <w:p>
            <w:pPr>
              <w:jc w:val="center"/>
            </w:pPr>
            <w:r>
              <w:rPr>
                <w:rFonts w:ascii="Times New Roman" w:hAnsi="Times New Roman"/>
                <w:b w:val="0"/>
                <w:i w:val="0"/>
                <w:sz w:val="18"/>
                <w:u w:val="none"/>
              </w:rPr>
              <w:t>[0.930, 1.000]</w:t>
            </w:r>
          </w:p>
        </w:tc>
      </w:tr>
      <w:tr>
        <w:tc>
          <w:tcPr>
            <w:tcW w:type="dxa" w:w="2304"/>
            <w:vAlign w:val="center"/>
            <w:shd w:fill="EBF3FB" w:color="EBF3FB" w:val="clear"/>
          </w:tcPr>
          <w:p>
            <w:pPr>
              <w:jc w:val="center"/>
            </w:pPr>
            <w:r>
              <w:rPr>
                <w:rFonts w:ascii="Times New Roman" w:hAnsi="Times New Roman"/>
                <w:b w:val="0"/>
                <w:i w:val="0"/>
                <w:sz w:val="18"/>
                <w:u w:val="none"/>
              </w:rPr>
              <w:t>CNN (scratch)</w:t>
            </w:r>
          </w:p>
        </w:tc>
        <w:tc>
          <w:tcPr>
            <w:tcW w:type="dxa" w:w="1224"/>
            <w:vAlign w:val="center"/>
            <w:shd w:fill="EBF3FB" w:color="EBF3FB" w:val="clear"/>
          </w:tcPr>
          <w:p>
            <w:pPr>
              <w:jc w:val="center"/>
            </w:pPr>
            <w:r>
              <w:rPr>
                <w:rFonts w:ascii="Times New Roman" w:hAnsi="Times New Roman"/>
                <w:b w:val="0"/>
                <w:i w:val="0"/>
                <w:sz w:val="18"/>
                <w:u w:val="none"/>
              </w:rPr>
              <w:t>0.888</w:t>
            </w:r>
          </w:p>
        </w:tc>
        <w:tc>
          <w:tcPr>
            <w:tcW w:type="dxa" w:w="1368"/>
            <w:vAlign w:val="center"/>
            <w:shd w:fill="EBF3FB" w:color="EBF3FB" w:val="clear"/>
          </w:tcPr>
          <w:p>
            <w:pPr>
              <w:jc w:val="center"/>
            </w:pPr>
            <w:r>
              <w:rPr>
                <w:rFonts w:ascii="Times New Roman" w:hAnsi="Times New Roman"/>
                <w:b w:val="0"/>
                <w:i w:val="0"/>
                <w:sz w:val="18"/>
                <w:u w:val="none"/>
              </w:rPr>
              <w:t>0.861</w:t>
            </w:r>
          </w:p>
        </w:tc>
        <w:tc>
          <w:tcPr>
            <w:tcW w:type="dxa" w:w="1368"/>
            <w:vAlign w:val="center"/>
            <w:shd w:fill="EBF3FB" w:color="EBF3FB" w:val="clear"/>
          </w:tcPr>
          <w:p>
            <w:pPr>
              <w:jc w:val="center"/>
            </w:pPr>
            <w:r>
              <w:rPr>
                <w:rFonts w:ascii="Times New Roman" w:hAnsi="Times New Roman"/>
                <w:b w:val="0"/>
                <w:i w:val="0"/>
                <w:sz w:val="18"/>
                <w:u w:val="none"/>
              </w:rPr>
              <w:t>0.843</w:t>
            </w:r>
          </w:p>
        </w:tc>
        <w:tc>
          <w:tcPr>
            <w:tcW w:type="dxa" w:w="1368"/>
            <w:vAlign w:val="center"/>
            <w:shd w:fill="EBF3FB" w:color="EBF3FB" w:val="clear"/>
          </w:tcPr>
          <w:p>
            <w:pPr>
              <w:jc w:val="center"/>
            </w:pPr>
            <w:r>
              <w:rPr>
                <w:rFonts w:ascii="Times New Roman" w:hAnsi="Times New Roman"/>
                <w:b w:val="0"/>
                <w:i w:val="0"/>
                <w:sz w:val="18"/>
                <w:u w:val="none"/>
              </w:rPr>
              <w:t>0.899</w:t>
            </w:r>
          </w:p>
        </w:tc>
        <w:tc>
          <w:tcPr>
            <w:tcW w:type="dxa" w:w="1296"/>
            <w:vAlign w:val="center"/>
            <w:shd w:fill="EBF3FB" w:color="EBF3FB" w:val="clear"/>
          </w:tcPr>
          <w:p>
            <w:pPr>
              <w:jc w:val="center"/>
            </w:pPr>
            <w:r>
              <w:rPr>
                <w:rFonts w:ascii="Times New Roman" w:hAnsi="Times New Roman"/>
                <w:b w:val="0"/>
                <w:i w:val="0"/>
                <w:sz w:val="18"/>
                <w:u w:val="none"/>
              </w:rPr>
              <w:t>0.873</w:t>
            </w:r>
          </w:p>
        </w:tc>
        <w:tc>
          <w:tcPr>
            <w:tcW w:type="dxa" w:w="1728"/>
            <w:vAlign w:val="center"/>
            <w:shd w:fill="EBF3FB" w:color="EBF3FB" w:val="clear"/>
          </w:tcPr>
          <w:p>
            <w:pPr>
              <w:jc w:val="center"/>
            </w:pPr>
            <w:r>
              <w:rPr>
                <w:rFonts w:ascii="Times New Roman" w:hAnsi="Times New Roman"/>
                <w:b w:val="0"/>
                <w:i w:val="0"/>
                <w:sz w:val="18"/>
                <w:u w:val="none"/>
              </w:rPr>
              <w:t>[0.807, 0.938]</w:t>
            </w:r>
          </w:p>
        </w:tc>
      </w:tr>
      <w:tr>
        <w:tc>
          <w:tcPr>
            <w:tcW w:type="dxa" w:w="2304"/>
            <w:vAlign w:val="center"/>
            <w:shd w:fill="FFFFFF" w:color="FFFFFF" w:val="clear"/>
          </w:tcPr>
          <w:p>
            <w:pPr>
              <w:jc w:val="center"/>
            </w:pPr>
            <w:r>
              <w:rPr>
                <w:rFonts w:ascii="Times New Roman" w:hAnsi="Times New Roman"/>
                <w:b w:val="0"/>
                <w:i w:val="0"/>
                <w:sz w:val="18"/>
                <w:u w:val="none"/>
              </w:rPr>
              <w:t>ResNet-18 (scratch)</w:t>
            </w:r>
          </w:p>
        </w:tc>
        <w:tc>
          <w:tcPr>
            <w:tcW w:type="dxa" w:w="1224"/>
            <w:vAlign w:val="center"/>
            <w:shd w:fill="FFFFFF" w:color="FFFFFF" w:val="clear"/>
          </w:tcPr>
          <w:p>
            <w:pPr>
              <w:jc w:val="center"/>
            </w:pPr>
            <w:r>
              <w:rPr>
                <w:rFonts w:ascii="Times New Roman" w:hAnsi="Times New Roman"/>
                <w:b w:val="0"/>
                <w:i w:val="0"/>
                <w:sz w:val="18"/>
                <w:u w:val="none"/>
              </w:rPr>
              <w:t>0.951</w:t>
            </w:r>
          </w:p>
        </w:tc>
        <w:tc>
          <w:tcPr>
            <w:tcW w:type="dxa" w:w="1368"/>
            <w:vAlign w:val="center"/>
            <w:shd w:fill="FFFFFF" w:color="FFFFFF" w:val="clear"/>
          </w:tcPr>
          <w:p>
            <w:pPr>
              <w:jc w:val="center"/>
            </w:pPr>
            <w:r>
              <w:rPr>
                <w:rFonts w:ascii="Times New Roman" w:hAnsi="Times New Roman"/>
                <w:b w:val="0"/>
                <w:i w:val="0"/>
                <w:sz w:val="18"/>
                <w:u w:val="none"/>
              </w:rPr>
              <w:t>0.920</w:t>
            </w:r>
          </w:p>
        </w:tc>
        <w:tc>
          <w:tcPr>
            <w:tcW w:type="dxa" w:w="1368"/>
            <w:vAlign w:val="center"/>
            <w:shd w:fill="FFFFFF" w:color="FFFFFF" w:val="clear"/>
          </w:tcPr>
          <w:p>
            <w:pPr>
              <w:jc w:val="center"/>
            </w:pPr>
            <w:r>
              <w:rPr>
                <w:rFonts w:ascii="Times New Roman" w:hAnsi="Times New Roman"/>
                <w:b w:val="0"/>
                <w:i w:val="0"/>
                <w:sz w:val="18"/>
                <w:u w:val="none"/>
              </w:rPr>
              <w:t>0.889</w:t>
            </w:r>
          </w:p>
        </w:tc>
        <w:tc>
          <w:tcPr>
            <w:tcW w:type="dxa" w:w="1368"/>
            <w:vAlign w:val="center"/>
            <w:shd w:fill="FFFFFF" w:color="FFFFFF" w:val="clear"/>
          </w:tcPr>
          <w:p>
            <w:pPr>
              <w:jc w:val="center"/>
            </w:pPr>
            <w:r>
              <w:rPr>
                <w:rFonts w:ascii="Times New Roman" w:hAnsi="Times New Roman"/>
                <w:b w:val="0"/>
                <w:i w:val="0"/>
                <w:sz w:val="18"/>
                <w:u w:val="none"/>
              </w:rPr>
              <w:t>0.879</w:t>
            </w:r>
          </w:p>
        </w:tc>
        <w:tc>
          <w:tcPr>
            <w:tcW w:type="dxa" w:w="1296"/>
            <w:vAlign w:val="center"/>
            <w:shd w:fill="FFFFFF" w:color="FFFFFF" w:val="clear"/>
          </w:tcPr>
          <w:p>
            <w:pPr>
              <w:jc w:val="center"/>
            </w:pPr>
            <w:r>
              <w:rPr>
                <w:rFonts w:ascii="Times New Roman" w:hAnsi="Times New Roman"/>
                <w:b w:val="0"/>
                <w:i w:val="0"/>
                <w:sz w:val="18"/>
                <w:u w:val="none"/>
              </w:rPr>
              <w:t>0.910</w:t>
            </w:r>
          </w:p>
        </w:tc>
        <w:tc>
          <w:tcPr>
            <w:tcW w:type="dxa" w:w="1728"/>
            <w:vAlign w:val="center"/>
            <w:shd w:fill="FFFFFF" w:color="FFFFFF" w:val="clear"/>
          </w:tcPr>
          <w:p>
            <w:pPr>
              <w:jc w:val="center"/>
            </w:pPr>
            <w:r>
              <w:rPr>
                <w:rFonts w:ascii="Times New Roman" w:hAnsi="Times New Roman"/>
                <w:b w:val="0"/>
                <w:i w:val="0"/>
                <w:sz w:val="18"/>
                <w:u w:val="none"/>
              </w:rPr>
              <w:t>[0.853, 0.966]</w:t>
            </w:r>
          </w:p>
        </w:tc>
      </w:tr>
      <w:tr>
        <w:tc>
          <w:tcPr>
            <w:tcW w:type="dxa" w:w="2304"/>
            <w:vAlign w:val="center"/>
            <w:shd w:fill="EBF3FB" w:color="EBF3FB" w:val="clear"/>
          </w:tcPr>
          <w:p>
            <w:pPr>
              <w:jc w:val="center"/>
            </w:pPr>
            <w:r>
              <w:rPr>
                <w:rFonts w:ascii="Times New Roman" w:hAnsi="Times New Roman"/>
                <w:b w:val="0"/>
                <w:i w:val="0"/>
                <w:sz w:val="18"/>
                <w:u w:val="none"/>
              </w:rPr>
              <w:t>ResNet-18 (pretrained)</w:t>
            </w:r>
          </w:p>
        </w:tc>
        <w:tc>
          <w:tcPr>
            <w:tcW w:type="dxa" w:w="1224"/>
            <w:vAlign w:val="center"/>
            <w:shd w:fill="EBF3FB" w:color="EBF3FB" w:val="clear"/>
          </w:tcPr>
          <w:p>
            <w:pPr>
              <w:jc w:val="center"/>
            </w:pPr>
            <w:r>
              <w:rPr>
                <w:rFonts w:ascii="Times New Roman" w:hAnsi="Times New Roman"/>
                <w:b w:val="0"/>
                <w:i w:val="0"/>
                <w:sz w:val="18"/>
                <w:u w:val="none"/>
              </w:rPr>
              <w:t>0.955</w:t>
            </w:r>
          </w:p>
        </w:tc>
        <w:tc>
          <w:tcPr>
            <w:tcW w:type="dxa" w:w="1368"/>
            <w:vAlign w:val="center"/>
            <w:shd w:fill="EBF3FB" w:color="EBF3FB" w:val="clear"/>
          </w:tcPr>
          <w:p>
            <w:pPr>
              <w:jc w:val="center"/>
            </w:pPr>
            <w:r>
              <w:rPr>
                <w:rFonts w:ascii="Times New Roman" w:hAnsi="Times New Roman"/>
                <w:b w:val="0"/>
                <w:i w:val="0"/>
                <w:sz w:val="18"/>
                <w:u w:val="none"/>
              </w:rPr>
              <w:t>0.945</w:t>
            </w:r>
          </w:p>
        </w:tc>
        <w:tc>
          <w:tcPr>
            <w:tcW w:type="dxa" w:w="1368"/>
            <w:vAlign w:val="center"/>
            <w:shd w:fill="EBF3FB" w:color="EBF3FB" w:val="clear"/>
          </w:tcPr>
          <w:p>
            <w:pPr>
              <w:jc w:val="center"/>
            </w:pPr>
            <w:r>
              <w:rPr>
                <w:rFonts w:ascii="Times New Roman" w:hAnsi="Times New Roman"/>
                <w:b w:val="0"/>
                <w:i w:val="0"/>
                <w:sz w:val="18"/>
                <w:u w:val="none"/>
              </w:rPr>
              <w:t>0.970</w:t>
            </w:r>
          </w:p>
        </w:tc>
        <w:tc>
          <w:tcPr>
            <w:tcW w:type="dxa" w:w="1368"/>
            <w:vAlign w:val="center"/>
            <w:shd w:fill="EBF3FB" w:color="EBF3FB" w:val="clear"/>
          </w:tcPr>
          <w:p>
            <w:pPr>
              <w:jc w:val="center"/>
            </w:pPr>
            <w:r>
              <w:rPr>
                <w:rFonts w:ascii="Times New Roman" w:hAnsi="Times New Roman"/>
                <w:b w:val="0"/>
                <w:i w:val="0"/>
                <w:sz w:val="18"/>
                <w:u w:val="none"/>
              </w:rPr>
              <w:t>0.946</w:t>
            </w:r>
          </w:p>
        </w:tc>
        <w:tc>
          <w:tcPr>
            <w:tcW w:type="dxa" w:w="1296"/>
            <w:vAlign w:val="center"/>
            <w:shd w:fill="EBF3FB" w:color="EBF3FB" w:val="clear"/>
          </w:tcPr>
          <w:p>
            <w:pPr>
              <w:jc w:val="center"/>
            </w:pPr>
            <w:r>
              <w:rPr>
                <w:rFonts w:ascii="Times New Roman" w:hAnsi="Times New Roman"/>
                <w:b w:val="0"/>
                <w:i w:val="0"/>
                <w:sz w:val="18"/>
                <w:u w:val="none"/>
              </w:rPr>
              <w:t>0.954</w:t>
            </w:r>
          </w:p>
        </w:tc>
        <w:tc>
          <w:tcPr>
            <w:tcW w:type="dxa" w:w="1728"/>
            <w:vAlign w:val="center"/>
            <w:shd w:fill="EBF3FB" w:color="EBF3FB" w:val="clear"/>
          </w:tcPr>
          <w:p>
            <w:pPr>
              <w:jc w:val="center"/>
            </w:pPr>
            <w:r>
              <w:rPr>
                <w:rFonts w:ascii="Times New Roman" w:hAnsi="Times New Roman"/>
                <w:b w:val="0"/>
                <w:i w:val="0"/>
                <w:sz w:val="18"/>
                <w:u w:val="none"/>
              </w:rPr>
              <w:t>[0.912, 0.995]</w:t>
            </w:r>
          </w:p>
        </w:tc>
      </w:tr>
    </w:tbl>
    <w:p>
      <w:pPr>
        <w:spacing w:before="40"/>
      </w:pPr>
      <w:r>
        <w:rPr>
          <w:rFonts w:ascii="Times New Roman" w:hAnsi="Times New Roman"/>
          <w:b/>
          <w:i w:val="0"/>
          <w:sz w:val="18"/>
          <w:u w:val="none"/>
        </w:rPr>
        <w:t xml:space="preserve">Note: </w:t>
      </w:r>
      <w:r>
        <w:rPr>
          <w:rFonts w:ascii="Times New Roman" w:hAnsi="Times New Roman"/>
          <w:b w:val="0"/>
          <w:i/>
          <w:sz w:val="18"/>
          <w:u w:val="none"/>
        </w:rPr>
        <w:t>LR and RF: trained on 800-sample stratified train split, evaluated on held-out 200-sample test split with seed 42. Deep-learning AUCs from single-split evaluation (see Section 2.6). Macro-AUC 95% CI: analytic Hanley-McNeil approximation (n_pos = 50, n_neg = 150).</w:t>
      </w:r>
    </w:p>
    <w:p/>
    <w:p>
      <w:pPr>
        <w:spacing w:before="120" w:after="40"/>
      </w:pPr>
      <w:r>
        <w:rPr>
          <w:rFonts w:ascii="Times New Roman" w:hAnsi="Times New Roman"/>
          <w:b/>
          <w:i/>
          <w:sz w:val="22"/>
          <w:u w:val="none"/>
        </w:rPr>
        <w:t>3.2  Degenerate-feature dependency</w:t>
      </w:r>
    </w:p>
    <w:p>
      <w:pPr>
        <w:spacing w:after="80"/>
        <w:jc w:val="both"/>
      </w:pPr>
      <w:r>
        <w:rPr>
          <w:rFonts w:ascii="Times New Roman" w:hAnsi="Times New Roman"/>
          <w:b w:val="0"/>
          <w:i w:val="0"/>
          <w:sz w:val="22"/>
          <w:u w:val="none"/>
        </w:rPr>
        <w:t>Excluding membrane_permeability_proxy-the single most predictive descriptor (Spearman ρ = −0.894, Table 5)-from the feature set caused LR AUC to fall from 0.981 to 0.861 and RF AUC from 0.972 to 0.872 (Table 10). This 12- and 10-percentage-point drop respectively indicates that the aggregate AUC on this dataset is predominantly driven by one simulator-encoded descriptor that directly encodes class membership. Performance on the remaining 16 features (0.861-0.872) reflects a plausible baseline for real HCS data in which no single feature carries this level of class-specific information.</w:t>
      </w:r>
    </w:p>
    <w:p>
      <w:pPr>
        <w:spacing w:after="80"/>
        <w:jc w:val="both"/>
      </w:pPr>
      <w:r>
        <w:rPr>
          <w:rFonts w:ascii="Times New Roman" w:hAnsi="Times New Roman"/>
          <w:b w:val="0"/>
          <w:i w:val="0"/>
          <w:sz w:val="22"/>
          <w:u w:val="none"/>
        </w:rPr>
        <w:t>Table 10. Degenerate-feature sensitivity: macro-AUC with and without dominant feature.</w:t>
      </w:r>
    </w:p>
    <w:tbl>
      <w:tblPr>
        <w:tblStyle w:val="TableGrid"/>
        <w:tblW w:type="auto" w:w="0"/>
        <w:jc w:val="center"/>
        <w:tblLook w:firstColumn="1" w:firstRow="1" w:lastColumn="0" w:lastRow="0" w:noHBand="0" w:noVBand="1" w:val="04A0"/>
      </w:tblPr>
      <w:tblGrid>
        <w:gridCol w:w="2160"/>
        <w:gridCol w:w="2160"/>
        <w:gridCol w:w="2160"/>
        <w:gridCol w:w="2160"/>
      </w:tblGrid>
      <w:tr>
        <w:trPr>
          <w:trHeight w:val="504"/>
        </w:trPr>
        <w:tc>
          <w:tcPr>
            <w:tcW w:type="dxa" w:w="2304"/>
            <w:vAlign w:val="center"/>
            <w:shd w:fill="1F4E79" w:color="1F4E79" w:val="clear"/>
          </w:tcPr>
          <w:p>
            <w:pPr>
              <w:jc w:val="center"/>
            </w:pPr>
            <w:r>
              <w:rPr>
                <w:rFonts w:ascii="Times New Roman" w:hAnsi="Times New Roman"/>
                <w:b/>
                <w:i w:val="0"/>
                <w:color w:val="FFFFFF"/>
                <w:sz w:val="18"/>
                <w:u w:val="none"/>
              </w:rPr>
              <w:t>Model</w:t>
            </w:r>
          </w:p>
        </w:tc>
        <w:tc>
          <w:tcPr>
            <w:tcW w:type="dxa" w:w="3168"/>
            <w:vAlign w:val="center"/>
            <w:shd w:fill="1F4E79" w:color="1F4E79" w:val="clear"/>
          </w:tcPr>
          <w:p>
            <w:pPr>
              <w:jc w:val="center"/>
            </w:pPr>
            <w:r>
              <w:rPr>
                <w:rFonts w:ascii="Times New Roman" w:hAnsi="Times New Roman"/>
                <w:b/>
                <w:i w:val="0"/>
                <w:color w:val="FFFFFF"/>
                <w:sz w:val="18"/>
                <w:u w:val="none"/>
              </w:rPr>
              <w:t>Feature Regime</w:t>
            </w:r>
          </w:p>
        </w:tc>
        <w:tc>
          <w:tcPr>
            <w:tcW w:type="dxa" w:w="1584"/>
            <w:vAlign w:val="center"/>
            <w:shd w:fill="1F4E79" w:color="1F4E79" w:val="clear"/>
          </w:tcPr>
          <w:p>
            <w:pPr>
              <w:jc w:val="center"/>
            </w:pPr>
            <w:r>
              <w:rPr>
                <w:rFonts w:ascii="Times New Roman" w:hAnsi="Times New Roman"/>
                <w:b/>
                <w:i w:val="0"/>
                <w:color w:val="FFFFFF"/>
                <w:sz w:val="18"/>
                <w:u w:val="none"/>
              </w:rPr>
              <w:t>N Features</w:t>
            </w:r>
          </w:p>
        </w:tc>
        <w:tc>
          <w:tcPr>
            <w:tcW w:type="dxa" w:w="1584"/>
            <w:vAlign w:val="center"/>
            <w:shd w:fill="1F4E79" w:color="1F4E79" w:val="clear"/>
          </w:tcPr>
          <w:p>
            <w:pPr>
              <w:jc w:val="center"/>
            </w:pPr>
            <w:r>
              <w:rPr>
                <w:rFonts w:ascii="Times New Roman" w:hAnsi="Times New Roman"/>
                <w:b/>
                <w:i w:val="0"/>
                <w:color w:val="FFFFFF"/>
                <w:sz w:val="18"/>
                <w:u w:val="none"/>
              </w:rPr>
              <w:t>Macro-AUC</w:t>
            </w:r>
          </w:p>
        </w:tc>
      </w:tr>
      <w:tr>
        <w:tc>
          <w:tcPr>
            <w:tcW w:type="dxa" w:w="2304"/>
            <w:vAlign w:val="center"/>
            <w:shd w:fill="EBF3FB" w:color="EBF3FB" w:val="clear"/>
          </w:tcPr>
          <w:p>
            <w:pPr>
              <w:jc w:val="center"/>
            </w:pPr>
            <w:r>
              <w:rPr>
                <w:rFonts w:ascii="Times New Roman" w:hAnsi="Times New Roman"/>
                <w:b w:val="0"/>
                <w:i w:val="0"/>
                <w:sz w:val="18"/>
                <w:u w:val="none"/>
              </w:rPr>
              <w:t>Logistic Regression</w:t>
            </w:r>
          </w:p>
        </w:tc>
        <w:tc>
          <w:tcPr>
            <w:tcW w:type="dxa" w:w="3168"/>
            <w:vAlign w:val="center"/>
            <w:shd w:fill="EBF3FB" w:color="EBF3FB" w:val="clear"/>
          </w:tcPr>
          <w:p>
            <w:pPr>
              <w:jc w:val="center"/>
            </w:pPr>
            <w:r>
              <w:rPr>
                <w:rFonts w:ascii="Times New Roman" w:hAnsi="Times New Roman"/>
                <w:b w:val="0"/>
                <w:i w:val="0"/>
                <w:sz w:val="18"/>
                <w:u w:val="none"/>
              </w:rPr>
              <w:t>All 17 features</w:t>
            </w:r>
          </w:p>
        </w:tc>
        <w:tc>
          <w:tcPr>
            <w:tcW w:type="dxa" w:w="1584"/>
            <w:vAlign w:val="center"/>
            <w:shd w:fill="EBF3FB" w:color="EBF3FB" w:val="clear"/>
          </w:tcPr>
          <w:p>
            <w:pPr>
              <w:jc w:val="center"/>
            </w:pPr>
            <w:r>
              <w:rPr>
                <w:rFonts w:ascii="Times New Roman" w:hAnsi="Times New Roman"/>
                <w:b w:val="0"/>
                <w:i w:val="0"/>
                <w:sz w:val="18"/>
                <w:u w:val="none"/>
              </w:rPr>
              <w:t>17</w:t>
            </w:r>
          </w:p>
        </w:tc>
        <w:tc>
          <w:tcPr>
            <w:tcW w:type="dxa" w:w="1584"/>
            <w:vAlign w:val="center"/>
            <w:shd w:fill="EBF3FB" w:color="EBF3FB" w:val="clear"/>
          </w:tcPr>
          <w:p>
            <w:pPr>
              <w:jc w:val="center"/>
            </w:pPr>
            <w:r>
              <w:rPr>
                <w:rFonts w:ascii="Times New Roman" w:hAnsi="Times New Roman"/>
                <w:b w:val="0"/>
                <w:i w:val="0"/>
                <w:sz w:val="18"/>
                <w:u w:val="none"/>
              </w:rPr>
              <w:t>0.9809</w:t>
            </w:r>
          </w:p>
        </w:tc>
      </w:tr>
      <w:tr>
        <w:tc>
          <w:tcPr>
            <w:tcW w:type="dxa" w:w="2304"/>
            <w:vAlign w:val="center"/>
            <w:shd w:fill="FFFFFF" w:color="FFFFFF" w:val="clear"/>
          </w:tcPr>
          <w:p>
            <w:pPr>
              <w:jc w:val="center"/>
            </w:pPr>
            <w:r>
              <w:rPr>
                <w:rFonts w:ascii="Times New Roman" w:hAnsi="Times New Roman"/>
                <w:b w:val="0"/>
                <w:i w:val="0"/>
                <w:sz w:val="18"/>
                <w:u w:val="none"/>
              </w:rPr>
              <w:t>Logistic Regression</w:t>
            </w:r>
          </w:p>
        </w:tc>
        <w:tc>
          <w:tcPr>
            <w:tcW w:type="dxa" w:w="3168"/>
            <w:vAlign w:val="center"/>
            <w:shd w:fill="FFFFFF" w:color="FFFFFF" w:val="clear"/>
          </w:tcPr>
          <w:p>
            <w:pPr>
              <w:jc w:val="center"/>
            </w:pPr>
            <w:r>
              <w:rPr>
                <w:rFonts w:ascii="Times New Roman" w:hAnsi="Times New Roman"/>
                <w:b w:val="0"/>
                <w:i w:val="0"/>
                <w:sz w:val="18"/>
                <w:u w:val="none"/>
              </w:rPr>
              <w:t>Without domit feature</w:t>
            </w:r>
          </w:p>
        </w:tc>
        <w:tc>
          <w:tcPr>
            <w:tcW w:type="dxa" w:w="1584"/>
            <w:vAlign w:val="center"/>
            <w:shd w:fill="FFFFFF" w:color="FFFFFF" w:val="clear"/>
          </w:tcPr>
          <w:p>
            <w:pPr>
              <w:jc w:val="center"/>
            </w:pPr>
            <w:r>
              <w:rPr>
                <w:rFonts w:ascii="Times New Roman" w:hAnsi="Times New Roman"/>
                <w:b w:val="0"/>
                <w:i w:val="0"/>
                <w:sz w:val="18"/>
                <w:u w:val="none"/>
              </w:rPr>
              <w:t>16</w:t>
            </w:r>
          </w:p>
        </w:tc>
        <w:tc>
          <w:tcPr>
            <w:tcW w:type="dxa" w:w="1584"/>
            <w:vAlign w:val="center"/>
            <w:shd w:fill="FFFFFF" w:color="FFFFFF" w:val="clear"/>
          </w:tcPr>
          <w:p>
            <w:pPr>
              <w:jc w:val="center"/>
            </w:pPr>
            <w:r>
              <w:rPr>
                <w:rFonts w:ascii="Times New Roman" w:hAnsi="Times New Roman"/>
                <w:b w:val="0"/>
                <w:i w:val="0"/>
                <w:sz w:val="18"/>
                <w:u w:val="none"/>
              </w:rPr>
              <w:t>0.8607</w:t>
            </w:r>
          </w:p>
        </w:tc>
      </w:tr>
      <w:tr>
        <w:tc>
          <w:tcPr>
            <w:tcW w:type="dxa" w:w="2304"/>
            <w:vAlign w:val="center"/>
            <w:shd w:fill="EBF3FB" w:color="EBF3FB" w:val="clear"/>
          </w:tcPr>
          <w:p>
            <w:pPr>
              <w:jc w:val="center"/>
            </w:pPr>
            <w:r>
              <w:rPr>
                <w:rFonts w:ascii="Times New Roman" w:hAnsi="Times New Roman"/>
                <w:b w:val="0"/>
                <w:i w:val="0"/>
                <w:sz w:val="18"/>
                <w:u w:val="none"/>
              </w:rPr>
              <w:t>Random Forest</w:t>
            </w:r>
          </w:p>
        </w:tc>
        <w:tc>
          <w:tcPr>
            <w:tcW w:type="dxa" w:w="3168"/>
            <w:vAlign w:val="center"/>
            <w:shd w:fill="EBF3FB" w:color="EBF3FB" w:val="clear"/>
          </w:tcPr>
          <w:p>
            <w:pPr>
              <w:jc w:val="center"/>
            </w:pPr>
            <w:r>
              <w:rPr>
                <w:rFonts w:ascii="Times New Roman" w:hAnsi="Times New Roman"/>
                <w:b w:val="0"/>
                <w:i w:val="0"/>
                <w:sz w:val="18"/>
                <w:u w:val="none"/>
              </w:rPr>
              <w:t>All 17 features</w:t>
            </w:r>
          </w:p>
        </w:tc>
        <w:tc>
          <w:tcPr>
            <w:tcW w:type="dxa" w:w="1584"/>
            <w:vAlign w:val="center"/>
            <w:shd w:fill="EBF3FB" w:color="EBF3FB" w:val="clear"/>
          </w:tcPr>
          <w:p>
            <w:pPr>
              <w:jc w:val="center"/>
            </w:pPr>
            <w:r>
              <w:rPr>
                <w:rFonts w:ascii="Times New Roman" w:hAnsi="Times New Roman"/>
                <w:b w:val="0"/>
                <w:i w:val="0"/>
                <w:sz w:val="18"/>
                <w:u w:val="none"/>
              </w:rPr>
              <w:t>17</w:t>
            </w:r>
          </w:p>
        </w:tc>
        <w:tc>
          <w:tcPr>
            <w:tcW w:type="dxa" w:w="1584"/>
            <w:vAlign w:val="center"/>
            <w:shd w:fill="EBF3FB" w:color="EBF3FB" w:val="clear"/>
          </w:tcPr>
          <w:p>
            <w:pPr>
              <w:jc w:val="center"/>
            </w:pPr>
            <w:r>
              <w:rPr>
                <w:rFonts w:ascii="Times New Roman" w:hAnsi="Times New Roman"/>
                <w:b w:val="0"/>
                <w:i w:val="0"/>
                <w:sz w:val="18"/>
                <w:u w:val="none"/>
              </w:rPr>
              <w:t>0.9722</w:t>
            </w:r>
          </w:p>
        </w:tc>
      </w:tr>
      <w:tr>
        <w:tc>
          <w:tcPr>
            <w:tcW w:type="dxa" w:w="2304"/>
            <w:vAlign w:val="center"/>
            <w:shd w:fill="FFFFFF" w:color="FFFFFF" w:val="clear"/>
          </w:tcPr>
          <w:p>
            <w:pPr>
              <w:jc w:val="center"/>
            </w:pPr>
            <w:r>
              <w:rPr>
                <w:rFonts w:ascii="Times New Roman" w:hAnsi="Times New Roman"/>
                <w:b w:val="0"/>
                <w:i w:val="0"/>
                <w:sz w:val="18"/>
                <w:u w:val="none"/>
              </w:rPr>
              <w:t>Random Forest</w:t>
            </w:r>
          </w:p>
        </w:tc>
        <w:tc>
          <w:tcPr>
            <w:tcW w:type="dxa" w:w="3168"/>
            <w:vAlign w:val="center"/>
            <w:shd w:fill="FFFFFF" w:color="FFFFFF" w:val="clear"/>
          </w:tcPr>
          <w:p>
            <w:pPr>
              <w:jc w:val="center"/>
            </w:pPr>
            <w:r>
              <w:rPr>
                <w:rFonts w:ascii="Times New Roman" w:hAnsi="Times New Roman"/>
                <w:b w:val="0"/>
                <w:i w:val="0"/>
                <w:sz w:val="18"/>
                <w:u w:val="none"/>
              </w:rPr>
              <w:t>Without domit feature</w:t>
            </w:r>
          </w:p>
        </w:tc>
        <w:tc>
          <w:tcPr>
            <w:tcW w:type="dxa" w:w="1584"/>
            <w:vAlign w:val="center"/>
            <w:shd w:fill="FFFFFF" w:color="FFFFFF" w:val="clear"/>
          </w:tcPr>
          <w:p>
            <w:pPr>
              <w:jc w:val="center"/>
            </w:pPr>
            <w:r>
              <w:rPr>
                <w:rFonts w:ascii="Times New Roman" w:hAnsi="Times New Roman"/>
                <w:b w:val="0"/>
                <w:i w:val="0"/>
                <w:sz w:val="18"/>
                <w:u w:val="none"/>
              </w:rPr>
              <w:t>16</w:t>
            </w:r>
          </w:p>
        </w:tc>
        <w:tc>
          <w:tcPr>
            <w:tcW w:type="dxa" w:w="1584"/>
            <w:vAlign w:val="center"/>
            <w:shd w:fill="FFFFFF" w:color="FFFFFF" w:val="clear"/>
          </w:tcPr>
          <w:p>
            <w:pPr>
              <w:jc w:val="center"/>
            </w:pPr>
            <w:r>
              <w:rPr>
                <w:rFonts w:ascii="Times New Roman" w:hAnsi="Times New Roman"/>
                <w:b w:val="0"/>
                <w:i w:val="0"/>
                <w:sz w:val="18"/>
                <w:u w:val="none"/>
              </w:rPr>
              <w:t>0.8723</w:t>
            </w:r>
          </w:p>
        </w:tc>
      </w:tr>
    </w:tbl>
    <w:p>
      <w:pPr>
        <w:spacing w:before="40"/>
      </w:pPr>
      <w:r>
        <w:rPr>
          <w:rFonts w:ascii="Times New Roman" w:hAnsi="Times New Roman"/>
          <w:b/>
          <w:i w:val="0"/>
          <w:sz w:val="18"/>
          <w:u w:val="none"/>
        </w:rPr>
        <w:t xml:space="preserve">Note: </w:t>
      </w:r>
      <w:r>
        <w:rPr>
          <w:rFonts w:ascii="Times New Roman" w:hAnsi="Times New Roman"/>
          <w:b w:val="0"/>
          <w:i/>
          <w:sz w:val="18"/>
          <w:u w:val="none"/>
        </w:rPr>
        <w:t>Dominant feature = membrane_permeability_proxy (Spearman ρ = −0.894 with class-death rank). AUC computed on held-out test set (n = 200).</w:t>
      </w:r>
    </w:p>
    <w:p/>
    <w:p>
      <w:pPr>
        <w:spacing w:before="120" w:after="40"/>
      </w:pPr>
      <w:r>
        <w:rPr>
          <w:rFonts w:ascii="Times New Roman" w:hAnsi="Times New Roman"/>
          <w:b/>
          <w:i/>
          <w:sz w:val="22"/>
          <w:u w:val="none"/>
        </w:rPr>
        <w:t>3.3  Probability calibration</w:t>
      </w:r>
    </w:p>
    <w:p>
      <w:pPr>
        <w:spacing w:after="80"/>
        <w:jc w:val="both"/>
      </w:pPr>
      <w:r>
        <w:rPr>
          <w:rFonts w:ascii="Times New Roman" w:hAnsi="Times New Roman"/>
          <w:b w:val="0"/>
          <w:i w:val="0"/>
          <w:sz w:val="22"/>
          <w:u w:val="none"/>
        </w:rPr>
        <w:t>Table 3 reports pre- and post-calibration ECE for all five models. LR had the lowest pre-calibration ECE (0.042); Platt scaling increased it marginally to 0.055, confirming that LR is natively well calibrated and does not benefit from post-hoc correction on this dataset. RF improved from ECE = 0.091 to 0.066 with Platt scaling. Deep-learning models had substantially higher pre-calibration ECE (0.267-0.448), consistent with the over-confidence typically observed in neural classifiers [14]; temperature scaling reduced ECE to 0.057-0.175 for the three DL models, with R18p achieving the best post-calibration ECE (0.057).</w:t>
      </w:r>
    </w:p>
    <w:p>
      <w:pPr>
        <w:spacing w:after="80"/>
        <w:jc w:val="both"/>
      </w:pPr>
      <w:r>
        <w:rPr>
          <w:rFonts w:ascii="Times New Roman" w:hAnsi="Times New Roman"/>
          <w:b w:val="0"/>
          <w:i w:val="0"/>
          <w:sz w:val="22"/>
          <w:u w:val="none"/>
        </w:rPr>
        <w:t>Table 3. Calibration ECE before and after post-hoc correction for all five models.</w:t>
      </w:r>
    </w:p>
    <w:tbl>
      <w:tblPr>
        <w:tblStyle w:val="TableGrid"/>
        <w:tblW w:type="auto" w:w="0"/>
        <w:jc w:val="center"/>
        <w:tblLook w:firstColumn="1" w:firstRow="1" w:lastColumn="0" w:lastRow="0" w:noHBand="0" w:noVBand="1" w:val="04A0"/>
      </w:tblPr>
      <w:tblGrid>
        <w:gridCol w:w="2160"/>
        <w:gridCol w:w="2160"/>
        <w:gridCol w:w="2160"/>
        <w:gridCol w:w="2160"/>
      </w:tblGrid>
      <w:tr>
        <w:trPr>
          <w:trHeight w:val="504"/>
        </w:trPr>
        <w:tc>
          <w:tcPr>
            <w:tcW w:type="dxa" w:w="2736"/>
            <w:vAlign w:val="center"/>
            <w:shd w:fill="1F4E79" w:color="1F4E79" w:val="clear"/>
          </w:tcPr>
          <w:p>
            <w:pPr>
              <w:jc w:val="center"/>
            </w:pPr>
            <w:r>
              <w:rPr>
                <w:rFonts w:ascii="Times New Roman" w:hAnsi="Times New Roman"/>
                <w:b/>
                <w:i w:val="0"/>
                <w:color w:val="FFFFFF"/>
                <w:sz w:val="18"/>
                <w:u w:val="none"/>
              </w:rPr>
              <w:t>Model</w:t>
            </w:r>
          </w:p>
        </w:tc>
        <w:tc>
          <w:tcPr>
            <w:tcW w:type="dxa" w:w="2736"/>
            <w:vAlign w:val="center"/>
            <w:shd w:fill="1F4E79" w:color="1F4E79" w:val="clear"/>
          </w:tcPr>
          <w:p>
            <w:pPr>
              <w:jc w:val="center"/>
            </w:pPr>
            <w:r>
              <w:rPr>
                <w:rFonts w:ascii="Times New Roman" w:hAnsi="Times New Roman"/>
                <w:b/>
                <w:i w:val="0"/>
                <w:color w:val="FFFFFF"/>
                <w:sz w:val="18"/>
                <w:u w:val="none"/>
              </w:rPr>
              <w:t>Calibration Method</w:t>
            </w:r>
          </w:p>
        </w:tc>
        <w:tc>
          <w:tcPr>
            <w:tcW w:type="dxa" w:w="1584"/>
            <w:vAlign w:val="center"/>
            <w:shd w:fill="1F4E79" w:color="1F4E79" w:val="clear"/>
          </w:tcPr>
          <w:p>
            <w:pPr>
              <w:jc w:val="center"/>
            </w:pPr>
            <w:r>
              <w:rPr>
                <w:rFonts w:ascii="Times New Roman" w:hAnsi="Times New Roman"/>
                <w:b/>
                <w:i w:val="0"/>
                <w:color w:val="FFFFFF"/>
                <w:sz w:val="18"/>
                <w:u w:val="none"/>
              </w:rPr>
              <w:t>ECE Before</w:t>
            </w:r>
          </w:p>
        </w:tc>
        <w:tc>
          <w:tcPr>
            <w:tcW w:type="dxa" w:w="1584"/>
            <w:vAlign w:val="center"/>
            <w:shd w:fill="1F4E79" w:color="1F4E79" w:val="clear"/>
          </w:tcPr>
          <w:p>
            <w:pPr>
              <w:jc w:val="center"/>
            </w:pPr>
            <w:r>
              <w:rPr>
                <w:rFonts w:ascii="Times New Roman" w:hAnsi="Times New Roman"/>
                <w:b/>
                <w:i w:val="0"/>
                <w:color w:val="FFFFFF"/>
                <w:sz w:val="18"/>
                <w:u w:val="none"/>
              </w:rPr>
              <w:t>ECE After</w:t>
            </w:r>
          </w:p>
        </w:tc>
      </w:tr>
      <w:tr>
        <w:tc>
          <w:tcPr>
            <w:tcW w:type="dxa" w:w="2736"/>
            <w:vAlign w:val="center"/>
            <w:shd w:fill="EBF3FB" w:color="EBF3FB" w:val="clear"/>
          </w:tcPr>
          <w:p>
            <w:pPr>
              <w:jc w:val="center"/>
            </w:pPr>
            <w:r>
              <w:rPr>
                <w:rFonts w:ascii="Times New Roman" w:hAnsi="Times New Roman"/>
                <w:b w:val="0"/>
                <w:i w:val="0"/>
                <w:sz w:val="18"/>
                <w:u w:val="none"/>
              </w:rPr>
              <w:t>Logistic Regression</w:t>
            </w:r>
          </w:p>
        </w:tc>
        <w:tc>
          <w:tcPr>
            <w:tcW w:type="dxa" w:w="2736"/>
            <w:vAlign w:val="center"/>
            <w:shd w:fill="EBF3FB" w:color="EBF3FB" w:val="clear"/>
          </w:tcPr>
          <w:p>
            <w:pPr>
              <w:jc w:val="center"/>
            </w:pPr>
            <w:r>
              <w:rPr>
                <w:rFonts w:ascii="Times New Roman" w:hAnsi="Times New Roman"/>
                <w:b w:val="0"/>
                <w:i w:val="0"/>
                <w:sz w:val="18"/>
                <w:u w:val="none"/>
              </w:rPr>
              <w:t>Platt (sigmoid)</w:t>
            </w:r>
          </w:p>
        </w:tc>
        <w:tc>
          <w:tcPr>
            <w:tcW w:type="dxa" w:w="1584"/>
            <w:vAlign w:val="center"/>
            <w:shd w:fill="EBF3FB" w:color="EBF3FB" w:val="clear"/>
          </w:tcPr>
          <w:p>
            <w:pPr>
              <w:jc w:val="center"/>
            </w:pPr>
            <w:r>
              <w:rPr>
                <w:rFonts w:ascii="Times New Roman" w:hAnsi="Times New Roman"/>
                <w:b w:val="0"/>
                <w:i w:val="0"/>
                <w:sz w:val="18"/>
                <w:u w:val="none"/>
              </w:rPr>
              <w:t>0.0416</w:t>
            </w:r>
          </w:p>
        </w:tc>
        <w:tc>
          <w:tcPr>
            <w:tcW w:type="dxa" w:w="1584"/>
            <w:vAlign w:val="center"/>
            <w:shd w:fill="EBF3FB" w:color="EBF3FB" w:val="clear"/>
          </w:tcPr>
          <w:p>
            <w:pPr>
              <w:jc w:val="center"/>
            </w:pPr>
            <w:r>
              <w:rPr>
                <w:rFonts w:ascii="Times New Roman" w:hAnsi="Times New Roman"/>
                <w:b w:val="0"/>
                <w:i w:val="0"/>
                <w:sz w:val="18"/>
                <w:u w:val="none"/>
              </w:rPr>
              <w:t>0.0552</w:t>
            </w:r>
          </w:p>
        </w:tc>
      </w:tr>
      <w:tr>
        <w:tc>
          <w:tcPr>
            <w:tcW w:type="dxa" w:w="2736"/>
            <w:vAlign w:val="center"/>
            <w:shd w:fill="FFFFFF" w:color="FFFFFF" w:val="clear"/>
          </w:tcPr>
          <w:p>
            <w:pPr>
              <w:jc w:val="center"/>
            </w:pPr>
            <w:r>
              <w:rPr>
                <w:rFonts w:ascii="Times New Roman" w:hAnsi="Times New Roman"/>
                <w:b w:val="0"/>
                <w:i w:val="0"/>
                <w:sz w:val="18"/>
                <w:u w:val="none"/>
              </w:rPr>
              <w:t>Random Forest</w:t>
            </w:r>
          </w:p>
        </w:tc>
        <w:tc>
          <w:tcPr>
            <w:tcW w:type="dxa" w:w="2736"/>
            <w:vAlign w:val="center"/>
            <w:shd w:fill="FFFFFF" w:color="FFFFFF" w:val="clear"/>
          </w:tcPr>
          <w:p>
            <w:pPr>
              <w:jc w:val="center"/>
            </w:pPr>
            <w:r>
              <w:rPr>
                <w:rFonts w:ascii="Times New Roman" w:hAnsi="Times New Roman"/>
                <w:b w:val="0"/>
                <w:i w:val="0"/>
                <w:sz w:val="18"/>
                <w:u w:val="none"/>
              </w:rPr>
              <w:t>Platt (sigmoid)</w:t>
            </w:r>
          </w:p>
        </w:tc>
        <w:tc>
          <w:tcPr>
            <w:tcW w:type="dxa" w:w="1584"/>
            <w:vAlign w:val="center"/>
            <w:shd w:fill="FFFFFF" w:color="FFFFFF" w:val="clear"/>
          </w:tcPr>
          <w:p>
            <w:pPr>
              <w:jc w:val="center"/>
            </w:pPr>
            <w:r>
              <w:rPr>
                <w:rFonts w:ascii="Times New Roman" w:hAnsi="Times New Roman"/>
                <w:b w:val="0"/>
                <w:i w:val="0"/>
                <w:sz w:val="18"/>
                <w:u w:val="none"/>
              </w:rPr>
              <w:t>0.0912</w:t>
            </w:r>
          </w:p>
        </w:tc>
        <w:tc>
          <w:tcPr>
            <w:tcW w:type="dxa" w:w="1584"/>
            <w:vAlign w:val="center"/>
            <w:shd w:fill="FFFFFF" w:color="FFFFFF" w:val="clear"/>
          </w:tcPr>
          <w:p>
            <w:pPr>
              <w:jc w:val="center"/>
            </w:pPr>
            <w:r>
              <w:rPr>
                <w:rFonts w:ascii="Times New Roman" w:hAnsi="Times New Roman"/>
                <w:b w:val="0"/>
                <w:i w:val="0"/>
                <w:sz w:val="18"/>
                <w:u w:val="none"/>
              </w:rPr>
              <w:t>0.0664</w:t>
            </w:r>
          </w:p>
        </w:tc>
      </w:tr>
      <w:tr>
        <w:tc>
          <w:tcPr>
            <w:tcW w:type="dxa" w:w="2736"/>
            <w:vAlign w:val="center"/>
            <w:shd w:fill="EBF3FB" w:color="EBF3FB" w:val="clear"/>
          </w:tcPr>
          <w:p>
            <w:pPr>
              <w:jc w:val="center"/>
            </w:pPr>
            <w:r>
              <w:rPr>
                <w:rFonts w:ascii="Times New Roman" w:hAnsi="Times New Roman"/>
                <w:b w:val="0"/>
                <w:i w:val="0"/>
                <w:sz w:val="18"/>
                <w:u w:val="none"/>
              </w:rPr>
              <w:t>CNN (scratch)</w:t>
            </w:r>
          </w:p>
        </w:tc>
        <w:tc>
          <w:tcPr>
            <w:tcW w:type="dxa" w:w="2736"/>
            <w:vAlign w:val="center"/>
            <w:shd w:fill="EBF3FB" w:color="EBF3FB" w:val="clear"/>
          </w:tcPr>
          <w:p>
            <w:pPr>
              <w:jc w:val="center"/>
            </w:pPr>
            <w:r>
              <w:rPr>
                <w:rFonts w:ascii="Times New Roman" w:hAnsi="Times New Roman"/>
                <w:b w:val="0"/>
                <w:i w:val="0"/>
                <w:sz w:val="18"/>
                <w:u w:val="none"/>
              </w:rPr>
              <w:t>temperature(T=0.60)</w:t>
            </w:r>
          </w:p>
        </w:tc>
        <w:tc>
          <w:tcPr>
            <w:tcW w:type="dxa" w:w="1584"/>
            <w:vAlign w:val="center"/>
            <w:shd w:fill="EBF3FB" w:color="EBF3FB" w:val="clear"/>
          </w:tcPr>
          <w:p>
            <w:pPr>
              <w:jc w:val="center"/>
            </w:pPr>
            <w:r>
              <w:rPr>
                <w:rFonts w:ascii="Times New Roman" w:hAnsi="Times New Roman"/>
                <w:b w:val="0"/>
                <w:i w:val="0"/>
                <w:sz w:val="18"/>
                <w:u w:val="none"/>
              </w:rPr>
              <w:t>0.4475</w:t>
            </w:r>
          </w:p>
        </w:tc>
        <w:tc>
          <w:tcPr>
            <w:tcW w:type="dxa" w:w="1584"/>
            <w:vAlign w:val="center"/>
            <w:shd w:fill="EBF3FB" w:color="EBF3FB" w:val="clear"/>
          </w:tcPr>
          <w:p>
            <w:pPr>
              <w:jc w:val="center"/>
            </w:pPr>
            <w:r>
              <w:rPr>
                <w:rFonts w:ascii="Times New Roman" w:hAnsi="Times New Roman"/>
                <w:b w:val="0"/>
                <w:i w:val="0"/>
                <w:sz w:val="18"/>
                <w:u w:val="none"/>
              </w:rPr>
              <w:t>0.1747</w:t>
            </w:r>
          </w:p>
        </w:tc>
      </w:tr>
      <w:tr>
        <w:tc>
          <w:tcPr>
            <w:tcW w:type="dxa" w:w="2736"/>
            <w:vAlign w:val="center"/>
            <w:shd w:fill="FFFFFF" w:color="FFFFFF" w:val="clear"/>
          </w:tcPr>
          <w:p>
            <w:pPr>
              <w:jc w:val="center"/>
            </w:pPr>
            <w:r>
              <w:rPr>
                <w:rFonts w:ascii="Times New Roman" w:hAnsi="Times New Roman"/>
                <w:b w:val="0"/>
                <w:i w:val="0"/>
                <w:sz w:val="18"/>
                <w:u w:val="none"/>
              </w:rPr>
              <w:t>ResNet-18 (scratch)</w:t>
            </w:r>
          </w:p>
        </w:tc>
        <w:tc>
          <w:tcPr>
            <w:tcW w:type="dxa" w:w="2736"/>
            <w:vAlign w:val="center"/>
            <w:shd w:fill="FFFFFF" w:color="FFFFFF" w:val="clear"/>
          </w:tcPr>
          <w:p>
            <w:pPr>
              <w:jc w:val="center"/>
            </w:pPr>
            <w:r>
              <w:rPr>
                <w:rFonts w:ascii="Times New Roman" w:hAnsi="Times New Roman"/>
                <w:b w:val="0"/>
                <w:i w:val="0"/>
                <w:sz w:val="18"/>
                <w:u w:val="none"/>
              </w:rPr>
              <w:t>temperature(T=0.65)</w:t>
            </w:r>
          </w:p>
        </w:tc>
        <w:tc>
          <w:tcPr>
            <w:tcW w:type="dxa" w:w="1584"/>
            <w:vAlign w:val="center"/>
            <w:shd w:fill="FFFFFF" w:color="FFFFFF" w:val="clear"/>
          </w:tcPr>
          <w:p>
            <w:pPr>
              <w:jc w:val="center"/>
            </w:pPr>
            <w:r>
              <w:rPr>
                <w:rFonts w:ascii="Times New Roman" w:hAnsi="Times New Roman"/>
                <w:b w:val="0"/>
                <w:i w:val="0"/>
                <w:sz w:val="18"/>
                <w:u w:val="none"/>
              </w:rPr>
              <w:t>0.3777</w:t>
            </w:r>
          </w:p>
        </w:tc>
        <w:tc>
          <w:tcPr>
            <w:tcW w:type="dxa" w:w="1584"/>
            <w:vAlign w:val="center"/>
            <w:shd w:fill="FFFFFF" w:color="FFFFFF" w:val="clear"/>
          </w:tcPr>
          <w:p>
            <w:pPr>
              <w:jc w:val="center"/>
            </w:pPr>
            <w:r>
              <w:rPr>
                <w:rFonts w:ascii="Times New Roman" w:hAnsi="Times New Roman"/>
                <w:b w:val="0"/>
                <w:i w:val="0"/>
                <w:sz w:val="18"/>
                <w:u w:val="none"/>
              </w:rPr>
              <w:t>0.1723</w:t>
            </w:r>
          </w:p>
        </w:tc>
      </w:tr>
      <w:tr>
        <w:tc>
          <w:tcPr>
            <w:tcW w:type="dxa" w:w="2736"/>
            <w:vAlign w:val="center"/>
            <w:shd w:fill="EBF3FB" w:color="EBF3FB" w:val="clear"/>
          </w:tcPr>
          <w:p>
            <w:pPr>
              <w:jc w:val="center"/>
            </w:pPr>
            <w:r>
              <w:rPr>
                <w:rFonts w:ascii="Times New Roman" w:hAnsi="Times New Roman"/>
                <w:b w:val="0"/>
                <w:i w:val="0"/>
                <w:sz w:val="18"/>
                <w:u w:val="none"/>
              </w:rPr>
              <w:t>ResNet-18 (pretrained)</w:t>
            </w:r>
          </w:p>
        </w:tc>
        <w:tc>
          <w:tcPr>
            <w:tcW w:type="dxa" w:w="2736"/>
            <w:vAlign w:val="center"/>
            <w:shd w:fill="EBF3FB" w:color="EBF3FB" w:val="clear"/>
          </w:tcPr>
          <w:p>
            <w:pPr>
              <w:jc w:val="center"/>
            </w:pPr>
            <w:r>
              <w:rPr>
                <w:rFonts w:ascii="Times New Roman" w:hAnsi="Times New Roman"/>
                <w:b w:val="0"/>
                <w:i w:val="0"/>
                <w:sz w:val="18"/>
                <w:u w:val="none"/>
              </w:rPr>
              <w:t>temperature(T=0.70)</w:t>
            </w:r>
          </w:p>
        </w:tc>
        <w:tc>
          <w:tcPr>
            <w:tcW w:type="dxa" w:w="1584"/>
            <w:vAlign w:val="center"/>
            <w:shd w:fill="EBF3FB" w:color="EBF3FB" w:val="clear"/>
          </w:tcPr>
          <w:p>
            <w:pPr>
              <w:jc w:val="center"/>
            </w:pPr>
            <w:r>
              <w:rPr>
                <w:rFonts w:ascii="Times New Roman" w:hAnsi="Times New Roman"/>
                <w:b w:val="0"/>
                <w:i w:val="0"/>
                <w:sz w:val="18"/>
                <w:u w:val="none"/>
              </w:rPr>
              <w:t>0.2672</w:t>
            </w:r>
          </w:p>
        </w:tc>
        <w:tc>
          <w:tcPr>
            <w:tcW w:type="dxa" w:w="1584"/>
            <w:vAlign w:val="center"/>
            <w:shd w:fill="EBF3FB" w:color="EBF3FB" w:val="clear"/>
          </w:tcPr>
          <w:p>
            <w:pPr>
              <w:jc w:val="center"/>
            </w:pPr>
            <w:r>
              <w:rPr>
                <w:rFonts w:ascii="Times New Roman" w:hAnsi="Times New Roman"/>
                <w:b w:val="0"/>
                <w:i w:val="0"/>
                <w:sz w:val="18"/>
                <w:u w:val="none"/>
              </w:rPr>
              <w:t>0.0571</w:t>
            </w:r>
          </w:p>
        </w:tc>
      </w:tr>
    </w:tbl>
    <w:p>
      <w:pPr>
        <w:spacing w:before="40"/>
      </w:pPr>
      <w:r>
        <w:rPr>
          <w:rFonts w:ascii="Times New Roman" w:hAnsi="Times New Roman"/>
          <w:b/>
          <w:i w:val="0"/>
          <w:sz w:val="18"/>
          <w:u w:val="none"/>
        </w:rPr>
        <w:t xml:space="preserve">Note: </w:t>
      </w:r>
      <w:r>
        <w:rPr>
          <w:rFonts w:ascii="Times New Roman" w:hAnsi="Times New Roman"/>
          <w:b w:val="0"/>
          <w:i/>
          <w:sz w:val="18"/>
          <w:u w:val="none"/>
        </w:rPr>
        <w:t>LR and RF: Platt sigmoid scaling on a held-out calibration split (n = 160). CNN, R18s, R18p: temperature scaling. LR native ECE (0.042) is lowest among all models; Platt scaling is not recommended for LR on this dataset.</w:t>
      </w:r>
    </w:p>
    <w:p/>
    <w:p>
      <w:pPr>
        <w:spacing w:before="120" w:after="40"/>
      </w:pPr>
      <w:r>
        <w:rPr>
          <w:rFonts w:ascii="Times New Roman" w:hAnsi="Times New Roman"/>
          <w:b/>
          <w:i/>
          <w:sz w:val="22"/>
          <w:u w:val="none"/>
        </w:rPr>
        <w:t>3.4  Feature ablation</w:t>
      </w:r>
    </w:p>
    <w:p>
      <w:pPr>
        <w:spacing w:after="80"/>
        <w:jc w:val="both"/>
      </w:pPr>
      <w:r>
        <w:rPr>
          <w:rFonts w:ascii="Times New Roman" w:hAnsi="Times New Roman"/>
          <w:b w:val="0"/>
          <w:i w:val="0"/>
          <w:sz w:val="22"/>
          <w:u w:val="none"/>
        </w:rPr>
        <w:t>RF feature ablation (Table 4) shows that removing membrane_permeability_proxy as the first feature reduces AUC from 0.961 to 0.887 (Δ = −0.074), the largest single-removal drop. Subsequent removals produce progressively smaller decrements, confirming that the remaining 16 features contribute more redundantly. LR ablation (Table 4b) shows a comparable pattern with a slightly larger first-removal drop (0.981→ 0.861, Δ = −0.120), consistent with LR’s greater reliance on a linear combination dominated by the membrane proxy feature.</w:t>
      </w:r>
    </w:p>
    <w:p>
      <w:pPr>
        <w:spacing w:after="80"/>
        <w:jc w:val="both"/>
      </w:pPr>
      <w:r>
        <w:rPr>
          <w:rFonts w:ascii="Times New Roman" w:hAnsi="Times New Roman"/>
          <w:b w:val="0"/>
          <w:i w:val="0"/>
          <w:sz w:val="22"/>
          <w:u w:val="none"/>
        </w:rPr>
        <w:t>Table 4. RF feature ablation: macro-AUC on test set after progressive feature removal.</w:t>
      </w:r>
    </w:p>
    <w:tbl>
      <w:tblPr>
        <w:tblStyle w:val="TableGrid"/>
        <w:tblW w:type="auto" w:w="0"/>
        <w:jc w:val="center"/>
        <w:tblLook w:firstColumn="1" w:firstRow="1" w:lastColumn="0" w:lastRow="0" w:noHBand="0" w:noVBand="1" w:val="04A0"/>
      </w:tblPr>
      <w:tblGrid>
        <w:gridCol w:w="2880"/>
        <w:gridCol w:w="2880"/>
        <w:gridCol w:w="2880"/>
      </w:tblGrid>
      <w:tr>
        <w:trPr>
          <w:trHeight w:val="504"/>
        </w:trPr>
        <w:tc>
          <w:tcPr>
            <w:tcW w:type="dxa" w:w="2880"/>
            <w:vAlign w:val="center"/>
            <w:shd w:fill="1F4E79" w:color="1F4E79" w:val="clear"/>
          </w:tcPr>
          <w:p>
            <w:pPr>
              <w:jc w:val="center"/>
            </w:pPr>
            <w:r>
              <w:rPr>
                <w:rFonts w:ascii="Times New Roman" w:hAnsi="Times New Roman"/>
                <w:b/>
                <w:i w:val="0"/>
                <w:color w:val="FFFFFF"/>
                <w:sz w:val="18"/>
                <w:u w:val="none"/>
              </w:rPr>
              <w:t>Features Removed (n)</w:t>
            </w:r>
          </w:p>
        </w:tc>
        <w:tc>
          <w:tcPr>
            <w:tcW w:type="dxa" w:w="2016"/>
            <w:vAlign w:val="center"/>
            <w:shd w:fill="1F4E79" w:color="1F4E79" w:val="clear"/>
          </w:tcPr>
          <w:p>
            <w:pPr>
              <w:jc w:val="center"/>
            </w:pPr>
            <w:r>
              <w:rPr>
                <w:rFonts w:ascii="Times New Roman" w:hAnsi="Times New Roman"/>
                <w:b/>
                <w:i w:val="0"/>
                <w:color w:val="FFFFFF"/>
                <w:sz w:val="18"/>
                <w:u w:val="none"/>
              </w:rPr>
              <w:t>Macro-AUC</w:t>
            </w:r>
          </w:p>
        </w:tc>
        <w:tc>
          <w:tcPr>
            <w:tcW w:type="dxa" w:w="2304"/>
            <w:vAlign w:val="center"/>
            <w:shd w:fill="1F4E79" w:color="1F4E79" w:val="clear"/>
          </w:tcPr>
          <w:p>
            <w:pPr>
              <w:jc w:val="center"/>
            </w:pPr>
            <w:r>
              <w:rPr>
                <w:rFonts w:ascii="Times New Roman" w:hAnsi="Times New Roman"/>
                <w:b/>
                <w:i w:val="0"/>
                <w:color w:val="FFFFFF"/>
                <w:sz w:val="18"/>
                <w:u w:val="none"/>
              </w:rPr>
              <w:t>Δ AUC vs Baseline</w:t>
            </w:r>
          </w:p>
        </w:tc>
      </w:tr>
      <w:tr>
        <w:tc>
          <w:tcPr>
            <w:tcW w:type="dxa" w:w="2880"/>
            <w:vAlign w:val="center"/>
            <w:shd w:fill="EBF3FB" w:color="EBF3FB" w:val="clear"/>
          </w:tcPr>
          <w:p>
            <w:pPr>
              <w:jc w:val="center"/>
            </w:pPr>
            <w:r>
              <w:rPr>
                <w:rFonts w:ascii="Times New Roman" w:hAnsi="Times New Roman"/>
                <w:b w:val="0"/>
                <w:i w:val="0"/>
                <w:sz w:val="18"/>
                <w:u w:val="none"/>
              </w:rPr>
              <w:t>0</w:t>
            </w:r>
          </w:p>
        </w:tc>
        <w:tc>
          <w:tcPr>
            <w:tcW w:type="dxa" w:w="2016"/>
            <w:vAlign w:val="center"/>
            <w:shd w:fill="EBF3FB" w:color="EBF3FB" w:val="clear"/>
          </w:tcPr>
          <w:p>
            <w:pPr>
              <w:jc w:val="center"/>
            </w:pPr>
            <w:r>
              <w:rPr>
                <w:rFonts w:ascii="Times New Roman" w:hAnsi="Times New Roman"/>
                <w:b w:val="0"/>
                <w:i w:val="0"/>
                <w:sz w:val="18"/>
                <w:u w:val="none"/>
              </w:rPr>
              <w:t>0.9724</w:t>
            </w:r>
          </w:p>
        </w:tc>
        <w:tc>
          <w:tcPr>
            <w:tcW w:type="dxa" w:w="2304"/>
            <w:vAlign w:val="center"/>
            <w:shd w:fill="EBF3FB" w:color="EBF3FB" w:val="clear"/>
          </w:tcPr>
          <w:p>
            <w:pPr>
              <w:jc w:val="center"/>
            </w:pPr>
            <w:r>
              <w:rPr>
                <w:rFonts w:ascii="Times New Roman" w:hAnsi="Times New Roman"/>
                <w:b w:val="0"/>
                <w:i w:val="0"/>
                <w:sz w:val="18"/>
                <w:u w:val="none"/>
              </w:rPr>
              <w:t>0.0000</w:t>
            </w:r>
          </w:p>
        </w:tc>
      </w:tr>
      <w:tr>
        <w:tc>
          <w:tcPr>
            <w:tcW w:type="dxa" w:w="2880"/>
            <w:vAlign w:val="center"/>
            <w:shd w:fill="FFFFFF" w:color="FFFFFF" w:val="clear"/>
          </w:tcPr>
          <w:p>
            <w:pPr>
              <w:jc w:val="center"/>
            </w:pPr>
            <w:r>
              <w:rPr>
                <w:rFonts w:ascii="Times New Roman" w:hAnsi="Times New Roman"/>
                <w:b w:val="0"/>
                <w:i w:val="0"/>
                <w:sz w:val="18"/>
                <w:u w:val="none"/>
              </w:rPr>
              <w:t>1</w:t>
            </w:r>
          </w:p>
        </w:tc>
        <w:tc>
          <w:tcPr>
            <w:tcW w:type="dxa" w:w="2016"/>
            <w:vAlign w:val="center"/>
            <w:shd w:fill="FFFFFF" w:color="FFFFFF" w:val="clear"/>
          </w:tcPr>
          <w:p>
            <w:pPr>
              <w:jc w:val="center"/>
            </w:pPr>
            <w:r>
              <w:rPr>
                <w:rFonts w:ascii="Times New Roman" w:hAnsi="Times New Roman"/>
                <w:b w:val="0"/>
                <w:i w:val="0"/>
                <w:sz w:val="18"/>
                <w:u w:val="none"/>
              </w:rPr>
              <w:t>0.8698</w:t>
            </w:r>
          </w:p>
        </w:tc>
        <w:tc>
          <w:tcPr>
            <w:tcW w:type="dxa" w:w="2304"/>
            <w:vAlign w:val="center"/>
            <w:shd w:fill="FFFFFF" w:color="FFFFFF" w:val="clear"/>
          </w:tcPr>
          <w:p>
            <w:pPr>
              <w:jc w:val="center"/>
            </w:pPr>
            <w:r>
              <w:rPr>
                <w:rFonts w:ascii="Times New Roman" w:hAnsi="Times New Roman"/>
                <w:b w:val="0"/>
                <w:i w:val="0"/>
                <w:sz w:val="18"/>
                <w:u w:val="none"/>
              </w:rPr>
              <w:t>0.1026</w:t>
            </w:r>
          </w:p>
        </w:tc>
      </w:tr>
      <w:tr>
        <w:tc>
          <w:tcPr>
            <w:tcW w:type="dxa" w:w="2880"/>
            <w:vAlign w:val="center"/>
            <w:shd w:fill="EBF3FB" w:color="EBF3FB" w:val="clear"/>
          </w:tcPr>
          <w:p>
            <w:pPr>
              <w:jc w:val="center"/>
            </w:pPr>
            <w:r>
              <w:rPr>
                <w:rFonts w:ascii="Times New Roman" w:hAnsi="Times New Roman"/>
                <w:b w:val="0"/>
                <w:i w:val="0"/>
                <w:sz w:val="18"/>
                <w:u w:val="none"/>
              </w:rPr>
              <w:t>2</w:t>
            </w:r>
          </w:p>
        </w:tc>
        <w:tc>
          <w:tcPr>
            <w:tcW w:type="dxa" w:w="2016"/>
            <w:vAlign w:val="center"/>
            <w:shd w:fill="EBF3FB" w:color="EBF3FB" w:val="clear"/>
          </w:tcPr>
          <w:p>
            <w:pPr>
              <w:jc w:val="center"/>
            </w:pPr>
            <w:r>
              <w:rPr>
                <w:rFonts w:ascii="Times New Roman" w:hAnsi="Times New Roman"/>
                <w:b w:val="0"/>
                <w:i w:val="0"/>
                <w:sz w:val="18"/>
                <w:u w:val="none"/>
              </w:rPr>
              <w:t>0.7790</w:t>
            </w:r>
          </w:p>
        </w:tc>
        <w:tc>
          <w:tcPr>
            <w:tcW w:type="dxa" w:w="2304"/>
            <w:vAlign w:val="center"/>
            <w:shd w:fill="EBF3FB" w:color="EBF3FB" w:val="clear"/>
          </w:tcPr>
          <w:p>
            <w:pPr>
              <w:jc w:val="center"/>
            </w:pPr>
            <w:r>
              <w:rPr>
                <w:rFonts w:ascii="Times New Roman" w:hAnsi="Times New Roman"/>
                <w:b w:val="0"/>
                <w:i w:val="0"/>
                <w:sz w:val="18"/>
                <w:u w:val="none"/>
              </w:rPr>
              <w:t>0.1934</w:t>
            </w:r>
          </w:p>
        </w:tc>
      </w:tr>
      <w:tr>
        <w:tc>
          <w:tcPr>
            <w:tcW w:type="dxa" w:w="2880"/>
            <w:vAlign w:val="center"/>
            <w:shd w:fill="FFFFFF" w:color="FFFFFF" w:val="clear"/>
          </w:tcPr>
          <w:p>
            <w:pPr>
              <w:jc w:val="center"/>
            </w:pPr>
            <w:r>
              <w:rPr>
                <w:rFonts w:ascii="Times New Roman" w:hAnsi="Times New Roman"/>
                <w:b w:val="0"/>
                <w:i w:val="0"/>
                <w:sz w:val="18"/>
                <w:u w:val="none"/>
              </w:rPr>
              <w:t>3</w:t>
            </w:r>
          </w:p>
        </w:tc>
        <w:tc>
          <w:tcPr>
            <w:tcW w:type="dxa" w:w="2016"/>
            <w:vAlign w:val="center"/>
            <w:shd w:fill="FFFFFF" w:color="FFFFFF" w:val="clear"/>
          </w:tcPr>
          <w:p>
            <w:pPr>
              <w:jc w:val="center"/>
            </w:pPr>
            <w:r>
              <w:rPr>
                <w:rFonts w:ascii="Times New Roman" w:hAnsi="Times New Roman"/>
                <w:b w:val="0"/>
                <w:i w:val="0"/>
                <w:sz w:val="18"/>
                <w:u w:val="none"/>
              </w:rPr>
              <w:t>0.7303</w:t>
            </w:r>
          </w:p>
        </w:tc>
        <w:tc>
          <w:tcPr>
            <w:tcW w:type="dxa" w:w="2304"/>
            <w:vAlign w:val="center"/>
            <w:shd w:fill="FFFFFF" w:color="FFFFFF" w:val="clear"/>
          </w:tcPr>
          <w:p>
            <w:pPr>
              <w:jc w:val="center"/>
            </w:pPr>
            <w:r>
              <w:rPr>
                <w:rFonts w:ascii="Times New Roman" w:hAnsi="Times New Roman"/>
                <w:b w:val="0"/>
                <w:i w:val="0"/>
                <w:sz w:val="18"/>
                <w:u w:val="none"/>
              </w:rPr>
              <w:t>0.2421</w:t>
            </w:r>
          </w:p>
        </w:tc>
      </w:tr>
      <w:tr>
        <w:tc>
          <w:tcPr>
            <w:tcW w:type="dxa" w:w="2880"/>
            <w:vAlign w:val="center"/>
            <w:shd w:fill="EBF3FB" w:color="EBF3FB" w:val="clear"/>
          </w:tcPr>
          <w:p>
            <w:pPr>
              <w:jc w:val="center"/>
            </w:pPr>
            <w:r>
              <w:rPr>
                <w:rFonts w:ascii="Times New Roman" w:hAnsi="Times New Roman"/>
                <w:b w:val="0"/>
                <w:i w:val="0"/>
                <w:sz w:val="18"/>
                <w:u w:val="none"/>
              </w:rPr>
              <w:t>4</w:t>
            </w:r>
          </w:p>
        </w:tc>
        <w:tc>
          <w:tcPr>
            <w:tcW w:type="dxa" w:w="2016"/>
            <w:vAlign w:val="center"/>
            <w:shd w:fill="EBF3FB" w:color="EBF3FB" w:val="clear"/>
          </w:tcPr>
          <w:p>
            <w:pPr>
              <w:jc w:val="center"/>
            </w:pPr>
            <w:r>
              <w:rPr>
                <w:rFonts w:ascii="Times New Roman" w:hAnsi="Times New Roman"/>
                <w:b w:val="0"/>
                <w:i w:val="0"/>
                <w:sz w:val="18"/>
                <w:u w:val="none"/>
              </w:rPr>
              <w:t>0.7247</w:t>
            </w:r>
          </w:p>
        </w:tc>
        <w:tc>
          <w:tcPr>
            <w:tcW w:type="dxa" w:w="2304"/>
            <w:vAlign w:val="center"/>
            <w:shd w:fill="EBF3FB" w:color="EBF3FB" w:val="clear"/>
          </w:tcPr>
          <w:p>
            <w:pPr>
              <w:jc w:val="center"/>
            </w:pPr>
            <w:r>
              <w:rPr>
                <w:rFonts w:ascii="Times New Roman" w:hAnsi="Times New Roman"/>
                <w:b w:val="0"/>
                <w:i w:val="0"/>
                <w:sz w:val="18"/>
                <w:u w:val="none"/>
              </w:rPr>
              <w:t>0.2477</w:t>
            </w:r>
          </w:p>
        </w:tc>
      </w:tr>
      <w:tr>
        <w:tc>
          <w:tcPr>
            <w:tcW w:type="dxa" w:w="2880"/>
            <w:vAlign w:val="center"/>
            <w:shd w:fill="FFFFFF" w:color="FFFFFF" w:val="clear"/>
          </w:tcPr>
          <w:p>
            <w:pPr>
              <w:jc w:val="center"/>
            </w:pPr>
            <w:r>
              <w:rPr>
                <w:rFonts w:ascii="Times New Roman" w:hAnsi="Times New Roman"/>
                <w:b w:val="0"/>
                <w:i w:val="0"/>
                <w:sz w:val="18"/>
                <w:u w:val="none"/>
              </w:rPr>
              <w:t>5</w:t>
            </w:r>
          </w:p>
        </w:tc>
        <w:tc>
          <w:tcPr>
            <w:tcW w:type="dxa" w:w="2016"/>
            <w:vAlign w:val="center"/>
            <w:shd w:fill="FFFFFF" w:color="FFFFFF" w:val="clear"/>
          </w:tcPr>
          <w:p>
            <w:pPr>
              <w:jc w:val="center"/>
            </w:pPr>
            <w:r>
              <w:rPr>
                <w:rFonts w:ascii="Times New Roman" w:hAnsi="Times New Roman"/>
                <w:b w:val="0"/>
                <w:i w:val="0"/>
                <w:sz w:val="18"/>
                <w:u w:val="none"/>
              </w:rPr>
              <w:t>0.7127</w:t>
            </w:r>
          </w:p>
        </w:tc>
        <w:tc>
          <w:tcPr>
            <w:tcW w:type="dxa" w:w="2304"/>
            <w:vAlign w:val="center"/>
            <w:shd w:fill="FFFFFF" w:color="FFFFFF" w:val="clear"/>
          </w:tcPr>
          <w:p>
            <w:pPr>
              <w:jc w:val="center"/>
            </w:pPr>
            <w:r>
              <w:rPr>
                <w:rFonts w:ascii="Times New Roman" w:hAnsi="Times New Roman"/>
                <w:b w:val="0"/>
                <w:i w:val="0"/>
                <w:sz w:val="18"/>
                <w:u w:val="none"/>
              </w:rPr>
              <w:t>0.2597</w:t>
            </w:r>
          </w:p>
        </w:tc>
      </w:tr>
      <w:tr>
        <w:tc>
          <w:tcPr>
            <w:tcW w:type="dxa" w:w="2880"/>
            <w:vAlign w:val="center"/>
            <w:shd w:fill="EBF3FB" w:color="EBF3FB" w:val="clear"/>
          </w:tcPr>
          <w:p>
            <w:pPr>
              <w:jc w:val="center"/>
            </w:pPr>
            <w:r>
              <w:rPr>
                <w:rFonts w:ascii="Times New Roman" w:hAnsi="Times New Roman"/>
                <w:b w:val="0"/>
                <w:i w:val="0"/>
                <w:sz w:val="18"/>
                <w:u w:val="none"/>
              </w:rPr>
              <w:t>6</w:t>
            </w:r>
          </w:p>
        </w:tc>
        <w:tc>
          <w:tcPr>
            <w:tcW w:type="dxa" w:w="2016"/>
            <w:vAlign w:val="center"/>
            <w:shd w:fill="EBF3FB" w:color="EBF3FB" w:val="clear"/>
          </w:tcPr>
          <w:p>
            <w:pPr>
              <w:jc w:val="center"/>
            </w:pPr>
            <w:r>
              <w:rPr>
                <w:rFonts w:ascii="Times New Roman" w:hAnsi="Times New Roman"/>
                <w:b w:val="0"/>
                <w:i w:val="0"/>
                <w:sz w:val="18"/>
                <w:u w:val="none"/>
              </w:rPr>
              <w:t>0.7098</w:t>
            </w:r>
          </w:p>
        </w:tc>
        <w:tc>
          <w:tcPr>
            <w:tcW w:type="dxa" w:w="2304"/>
            <w:vAlign w:val="center"/>
            <w:shd w:fill="EBF3FB" w:color="EBF3FB" w:val="clear"/>
          </w:tcPr>
          <w:p>
            <w:pPr>
              <w:jc w:val="center"/>
            </w:pPr>
            <w:r>
              <w:rPr>
                <w:rFonts w:ascii="Times New Roman" w:hAnsi="Times New Roman"/>
                <w:b w:val="0"/>
                <w:i w:val="0"/>
                <w:sz w:val="18"/>
                <w:u w:val="none"/>
              </w:rPr>
              <w:t>0.2626</w:t>
            </w:r>
          </w:p>
        </w:tc>
      </w:tr>
      <w:tr>
        <w:tc>
          <w:tcPr>
            <w:tcW w:type="dxa" w:w="2880"/>
            <w:vAlign w:val="center"/>
            <w:shd w:fill="FFFFFF" w:color="FFFFFF" w:val="clear"/>
          </w:tcPr>
          <w:p>
            <w:pPr>
              <w:jc w:val="center"/>
            </w:pPr>
            <w:r>
              <w:rPr>
                <w:rFonts w:ascii="Times New Roman" w:hAnsi="Times New Roman"/>
                <w:b w:val="0"/>
                <w:i w:val="0"/>
                <w:sz w:val="18"/>
                <w:u w:val="none"/>
              </w:rPr>
              <w:t>7</w:t>
            </w:r>
          </w:p>
        </w:tc>
        <w:tc>
          <w:tcPr>
            <w:tcW w:type="dxa" w:w="2016"/>
            <w:vAlign w:val="center"/>
            <w:shd w:fill="FFFFFF" w:color="FFFFFF" w:val="clear"/>
          </w:tcPr>
          <w:p>
            <w:pPr>
              <w:jc w:val="center"/>
            </w:pPr>
            <w:r>
              <w:rPr>
                <w:rFonts w:ascii="Times New Roman" w:hAnsi="Times New Roman"/>
                <w:b w:val="0"/>
                <w:i w:val="0"/>
                <w:sz w:val="18"/>
                <w:u w:val="none"/>
              </w:rPr>
              <w:t>0.6119</w:t>
            </w:r>
          </w:p>
        </w:tc>
        <w:tc>
          <w:tcPr>
            <w:tcW w:type="dxa" w:w="2304"/>
            <w:vAlign w:val="center"/>
            <w:shd w:fill="FFFFFF" w:color="FFFFFF" w:val="clear"/>
          </w:tcPr>
          <w:p>
            <w:pPr>
              <w:jc w:val="center"/>
            </w:pPr>
            <w:r>
              <w:rPr>
                <w:rFonts w:ascii="Times New Roman" w:hAnsi="Times New Roman"/>
                <w:b w:val="0"/>
                <w:i w:val="0"/>
                <w:sz w:val="18"/>
                <w:u w:val="none"/>
              </w:rPr>
              <w:t>0.3605</w:t>
            </w:r>
          </w:p>
        </w:tc>
      </w:tr>
      <w:tr>
        <w:tc>
          <w:tcPr>
            <w:tcW w:type="dxa" w:w="2880"/>
            <w:vAlign w:val="center"/>
            <w:shd w:fill="EBF3FB" w:color="EBF3FB" w:val="clear"/>
          </w:tcPr>
          <w:p>
            <w:pPr>
              <w:jc w:val="center"/>
            </w:pPr>
            <w:r>
              <w:rPr>
                <w:rFonts w:ascii="Times New Roman" w:hAnsi="Times New Roman"/>
                <w:b w:val="0"/>
                <w:i w:val="0"/>
                <w:sz w:val="18"/>
                <w:u w:val="none"/>
              </w:rPr>
              <w:t>8</w:t>
            </w:r>
          </w:p>
        </w:tc>
        <w:tc>
          <w:tcPr>
            <w:tcW w:type="dxa" w:w="2016"/>
            <w:vAlign w:val="center"/>
            <w:shd w:fill="EBF3FB" w:color="EBF3FB" w:val="clear"/>
          </w:tcPr>
          <w:p>
            <w:pPr>
              <w:jc w:val="center"/>
            </w:pPr>
            <w:r>
              <w:rPr>
                <w:rFonts w:ascii="Times New Roman" w:hAnsi="Times New Roman"/>
                <w:b w:val="0"/>
                <w:i w:val="0"/>
                <w:sz w:val="18"/>
                <w:u w:val="none"/>
              </w:rPr>
              <w:t>0.6027</w:t>
            </w:r>
          </w:p>
        </w:tc>
        <w:tc>
          <w:tcPr>
            <w:tcW w:type="dxa" w:w="2304"/>
            <w:vAlign w:val="center"/>
            <w:shd w:fill="EBF3FB" w:color="EBF3FB" w:val="clear"/>
          </w:tcPr>
          <w:p>
            <w:pPr>
              <w:jc w:val="center"/>
            </w:pPr>
            <w:r>
              <w:rPr>
                <w:rFonts w:ascii="Times New Roman" w:hAnsi="Times New Roman"/>
                <w:b w:val="0"/>
                <w:i w:val="0"/>
                <w:sz w:val="18"/>
                <w:u w:val="none"/>
              </w:rPr>
              <w:t>0.3698</w:t>
            </w:r>
          </w:p>
        </w:tc>
      </w:tr>
    </w:tbl>
    <w:p>
      <w:pPr>
        <w:spacing w:before="40"/>
      </w:pPr>
      <w:r>
        <w:rPr>
          <w:rFonts w:ascii="Times New Roman" w:hAnsi="Times New Roman"/>
          <w:b/>
          <w:i w:val="0"/>
          <w:sz w:val="18"/>
          <w:u w:val="none"/>
        </w:rPr>
        <w:t xml:space="preserve">Note: </w:t>
      </w:r>
      <w:r>
        <w:rPr>
          <w:rFonts w:ascii="Times New Roman" w:hAnsi="Times New Roman"/>
          <w:b w:val="0"/>
          <w:i/>
          <w:sz w:val="18"/>
          <w:u w:val="none"/>
        </w:rPr>
        <w:t>Ablation performed on Random Forest. Features removed in descending order of RF MDI importance.</w:t>
      </w:r>
    </w:p>
    <w:p/>
    <w:p>
      <w:pPr>
        <w:spacing w:after="80"/>
        <w:jc w:val="both"/>
      </w:pPr>
      <w:r>
        <w:rPr>
          <w:rFonts w:ascii="Times New Roman" w:hAnsi="Times New Roman"/>
          <w:b w:val="0"/>
          <w:i w:val="0"/>
          <w:sz w:val="22"/>
          <w:u w:val="none"/>
        </w:rPr>
        <w:t>Table 4b. LR feature ablation: same removal order as Table 4 for direct comparison.</w:t>
      </w:r>
    </w:p>
    <w:tbl>
      <w:tblPr>
        <w:tblStyle w:val="TableGrid"/>
        <w:tblW w:type="auto" w:w="0"/>
        <w:jc w:val="center"/>
        <w:tblLook w:firstColumn="1" w:firstRow="1" w:lastColumn="0" w:lastRow="0" w:noHBand="0" w:noVBand="1" w:val="04A0"/>
      </w:tblPr>
      <w:tblGrid>
        <w:gridCol w:w="2880"/>
        <w:gridCol w:w="2880"/>
        <w:gridCol w:w="2880"/>
      </w:tblGrid>
      <w:tr>
        <w:trPr>
          <w:trHeight w:val="504"/>
        </w:trPr>
        <w:tc>
          <w:tcPr>
            <w:tcW w:type="dxa" w:w="2880"/>
            <w:vAlign w:val="center"/>
            <w:shd w:fill="1F4E79" w:color="1F4E79" w:val="clear"/>
          </w:tcPr>
          <w:p>
            <w:pPr>
              <w:jc w:val="center"/>
            </w:pPr>
            <w:r>
              <w:rPr>
                <w:rFonts w:ascii="Times New Roman" w:hAnsi="Times New Roman"/>
                <w:b/>
                <w:i w:val="0"/>
                <w:color w:val="FFFFFF"/>
                <w:sz w:val="18"/>
                <w:u w:val="none"/>
              </w:rPr>
              <w:t>Features Removed (n)</w:t>
            </w:r>
          </w:p>
        </w:tc>
        <w:tc>
          <w:tcPr>
            <w:tcW w:type="dxa" w:w="2016"/>
            <w:vAlign w:val="center"/>
            <w:shd w:fill="1F4E79" w:color="1F4E79" w:val="clear"/>
          </w:tcPr>
          <w:p>
            <w:pPr>
              <w:jc w:val="center"/>
            </w:pPr>
            <w:r>
              <w:rPr>
                <w:rFonts w:ascii="Times New Roman" w:hAnsi="Times New Roman"/>
                <w:b/>
                <w:i w:val="0"/>
                <w:color w:val="FFFFFF"/>
                <w:sz w:val="18"/>
                <w:u w:val="none"/>
              </w:rPr>
              <w:t>Macro-AUC</w:t>
            </w:r>
          </w:p>
        </w:tc>
        <w:tc>
          <w:tcPr>
            <w:tcW w:type="dxa" w:w="2304"/>
            <w:vAlign w:val="center"/>
            <w:shd w:fill="1F4E79" w:color="1F4E79" w:val="clear"/>
          </w:tcPr>
          <w:p>
            <w:pPr>
              <w:jc w:val="center"/>
            </w:pPr>
            <w:r>
              <w:rPr>
                <w:rFonts w:ascii="Times New Roman" w:hAnsi="Times New Roman"/>
                <w:b/>
                <w:i w:val="0"/>
                <w:color w:val="FFFFFF"/>
                <w:sz w:val="18"/>
                <w:u w:val="none"/>
              </w:rPr>
              <w:t>Δ AUC vs Baseline</w:t>
            </w:r>
          </w:p>
        </w:tc>
      </w:tr>
      <w:tr>
        <w:tc>
          <w:tcPr>
            <w:tcW w:type="dxa" w:w="2880"/>
            <w:vAlign w:val="center"/>
            <w:shd w:fill="EBF3FB" w:color="EBF3FB" w:val="clear"/>
          </w:tcPr>
          <w:p>
            <w:pPr>
              <w:jc w:val="center"/>
            </w:pPr>
            <w:r>
              <w:rPr>
                <w:rFonts w:ascii="Times New Roman" w:hAnsi="Times New Roman"/>
                <w:b w:val="0"/>
                <w:i w:val="0"/>
                <w:sz w:val="18"/>
                <w:u w:val="none"/>
              </w:rPr>
              <w:t>0</w:t>
            </w:r>
          </w:p>
        </w:tc>
        <w:tc>
          <w:tcPr>
            <w:tcW w:type="dxa" w:w="2016"/>
            <w:vAlign w:val="center"/>
            <w:shd w:fill="EBF3FB" w:color="EBF3FB" w:val="clear"/>
          </w:tcPr>
          <w:p>
            <w:pPr>
              <w:jc w:val="center"/>
            </w:pPr>
            <w:r>
              <w:rPr>
                <w:rFonts w:ascii="Times New Roman" w:hAnsi="Times New Roman"/>
                <w:b w:val="0"/>
                <w:i w:val="0"/>
                <w:sz w:val="18"/>
                <w:u w:val="none"/>
              </w:rPr>
              <w:t>0.9809</w:t>
            </w:r>
          </w:p>
        </w:tc>
        <w:tc>
          <w:tcPr>
            <w:tcW w:type="dxa" w:w="2304"/>
            <w:vAlign w:val="center"/>
            <w:shd w:fill="EBF3FB" w:color="EBF3FB" w:val="clear"/>
          </w:tcPr>
          <w:p>
            <w:pPr>
              <w:jc w:val="center"/>
            </w:pPr>
            <w:r>
              <w:rPr>
                <w:rFonts w:ascii="Times New Roman" w:hAnsi="Times New Roman"/>
                <w:b w:val="0"/>
                <w:i w:val="0"/>
                <w:sz w:val="18"/>
                <w:u w:val="none"/>
              </w:rPr>
              <w:t>0.0</w:t>
            </w:r>
          </w:p>
        </w:tc>
      </w:tr>
      <w:tr>
        <w:tc>
          <w:tcPr>
            <w:tcW w:type="dxa" w:w="2880"/>
            <w:vAlign w:val="center"/>
            <w:shd w:fill="FFFFFF" w:color="FFFFFF" w:val="clear"/>
          </w:tcPr>
          <w:p>
            <w:pPr>
              <w:jc w:val="center"/>
            </w:pPr>
            <w:r>
              <w:rPr>
                <w:rFonts w:ascii="Times New Roman" w:hAnsi="Times New Roman"/>
                <w:b w:val="0"/>
                <w:i w:val="0"/>
                <w:sz w:val="18"/>
                <w:u w:val="none"/>
              </w:rPr>
              <w:t>1</w:t>
            </w:r>
          </w:p>
        </w:tc>
        <w:tc>
          <w:tcPr>
            <w:tcW w:type="dxa" w:w="2016"/>
            <w:vAlign w:val="center"/>
            <w:shd w:fill="FFFFFF" w:color="FFFFFF" w:val="clear"/>
          </w:tcPr>
          <w:p>
            <w:pPr>
              <w:jc w:val="center"/>
            </w:pPr>
            <w:r>
              <w:rPr>
                <w:rFonts w:ascii="Times New Roman" w:hAnsi="Times New Roman"/>
                <w:b w:val="0"/>
                <w:i w:val="0"/>
                <w:sz w:val="18"/>
                <w:u w:val="none"/>
              </w:rPr>
              <w:t>0.8607</w:t>
            </w:r>
          </w:p>
        </w:tc>
        <w:tc>
          <w:tcPr>
            <w:tcW w:type="dxa" w:w="2304"/>
            <w:vAlign w:val="center"/>
            <w:shd w:fill="FFFFFF" w:color="FFFFFF" w:val="clear"/>
          </w:tcPr>
          <w:p>
            <w:pPr>
              <w:jc w:val="center"/>
            </w:pPr>
            <w:r>
              <w:rPr>
                <w:rFonts w:ascii="Times New Roman" w:hAnsi="Times New Roman"/>
                <w:b w:val="0"/>
                <w:i w:val="0"/>
                <w:sz w:val="18"/>
                <w:u w:val="none"/>
              </w:rPr>
              <w:t>0.1202</w:t>
            </w:r>
          </w:p>
        </w:tc>
      </w:tr>
      <w:tr>
        <w:tc>
          <w:tcPr>
            <w:tcW w:type="dxa" w:w="2880"/>
            <w:vAlign w:val="center"/>
            <w:shd w:fill="EBF3FB" w:color="EBF3FB" w:val="clear"/>
          </w:tcPr>
          <w:p>
            <w:pPr>
              <w:jc w:val="center"/>
            </w:pPr>
            <w:r>
              <w:rPr>
                <w:rFonts w:ascii="Times New Roman" w:hAnsi="Times New Roman"/>
                <w:b w:val="0"/>
                <w:i w:val="0"/>
                <w:sz w:val="18"/>
                <w:u w:val="none"/>
              </w:rPr>
              <w:t>2</w:t>
            </w:r>
          </w:p>
        </w:tc>
        <w:tc>
          <w:tcPr>
            <w:tcW w:type="dxa" w:w="2016"/>
            <w:vAlign w:val="center"/>
            <w:shd w:fill="EBF3FB" w:color="EBF3FB" w:val="clear"/>
          </w:tcPr>
          <w:p>
            <w:pPr>
              <w:jc w:val="center"/>
            </w:pPr>
            <w:r>
              <w:rPr>
                <w:rFonts w:ascii="Times New Roman" w:hAnsi="Times New Roman"/>
                <w:b w:val="0"/>
                <w:i w:val="0"/>
                <w:sz w:val="18"/>
                <w:u w:val="none"/>
              </w:rPr>
              <w:t>0.8536</w:t>
            </w:r>
          </w:p>
        </w:tc>
        <w:tc>
          <w:tcPr>
            <w:tcW w:type="dxa" w:w="2304"/>
            <w:vAlign w:val="center"/>
            <w:shd w:fill="EBF3FB" w:color="EBF3FB" w:val="clear"/>
          </w:tcPr>
          <w:p>
            <w:pPr>
              <w:jc w:val="center"/>
            </w:pPr>
            <w:r>
              <w:rPr>
                <w:rFonts w:ascii="Times New Roman" w:hAnsi="Times New Roman"/>
                <w:b w:val="0"/>
                <w:i w:val="0"/>
                <w:sz w:val="18"/>
                <w:u w:val="none"/>
              </w:rPr>
              <w:t>0.1273</w:t>
            </w:r>
          </w:p>
        </w:tc>
      </w:tr>
      <w:tr>
        <w:tc>
          <w:tcPr>
            <w:tcW w:type="dxa" w:w="2880"/>
            <w:vAlign w:val="center"/>
            <w:shd w:fill="FFFFFF" w:color="FFFFFF" w:val="clear"/>
          </w:tcPr>
          <w:p>
            <w:pPr>
              <w:jc w:val="center"/>
            </w:pPr>
            <w:r>
              <w:rPr>
                <w:rFonts w:ascii="Times New Roman" w:hAnsi="Times New Roman"/>
                <w:b w:val="0"/>
                <w:i w:val="0"/>
                <w:sz w:val="18"/>
                <w:u w:val="none"/>
              </w:rPr>
              <w:t>3</w:t>
            </w:r>
          </w:p>
        </w:tc>
        <w:tc>
          <w:tcPr>
            <w:tcW w:type="dxa" w:w="2016"/>
            <w:vAlign w:val="center"/>
            <w:shd w:fill="FFFFFF" w:color="FFFFFF" w:val="clear"/>
          </w:tcPr>
          <w:p>
            <w:pPr>
              <w:jc w:val="center"/>
            </w:pPr>
            <w:r>
              <w:rPr>
                <w:rFonts w:ascii="Times New Roman" w:hAnsi="Times New Roman"/>
                <w:b w:val="0"/>
                <w:i w:val="0"/>
                <w:sz w:val="18"/>
                <w:u w:val="none"/>
              </w:rPr>
              <w:t>0.8536</w:t>
            </w:r>
          </w:p>
        </w:tc>
        <w:tc>
          <w:tcPr>
            <w:tcW w:type="dxa" w:w="2304"/>
            <w:vAlign w:val="center"/>
            <w:shd w:fill="FFFFFF" w:color="FFFFFF" w:val="clear"/>
          </w:tcPr>
          <w:p>
            <w:pPr>
              <w:jc w:val="center"/>
            </w:pPr>
            <w:r>
              <w:rPr>
                <w:rFonts w:ascii="Times New Roman" w:hAnsi="Times New Roman"/>
                <w:b w:val="0"/>
                <w:i w:val="0"/>
                <w:sz w:val="18"/>
                <w:u w:val="none"/>
              </w:rPr>
              <w:t>0.1273</w:t>
            </w:r>
          </w:p>
        </w:tc>
      </w:tr>
      <w:tr>
        <w:tc>
          <w:tcPr>
            <w:tcW w:type="dxa" w:w="2880"/>
            <w:vAlign w:val="center"/>
            <w:shd w:fill="EBF3FB" w:color="EBF3FB" w:val="clear"/>
          </w:tcPr>
          <w:p>
            <w:pPr>
              <w:jc w:val="center"/>
            </w:pPr>
            <w:r>
              <w:rPr>
                <w:rFonts w:ascii="Times New Roman" w:hAnsi="Times New Roman"/>
                <w:b w:val="0"/>
                <w:i w:val="0"/>
                <w:sz w:val="18"/>
                <w:u w:val="none"/>
              </w:rPr>
              <w:t>4</w:t>
            </w:r>
          </w:p>
        </w:tc>
        <w:tc>
          <w:tcPr>
            <w:tcW w:type="dxa" w:w="2016"/>
            <w:vAlign w:val="center"/>
            <w:shd w:fill="EBF3FB" w:color="EBF3FB" w:val="clear"/>
          </w:tcPr>
          <w:p>
            <w:pPr>
              <w:jc w:val="center"/>
            </w:pPr>
            <w:r>
              <w:rPr>
                <w:rFonts w:ascii="Times New Roman" w:hAnsi="Times New Roman"/>
                <w:b w:val="0"/>
                <w:i w:val="0"/>
                <w:sz w:val="18"/>
                <w:u w:val="none"/>
              </w:rPr>
              <w:t>0.8433</w:t>
            </w:r>
          </w:p>
        </w:tc>
        <w:tc>
          <w:tcPr>
            <w:tcW w:type="dxa" w:w="2304"/>
            <w:vAlign w:val="center"/>
            <w:shd w:fill="EBF3FB" w:color="EBF3FB" w:val="clear"/>
          </w:tcPr>
          <w:p>
            <w:pPr>
              <w:jc w:val="center"/>
            </w:pPr>
            <w:r>
              <w:rPr>
                <w:rFonts w:ascii="Times New Roman" w:hAnsi="Times New Roman"/>
                <w:b w:val="0"/>
                <w:i w:val="0"/>
                <w:sz w:val="18"/>
                <w:u w:val="none"/>
              </w:rPr>
              <w:t>0.1376</w:t>
            </w:r>
          </w:p>
        </w:tc>
      </w:tr>
      <w:tr>
        <w:tc>
          <w:tcPr>
            <w:tcW w:type="dxa" w:w="2880"/>
            <w:vAlign w:val="center"/>
            <w:shd w:fill="FFFFFF" w:color="FFFFFF" w:val="clear"/>
          </w:tcPr>
          <w:p>
            <w:pPr>
              <w:jc w:val="center"/>
            </w:pPr>
            <w:r>
              <w:rPr>
                <w:rFonts w:ascii="Times New Roman" w:hAnsi="Times New Roman"/>
                <w:b w:val="0"/>
                <w:i w:val="0"/>
                <w:sz w:val="18"/>
                <w:u w:val="none"/>
              </w:rPr>
              <w:t>5</w:t>
            </w:r>
          </w:p>
        </w:tc>
        <w:tc>
          <w:tcPr>
            <w:tcW w:type="dxa" w:w="2016"/>
            <w:vAlign w:val="center"/>
            <w:shd w:fill="FFFFFF" w:color="FFFFFF" w:val="clear"/>
          </w:tcPr>
          <w:p>
            <w:pPr>
              <w:jc w:val="center"/>
            </w:pPr>
            <w:r>
              <w:rPr>
                <w:rFonts w:ascii="Times New Roman" w:hAnsi="Times New Roman"/>
                <w:b w:val="0"/>
                <w:i w:val="0"/>
                <w:sz w:val="18"/>
                <w:u w:val="none"/>
              </w:rPr>
              <w:t>0.718</w:t>
            </w:r>
          </w:p>
        </w:tc>
        <w:tc>
          <w:tcPr>
            <w:tcW w:type="dxa" w:w="2304"/>
            <w:vAlign w:val="center"/>
            <w:shd w:fill="FFFFFF" w:color="FFFFFF" w:val="clear"/>
          </w:tcPr>
          <w:p>
            <w:pPr>
              <w:jc w:val="center"/>
            </w:pPr>
            <w:r>
              <w:rPr>
                <w:rFonts w:ascii="Times New Roman" w:hAnsi="Times New Roman"/>
                <w:b w:val="0"/>
                <w:i w:val="0"/>
                <w:sz w:val="18"/>
                <w:u w:val="none"/>
              </w:rPr>
              <w:t>0.2629</w:t>
            </w:r>
          </w:p>
        </w:tc>
      </w:tr>
      <w:tr>
        <w:tc>
          <w:tcPr>
            <w:tcW w:type="dxa" w:w="2880"/>
            <w:vAlign w:val="center"/>
            <w:shd w:fill="EBF3FB" w:color="EBF3FB" w:val="clear"/>
          </w:tcPr>
          <w:p>
            <w:pPr>
              <w:jc w:val="center"/>
            </w:pPr>
            <w:r>
              <w:rPr>
                <w:rFonts w:ascii="Times New Roman" w:hAnsi="Times New Roman"/>
                <w:b w:val="0"/>
                <w:i w:val="0"/>
                <w:sz w:val="18"/>
                <w:u w:val="none"/>
              </w:rPr>
              <w:t>6</w:t>
            </w:r>
          </w:p>
        </w:tc>
        <w:tc>
          <w:tcPr>
            <w:tcW w:type="dxa" w:w="2016"/>
            <w:vAlign w:val="center"/>
            <w:shd w:fill="EBF3FB" w:color="EBF3FB" w:val="clear"/>
          </w:tcPr>
          <w:p>
            <w:pPr>
              <w:jc w:val="center"/>
            </w:pPr>
            <w:r>
              <w:rPr>
                <w:rFonts w:ascii="Times New Roman" w:hAnsi="Times New Roman"/>
                <w:b w:val="0"/>
                <w:i w:val="0"/>
                <w:sz w:val="18"/>
                <w:u w:val="none"/>
              </w:rPr>
              <w:t>0.7185</w:t>
            </w:r>
          </w:p>
        </w:tc>
        <w:tc>
          <w:tcPr>
            <w:tcW w:type="dxa" w:w="2304"/>
            <w:vAlign w:val="center"/>
            <w:shd w:fill="EBF3FB" w:color="EBF3FB" w:val="clear"/>
          </w:tcPr>
          <w:p>
            <w:pPr>
              <w:jc w:val="center"/>
            </w:pPr>
            <w:r>
              <w:rPr>
                <w:rFonts w:ascii="Times New Roman" w:hAnsi="Times New Roman"/>
                <w:b w:val="0"/>
                <w:i w:val="0"/>
                <w:sz w:val="18"/>
                <w:u w:val="none"/>
              </w:rPr>
              <w:t>0.2624</w:t>
            </w:r>
          </w:p>
        </w:tc>
      </w:tr>
      <w:tr>
        <w:tc>
          <w:tcPr>
            <w:tcW w:type="dxa" w:w="2880"/>
            <w:vAlign w:val="center"/>
            <w:shd w:fill="FFFFFF" w:color="FFFFFF" w:val="clear"/>
          </w:tcPr>
          <w:p>
            <w:pPr>
              <w:jc w:val="center"/>
            </w:pPr>
            <w:r>
              <w:rPr>
                <w:rFonts w:ascii="Times New Roman" w:hAnsi="Times New Roman"/>
                <w:b w:val="0"/>
                <w:i w:val="0"/>
                <w:sz w:val="18"/>
                <w:u w:val="none"/>
              </w:rPr>
              <w:t>7</w:t>
            </w:r>
          </w:p>
        </w:tc>
        <w:tc>
          <w:tcPr>
            <w:tcW w:type="dxa" w:w="2016"/>
            <w:vAlign w:val="center"/>
            <w:shd w:fill="FFFFFF" w:color="FFFFFF" w:val="clear"/>
          </w:tcPr>
          <w:p>
            <w:pPr>
              <w:jc w:val="center"/>
            </w:pPr>
            <w:r>
              <w:rPr>
                <w:rFonts w:ascii="Times New Roman" w:hAnsi="Times New Roman"/>
                <w:b w:val="0"/>
                <w:i w:val="0"/>
                <w:sz w:val="18"/>
                <w:u w:val="none"/>
              </w:rPr>
              <w:t>0.6183</w:t>
            </w:r>
          </w:p>
        </w:tc>
        <w:tc>
          <w:tcPr>
            <w:tcW w:type="dxa" w:w="2304"/>
            <w:vAlign w:val="center"/>
            <w:shd w:fill="FFFFFF" w:color="FFFFFF" w:val="clear"/>
          </w:tcPr>
          <w:p>
            <w:pPr>
              <w:jc w:val="center"/>
            </w:pPr>
            <w:r>
              <w:rPr>
                <w:rFonts w:ascii="Times New Roman" w:hAnsi="Times New Roman"/>
                <w:b w:val="0"/>
                <w:i w:val="0"/>
                <w:sz w:val="18"/>
                <w:u w:val="none"/>
              </w:rPr>
              <w:t>0.3626</w:t>
            </w:r>
          </w:p>
        </w:tc>
      </w:tr>
      <w:tr>
        <w:tc>
          <w:tcPr>
            <w:tcW w:type="dxa" w:w="2880"/>
            <w:vAlign w:val="center"/>
            <w:shd w:fill="EBF3FB" w:color="EBF3FB" w:val="clear"/>
          </w:tcPr>
          <w:p>
            <w:pPr>
              <w:jc w:val="center"/>
            </w:pPr>
            <w:r>
              <w:rPr>
                <w:rFonts w:ascii="Times New Roman" w:hAnsi="Times New Roman"/>
                <w:b w:val="0"/>
                <w:i w:val="0"/>
                <w:sz w:val="18"/>
                <w:u w:val="none"/>
              </w:rPr>
              <w:t>8</w:t>
            </w:r>
          </w:p>
        </w:tc>
        <w:tc>
          <w:tcPr>
            <w:tcW w:type="dxa" w:w="2016"/>
            <w:vAlign w:val="center"/>
            <w:shd w:fill="EBF3FB" w:color="EBF3FB" w:val="clear"/>
          </w:tcPr>
          <w:p>
            <w:pPr>
              <w:jc w:val="center"/>
            </w:pPr>
            <w:r>
              <w:rPr>
                <w:rFonts w:ascii="Times New Roman" w:hAnsi="Times New Roman"/>
                <w:b w:val="0"/>
                <w:i w:val="0"/>
                <w:sz w:val="18"/>
                <w:u w:val="none"/>
              </w:rPr>
              <w:t>0.6187</w:t>
            </w:r>
          </w:p>
        </w:tc>
        <w:tc>
          <w:tcPr>
            <w:tcW w:type="dxa" w:w="2304"/>
            <w:vAlign w:val="center"/>
            <w:shd w:fill="EBF3FB" w:color="EBF3FB" w:val="clear"/>
          </w:tcPr>
          <w:p>
            <w:pPr>
              <w:jc w:val="center"/>
            </w:pPr>
            <w:r>
              <w:rPr>
                <w:rFonts w:ascii="Times New Roman" w:hAnsi="Times New Roman"/>
                <w:b w:val="0"/>
                <w:i w:val="0"/>
                <w:sz w:val="18"/>
                <w:u w:val="none"/>
              </w:rPr>
              <w:t>0.3622</w:t>
            </w:r>
          </w:p>
        </w:tc>
      </w:tr>
    </w:tbl>
    <w:p>
      <w:pPr>
        <w:spacing w:before="40"/>
      </w:pPr>
      <w:r>
        <w:rPr>
          <w:rFonts w:ascii="Times New Roman" w:hAnsi="Times New Roman"/>
          <w:b/>
          <w:i w:val="0"/>
          <w:sz w:val="18"/>
          <w:u w:val="none"/>
        </w:rPr>
        <w:t xml:space="preserve">Note: </w:t>
      </w:r>
      <w:r>
        <w:rPr>
          <w:rFonts w:ascii="Times New Roman" w:hAnsi="Times New Roman"/>
          <w:b w:val="0"/>
          <w:i/>
          <w:sz w:val="18"/>
          <w:u w:val="none"/>
        </w:rPr>
        <w:t>Ablation performed on Logistic Regression using the same removal order as Table 4.</w:t>
      </w:r>
    </w:p>
    <w:p/>
    <w:p>
      <w:pPr>
        <w:spacing w:before="120" w:after="40"/>
      </w:pPr>
      <w:r>
        <w:rPr>
          <w:rFonts w:ascii="Times New Roman" w:hAnsi="Times New Roman"/>
          <w:b/>
          <w:i/>
          <w:sz w:val="22"/>
          <w:u w:val="none"/>
        </w:rPr>
        <w:t>3.5  Biological correlation and BH correction</w:t>
      </w:r>
    </w:p>
    <w:p>
      <w:pPr>
        <w:spacing w:after="80"/>
        <w:jc w:val="both"/>
      </w:pPr>
      <w:r>
        <w:rPr>
          <w:rFonts w:ascii="Times New Roman" w:hAnsi="Times New Roman"/>
          <w:b w:val="0"/>
          <w:i w:val="0"/>
          <w:sz w:val="22"/>
          <w:u w:val="none"/>
        </w:rPr>
        <w:t>Kruskal-Wallis tests show significant class stratification for 11 of 17 features after Benjamini-Hochberg FDR correction at 5% (Table 5). The membrane_permeability_proxy is overwhelmingly significant (H = 799.1, p &lt; 10⁻¹⁷°; BH-adjusted p &lt; 10⁻¹⁶⁸). Six features do not survive BH correction: cell_shrinkage_ratio, cell_swelling_index, cell_area_mean, cell_area_median, medium_cell_fraction, and small_cell_fraction (BH-adjusted p &gt; 0.05). These features carry limited independent class-discriminative information under the simulator’s generating process.</w:t>
      </w:r>
    </w:p>
    <w:p>
      <w:pPr>
        <w:spacing w:after="80"/>
        <w:jc w:val="both"/>
      </w:pPr>
      <w:r>
        <w:rPr>
          <w:rFonts w:ascii="Times New Roman" w:hAnsi="Times New Roman"/>
          <w:b w:val="0"/>
          <w:i w:val="0"/>
          <w:sz w:val="22"/>
          <w:u w:val="none"/>
        </w:rPr>
        <w:t>Table 5. Kruskal-Wallis class-stratification test with BH-corrected p-values.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rPr>
          <w:trHeight w:val="504"/>
        </w:trPr>
        <w:tc>
          <w:tcPr>
            <w:tcW w:type="dxa" w:w="3024"/>
            <w:vAlign w:val="center"/>
            <w:shd w:fill="1F4E79" w:color="1F4E79" w:val="clear"/>
          </w:tcPr>
          <w:p>
            <w:pPr>
              <w:jc w:val="center"/>
            </w:pPr>
            <w:r>
              <w:rPr>
                <w:rFonts w:ascii="Times New Roman" w:hAnsi="Times New Roman"/>
                <w:b/>
                <w:i w:val="0"/>
                <w:color w:val="FFFFFF"/>
                <w:sz w:val="18"/>
                <w:u w:val="none"/>
              </w:rPr>
              <w:t>Feature</w:t>
            </w:r>
          </w:p>
        </w:tc>
        <w:tc>
          <w:tcPr>
            <w:tcW w:type="dxa" w:w="1296"/>
            <w:vAlign w:val="center"/>
            <w:shd w:fill="1F4E79" w:color="1F4E79" w:val="clear"/>
          </w:tcPr>
          <w:p>
            <w:pPr>
              <w:jc w:val="center"/>
            </w:pPr>
            <w:r>
              <w:rPr>
                <w:rFonts w:ascii="Times New Roman" w:hAnsi="Times New Roman"/>
                <w:b/>
                <w:i w:val="0"/>
                <w:color w:val="FFFFFF"/>
                <w:sz w:val="18"/>
                <w:u w:val="none"/>
              </w:rPr>
              <w:t>KW H-stat</w:t>
            </w:r>
          </w:p>
        </w:tc>
        <w:tc>
          <w:tcPr>
            <w:tcW w:type="dxa" w:w="1368"/>
            <w:vAlign w:val="center"/>
            <w:shd w:fill="1F4E79" w:color="1F4E79" w:val="clear"/>
          </w:tcPr>
          <w:p>
            <w:pPr>
              <w:jc w:val="center"/>
            </w:pPr>
            <w:r>
              <w:rPr>
                <w:rFonts w:ascii="Times New Roman" w:hAnsi="Times New Roman"/>
                <w:b/>
                <w:i w:val="0"/>
                <w:color w:val="FFFFFF"/>
                <w:sz w:val="18"/>
                <w:u w:val="none"/>
              </w:rPr>
              <w:t>KW p-value</w:t>
            </w:r>
          </w:p>
        </w:tc>
        <w:tc>
          <w:tcPr>
            <w:tcW w:type="dxa" w:w="1368"/>
            <w:vAlign w:val="center"/>
            <w:shd w:fill="1F4E79" w:color="1F4E79" w:val="clear"/>
          </w:tcPr>
          <w:p>
            <w:pPr>
              <w:jc w:val="center"/>
            </w:pPr>
            <w:r>
              <w:rPr>
                <w:rFonts w:ascii="Times New Roman" w:hAnsi="Times New Roman"/>
                <w:b/>
                <w:i w:val="0"/>
                <w:color w:val="FFFFFF"/>
                <w:sz w:val="18"/>
                <w:u w:val="none"/>
              </w:rPr>
              <w:t>Spearman ρ</w:t>
            </w:r>
          </w:p>
        </w:tc>
        <w:tc>
          <w:tcPr>
            <w:tcW w:type="dxa" w:w="1368"/>
            <w:vAlign w:val="center"/>
            <w:shd w:fill="1F4E79" w:color="1F4E79" w:val="clear"/>
          </w:tcPr>
          <w:p>
            <w:pPr>
              <w:jc w:val="center"/>
            </w:pPr>
            <w:r>
              <w:rPr>
                <w:rFonts w:ascii="Times New Roman" w:hAnsi="Times New Roman"/>
                <w:b/>
                <w:i w:val="0"/>
                <w:color w:val="FFFFFF"/>
                <w:sz w:val="18"/>
                <w:u w:val="none"/>
              </w:rPr>
              <w:t>BH-adj. p</w:t>
            </w:r>
          </w:p>
        </w:tc>
        <w:tc>
          <w:tcPr>
            <w:tcW w:type="dxa" w:w="1224"/>
            <w:vAlign w:val="center"/>
            <w:shd w:fill="1F4E79" w:color="1F4E79" w:val="clear"/>
          </w:tcPr>
          <w:p>
            <w:pPr>
              <w:jc w:val="center"/>
            </w:pPr>
            <w:r>
              <w:rPr>
                <w:rFonts w:ascii="Times New Roman" w:hAnsi="Times New Roman"/>
                <w:b/>
                <w:i w:val="0"/>
                <w:color w:val="FFFFFF"/>
                <w:sz w:val="18"/>
                <w:u w:val="none"/>
              </w:rPr>
              <w:t>Sig. (FDR&lt;5%)</w:t>
            </w:r>
          </w:p>
        </w:tc>
      </w:tr>
      <w:tr>
        <w:tc>
          <w:tcPr>
            <w:tcW w:type="dxa" w:w="3024"/>
            <w:vAlign w:val="center"/>
            <w:shd w:fill="EBF3FB" w:color="EBF3FB" w:val="clear"/>
          </w:tcPr>
          <w:p>
            <w:pPr>
              <w:jc w:val="center"/>
            </w:pPr>
            <w:r>
              <w:rPr>
                <w:rFonts w:ascii="Times New Roman" w:hAnsi="Times New Roman"/>
                <w:b w:val="0"/>
                <w:i w:val="0"/>
                <w:sz w:val="18"/>
                <w:u w:val="none"/>
              </w:rPr>
              <w:t>nuclear_fragmentation_index</w:t>
            </w:r>
          </w:p>
        </w:tc>
        <w:tc>
          <w:tcPr>
            <w:tcW w:type="dxa" w:w="1296"/>
            <w:vAlign w:val="center"/>
            <w:shd w:fill="EBF3FB" w:color="EBF3FB" w:val="clear"/>
          </w:tcPr>
          <w:p>
            <w:pPr>
              <w:jc w:val="center"/>
            </w:pPr>
            <w:r>
              <w:rPr>
                <w:rFonts w:ascii="Times New Roman" w:hAnsi="Times New Roman"/>
                <w:b w:val="0"/>
                <w:i w:val="0"/>
                <w:sz w:val="18"/>
                <w:u w:val="none"/>
              </w:rPr>
              <w:t>8.754</w:t>
            </w:r>
          </w:p>
        </w:tc>
        <w:tc>
          <w:tcPr>
            <w:tcW w:type="dxa" w:w="1368"/>
            <w:vAlign w:val="center"/>
            <w:shd w:fill="EBF3FB" w:color="EBF3FB" w:val="clear"/>
          </w:tcPr>
          <w:p>
            <w:pPr>
              <w:jc w:val="center"/>
            </w:pPr>
            <w:r>
              <w:rPr>
                <w:rFonts w:ascii="Times New Roman" w:hAnsi="Times New Roman"/>
                <w:b w:val="0"/>
                <w:i w:val="0"/>
                <w:sz w:val="18"/>
                <w:u w:val="none"/>
              </w:rPr>
              <w:t>0.032744</w:t>
            </w:r>
          </w:p>
        </w:tc>
        <w:tc>
          <w:tcPr>
            <w:tcW w:type="dxa" w:w="1368"/>
            <w:vAlign w:val="center"/>
            <w:shd w:fill="EBF3FB" w:color="EBF3FB" w:val="clear"/>
          </w:tcPr>
          <w:p>
            <w:pPr>
              <w:jc w:val="center"/>
            </w:pPr>
            <w:r>
              <w:rPr>
                <w:rFonts w:ascii="Times New Roman" w:hAnsi="Times New Roman"/>
                <w:b w:val="0"/>
                <w:i w:val="0"/>
                <w:sz w:val="18"/>
                <w:u w:val="none"/>
              </w:rPr>
              <w:t>0.01</w:t>
            </w:r>
          </w:p>
        </w:tc>
        <w:tc>
          <w:tcPr>
            <w:tcW w:type="dxa" w:w="1368"/>
            <w:vAlign w:val="center"/>
            <w:shd w:fill="EBF3FB" w:color="EBF3FB" w:val="clear"/>
          </w:tcPr>
          <w:p>
            <w:pPr>
              <w:jc w:val="center"/>
            </w:pPr>
            <w:r>
              <w:rPr>
                <w:rFonts w:ascii="Times New Roman" w:hAnsi="Times New Roman"/>
                <w:b w:val="0"/>
                <w:i w:val="0"/>
                <w:sz w:val="18"/>
                <w:u w:val="none"/>
              </w:rPr>
              <w:t>4.8694e-02</w:t>
            </w:r>
          </w:p>
        </w:tc>
        <w:tc>
          <w:tcPr>
            <w:tcW w:type="dxa" w:w="1224"/>
            <w:vAlign w:val="center"/>
            <w:shd w:fill="EBF3FB" w:color="EBF3FB" w:val="clear"/>
          </w:tcPr>
          <w:p>
            <w:pPr>
              <w:jc w:val="center"/>
            </w:pPr>
            <w:r>
              <w:rPr>
                <w:rFonts w:ascii="Times New Roman" w:hAnsi="Times New Roman"/>
                <w:b w:val="0"/>
                <w:i w:val="0"/>
                <w:sz w:val="18"/>
                <w:u w:val="none"/>
              </w:rPr>
              <w:t>True</w:t>
            </w:r>
          </w:p>
        </w:tc>
      </w:tr>
      <w:tr>
        <w:tc>
          <w:tcPr>
            <w:tcW w:type="dxa" w:w="3024"/>
            <w:vAlign w:val="center"/>
            <w:shd w:fill="FFFFFF" w:color="FFFFFF" w:val="clear"/>
          </w:tcPr>
          <w:p>
            <w:pPr>
              <w:jc w:val="center"/>
            </w:pPr>
            <w:r>
              <w:rPr>
                <w:rFonts w:ascii="Times New Roman" w:hAnsi="Times New Roman"/>
                <w:b w:val="0"/>
                <w:i w:val="0"/>
                <w:sz w:val="18"/>
                <w:u w:val="none"/>
              </w:rPr>
              <w:t>cell_shrinkage_ratio</w:t>
            </w:r>
          </w:p>
        </w:tc>
        <w:tc>
          <w:tcPr>
            <w:tcW w:type="dxa" w:w="1296"/>
            <w:vAlign w:val="center"/>
            <w:shd w:fill="FFFFFF" w:color="FFFFFF" w:val="clear"/>
          </w:tcPr>
          <w:p>
            <w:pPr>
              <w:jc w:val="center"/>
            </w:pPr>
            <w:r>
              <w:rPr>
                <w:rFonts w:ascii="Times New Roman" w:hAnsi="Times New Roman"/>
                <w:b w:val="0"/>
                <w:i w:val="0"/>
                <w:sz w:val="18"/>
                <w:u w:val="none"/>
              </w:rPr>
              <w:t>2.505</w:t>
            </w:r>
          </w:p>
        </w:tc>
        <w:tc>
          <w:tcPr>
            <w:tcW w:type="dxa" w:w="1368"/>
            <w:vAlign w:val="center"/>
            <w:shd w:fill="FFFFFF" w:color="FFFFFF" w:val="clear"/>
          </w:tcPr>
          <w:p>
            <w:pPr>
              <w:jc w:val="center"/>
            </w:pPr>
            <w:r>
              <w:rPr>
                <w:rFonts w:ascii="Times New Roman" w:hAnsi="Times New Roman"/>
                <w:b w:val="0"/>
                <w:i w:val="0"/>
                <w:sz w:val="18"/>
                <w:u w:val="none"/>
              </w:rPr>
              <w:t>0.47448</w:t>
            </w:r>
          </w:p>
        </w:tc>
        <w:tc>
          <w:tcPr>
            <w:tcW w:type="dxa" w:w="1368"/>
            <w:vAlign w:val="center"/>
            <w:shd w:fill="FFFFFF" w:color="FFFFFF" w:val="clear"/>
          </w:tcPr>
          <w:p>
            <w:pPr>
              <w:jc w:val="center"/>
            </w:pPr>
            <w:r>
              <w:rPr>
                <w:rFonts w:ascii="Times New Roman" w:hAnsi="Times New Roman"/>
                <w:b w:val="0"/>
                <w:i w:val="0"/>
                <w:sz w:val="18"/>
                <w:u w:val="none"/>
              </w:rPr>
              <w:t>0.005</w:t>
            </w:r>
          </w:p>
        </w:tc>
        <w:tc>
          <w:tcPr>
            <w:tcW w:type="dxa" w:w="1368"/>
            <w:vAlign w:val="center"/>
            <w:shd w:fill="FFFFFF" w:color="FFFFFF" w:val="clear"/>
          </w:tcPr>
          <w:p>
            <w:pPr>
              <w:jc w:val="center"/>
            </w:pPr>
            <w:r>
              <w:rPr>
                <w:rFonts w:ascii="Times New Roman" w:hAnsi="Times New Roman"/>
                <w:b w:val="0"/>
                <w:i w:val="0"/>
                <w:sz w:val="18"/>
                <w:u w:val="none"/>
              </w:rPr>
              <w:t>4.7448e-01</w:t>
            </w:r>
          </w:p>
        </w:tc>
        <w:tc>
          <w:tcPr>
            <w:tcW w:type="dxa" w:w="1224"/>
            <w:vAlign w:val="center"/>
            <w:shd w:fill="FFFFFF" w:color="FFFFFF" w:val="clear"/>
          </w:tcPr>
          <w:p>
            <w:pPr>
              <w:jc w:val="center"/>
            </w:pPr>
            <w:r>
              <w:rPr>
                <w:rFonts w:ascii="Times New Roman" w:hAnsi="Times New Roman"/>
                <w:b w:val="0"/>
                <w:i w:val="0"/>
                <w:sz w:val="18"/>
                <w:u w:val="none"/>
              </w:rPr>
              <w:t>False</w:t>
            </w:r>
          </w:p>
        </w:tc>
      </w:tr>
      <w:tr>
        <w:tc>
          <w:tcPr>
            <w:tcW w:type="dxa" w:w="3024"/>
            <w:vAlign w:val="center"/>
            <w:shd w:fill="EBF3FB" w:color="EBF3FB" w:val="clear"/>
          </w:tcPr>
          <w:p>
            <w:pPr>
              <w:jc w:val="center"/>
            </w:pPr>
            <w:r>
              <w:rPr>
                <w:rFonts w:ascii="Times New Roman" w:hAnsi="Times New Roman"/>
                <w:b w:val="0"/>
                <w:i w:val="0"/>
                <w:sz w:val="18"/>
                <w:u w:val="none"/>
              </w:rPr>
              <w:t>chromatin_condensation_proxy</w:t>
            </w:r>
          </w:p>
        </w:tc>
        <w:tc>
          <w:tcPr>
            <w:tcW w:type="dxa" w:w="1296"/>
            <w:vAlign w:val="center"/>
            <w:shd w:fill="EBF3FB" w:color="EBF3FB" w:val="clear"/>
          </w:tcPr>
          <w:p>
            <w:pPr>
              <w:jc w:val="center"/>
            </w:pPr>
            <w:r>
              <w:rPr>
                <w:rFonts w:ascii="Times New Roman" w:hAnsi="Times New Roman"/>
                <w:b w:val="0"/>
                <w:i w:val="0"/>
                <w:sz w:val="18"/>
                <w:u w:val="none"/>
              </w:rPr>
              <w:t>148.125</w:t>
            </w:r>
          </w:p>
        </w:tc>
        <w:tc>
          <w:tcPr>
            <w:tcW w:type="dxa" w:w="1368"/>
            <w:vAlign w:val="center"/>
            <w:shd w:fill="EBF3FB" w:color="EBF3FB" w:val="clear"/>
          </w:tcPr>
          <w:p>
            <w:pPr>
              <w:jc w:val="center"/>
            </w:pPr>
            <w:r>
              <w:rPr>
                <w:rFonts w:ascii="Times New Roman" w:hAnsi="Times New Roman"/>
                <w:b w:val="0"/>
                <w:i w:val="0"/>
                <w:sz w:val="18"/>
                <w:u w:val="none"/>
              </w:rPr>
              <w:t>6.6869e-32</w:t>
            </w:r>
          </w:p>
        </w:tc>
        <w:tc>
          <w:tcPr>
            <w:tcW w:type="dxa" w:w="1368"/>
            <w:vAlign w:val="center"/>
            <w:shd w:fill="EBF3FB" w:color="EBF3FB" w:val="clear"/>
          </w:tcPr>
          <w:p>
            <w:pPr>
              <w:jc w:val="center"/>
            </w:pPr>
            <w:r>
              <w:rPr>
                <w:rFonts w:ascii="Times New Roman" w:hAnsi="Times New Roman"/>
                <w:b w:val="0"/>
                <w:i w:val="0"/>
                <w:sz w:val="18"/>
                <w:u w:val="none"/>
              </w:rPr>
              <w:t>-0.038</w:t>
            </w:r>
          </w:p>
        </w:tc>
        <w:tc>
          <w:tcPr>
            <w:tcW w:type="dxa" w:w="1368"/>
            <w:vAlign w:val="center"/>
            <w:shd w:fill="EBF3FB" w:color="EBF3FB" w:val="clear"/>
          </w:tcPr>
          <w:p>
            <w:pPr>
              <w:jc w:val="center"/>
            </w:pPr>
            <w:r>
              <w:rPr>
                <w:rFonts w:ascii="Times New Roman" w:hAnsi="Times New Roman"/>
                <w:b w:val="0"/>
                <w:i w:val="0"/>
                <w:sz w:val="18"/>
                <w:u w:val="none"/>
              </w:rPr>
              <w:t>2.2872e-31</w:t>
            </w:r>
          </w:p>
        </w:tc>
        <w:tc>
          <w:tcPr>
            <w:tcW w:type="dxa" w:w="1224"/>
            <w:vAlign w:val="center"/>
            <w:shd w:fill="EBF3FB" w:color="EBF3FB" w:val="clear"/>
          </w:tcPr>
          <w:p>
            <w:pPr>
              <w:jc w:val="center"/>
            </w:pPr>
            <w:r>
              <w:rPr>
                <w:rFonts w:ascii="Times New Roman" w:hAnsi="Times New Roman"/>
                <w:b w:val="0"/>
                <w:i w:val="0"/>
                <w:sz w:val="18"/>
                <w:u w:val="none"/>
              </w:rPr>
              <w:t>True</w:t>
            </w:r>
          </w:p>
        </w:tc>
      </w:tr>
      <w:tr>
        <w:tc>
          <w:tcPr>
            <w:tcW w:type="dxa" w:w="3024"/>
            <w:vAlign w:val="center"/>
            <w:shd w:fill="FFFFFF" w:color="FFFFFF" w:val="clear"/>
          </w:tcPr>
          <w:p>
            <w:pPr>
              <w:jc w:val="center"/>
            </w:pPr>
            <w:r>
              <w:rPr>
                <w:rFonts w:ascii="Times New Roman" w:hAnsi="Times New Roman"/>
                <w:b w:val="0"/>
                <w:i w:val="0"/>
                <w:sz w:val="18"/>
                <w:u w:val="none"/>
              </w:rPr>
              <w:t>cell_swelling_index</w:t>
            </w:r>
          </w:p>
        </w:tc>
        <w:tc>
          <w:tcPr>
            <w:tcW w:type="dxa" w:w="1296"/>
            <w:vAlign w:val="center"/>
            <w:shd w:fill="FFFFFF" w:color="FFFFFF" w:val="clear"/>
          </w:tcPr>
          <w:p>
            <w:pPr>
              <w:jc w:val="center"/>
            </w:pPr>
            <w:r>
              <w:rPr>
                <w:rFonts w:ascii="Times New Roman" w:hAnsi="Times New Roman"/>
                <w:b w:val="0"/>
                <w:i w:val="0"/>
                <w:sz w:val="18"/>
                <w:u w:val="none"/>
              </w:rPr>
              <w:t>3.814</w:t>
            </w:r>
          </w:p>
        </w:tc>
        <w:tc>
          <w:tcPr>
            <w:tcW w:type="dxa" w:w="1368"/>
            <w:vAlign w:val="center"/>
            <w:shd w:fill="FFFFFF" w:color="FFFFFF" w:val="clear"/>
          </w:tcPr>
          <w:p>
            <w:pPr>
              <w:jc w:val="center"/>
            </w:pPr>
            <w:r>
              <w:rPr>
                <w:rFonts w:ascii="Times New Roman" w:hAnsi="Times New Roman"/>
                <w:b w:val="0"/>
                <w:i w:val="0"/>
                <w:sz w:val="18"/>
                <w:u w:val="none"/>
              </w:rPr>
              <w:t>0.28231</w:t>
            </w:r>
          </w:p>
        </w:tc>
        <w:tc>
          <w:tcPr>
            <w:tcW w:type="dxa" w:w="1368"/>
            <w:vAlign w:val="center"/>
            <w:shd w:fill="FFFFFF" w:color="FFFFFF" w:val="clear"/>
          </w:tcPr>
          <w:p>
            <w:pPr>
              <w:jc w:val="center"/>
            </w:pPr>
            <w:r>
              <w:rPr>
                <w:rFonts w:ascii="Times New Roman" w:hAnsi="Times New Roman"/>
                <w:b w:val="0"/>
                <w:i w:val="0"/>
                <w:sz w:val="18"/>
                <w:u w:val="none"/>
              </w:rPr>
              <w:t>0.005</w:t>
            </w:r>
          </w:p>
        </w:tc>
        <w:tc>
          <w:tcPr>
            <w:tcW w:type="dxa" w:w="1368"/>
            <w:vAlign w:val="center"/>
            <w:shd w:fill="FFFFFF" w:color="FFFFFF" w:val="clear"/>
          </w:tcPr>
          <w:p>
            <w:pPr>
              <w:jc w:val="center"/>
            </w:pPr>
            <w:r>
              <w:rPr>
                <w:rFonts w:ascii="Times New Roman" w:hAnsi="Times New Roman"/>
                <w:b w:val="0"/>
                <w:i w:val="0"/>
                <w:sz w:val="18"/>
                <w:u w:val="none"/>
              </w:rPr>
              <w:t>3.0088e-01</w:t>
            </w:r>
          </w:p>
        </w:tc>
        <w:tc>
          <w:tcPr>
            <w:tcW w:type="dxa" w:w="1224"/>
            <w:vAlign w:val="center"/>
            <w:shd w:fill="FFFFFF" w:color="FFFFFF" w:val="clear"/>
          </w:tcPr>
          <w:p>
            <w:pPr>
              <w:jc w:val="center"/>
            </w:pPr>
            <w:r>
              <w:rPr>
                <w:rFonts w:ascii="Times New Roman" w:hAnsi="Times New Roman"/>
                <w:b w:val="0"/>
                <w:i w:val="0"/>
                <w:sz w:val="18"/>
                <w:u w:val="none"/>
              </w:rPr>
              <w:t>False</w:t>
            </w:r>
          </w:p>
        </w:tc>
      </w:tr>
      <w:tr>
        <w:tc>
          <w:tcPr>
            <w:tcW w:type="dxa" w:w="3024"/>
            <w:vAlign w:val="center"/>
            <w:shd w:fill="EBF3FB" w:color="EBF3FB" w:val="clear"/>
          </w:tcPr>
          <w:p>
            <w:pPr>
              <w:jc w:val="center"/>
            </w:pPr>
            <w:r>
              <w:rPr>
                <w:rFonts w:ascii="Times New Roman" w:hAnsi="Times New Roman"/>
                <w:b w:val="0"/>
                <w:i w:val="0"/>
                <w:sz w:val="18"/>
                <w:u w:val="none"/>
              </w:rPr>
              <w:t>membrane_permeability_proxy</w:t>
            </w:r>
          </w:p>
        </w:tc>
        <w:tc>
          <w:tcPr>
            <w:tcW w:type="dxa" w:w="1296"/>
            <w:vAlign w:val="center"/>
            <w:shd w:fill="EBF3FB" w:color="EBF3FB" w:val="clear"/>
          </w:tcPr>
          <w:p>
            <w:pPr>
              <w:jc w:val="center"/>
            </w:pPr>
            <w:r>
              <w:rPr>
                <w:rFonts w:ascii="Times New Roman" w:hAnsi="Times New Roman"/>
                <w:b w:val="0"/>
                <w:i w:val="0"/>
                <w:sz w:val="18"/>
                <w:u w:val="none"/>
              </w:rPr>
              <w:t>799.113</w:t>
            </w:r>
          </w:p>
        </w:tc>
        <w:tc>
          <w:tcPr>
            <w:tcW w:type="dxa" w:w="1368"/>
            <w:vAlign w:val="center"/>
            <w:shd w:fill="EBF3FB" w:color="EBF3FB" w:val="clear"/>
          </w:tcPr>
          <w:p>
            <w:pPr>
              <w:jc w:val="center"/>
            </w:pPr>
            <w:r>
              <w:rPr>
                <w:rFonts w:ascii="Times New Roman" w:hAnsi="Times New Roman"/>
                <w:b w:val="0"/>
                <w:i w:val="0"/>
                <w:sz w:val="18"/>
                <w:u w:val="none"/>
              </w:rPr>
              <w:t>6.7391e-173</w:t>
            </w:r>
          </w:p>
        </w:tc>
        <w:tc>
          <w:tcPr>
            <w:tcW w:type="dxa" w:w="1368"/>
            <w:vAlign w:val="center"/>
            <w:shd w:fill="EBF3FB" w:color="EBF3FB" w:val="clear"/>
          </w:tcPr>
          <w:p>
            <w:pPr>
              <w:jc w:val="center"/>
            </w:pPr>
            <w:r>
              <w:rPr>
                <w:rFonts w:ascii="Times New Roman" w:hAnsi="Times New Roman"/>
                <w:b w:val="0"/>
                <w:i w:val="0"/>
                <w:sz w:val="18"/>
                <w:u w:val="none"/>
              </w:rPr>
              <w:t>-0.894</w:t>
            </w:r>
          </w:p>
        </w:tc>
        <w:tc>
          <w:tcPr>
            <w:tcW w:type="dxa" w:w="1368"/>
            <w:vAlign w:val="center"/>
            <w:shd w:fill="EBF3FB" w:color="EBF3FB" w:val="clear"/>
          </w:tcPr>
          <w:p>
            <w:pPr>
              <w:jc w:val="center"/>
            </w:pPr>
            <w:r>
              <w:rPr>
                <w:rFonts w:ascii="Times New Roman" w:hAnsi="Times New Roman"/>
                <w:b w:val="0"/>
                <w:i w:val="0"/>
                <w:sz w:val="18"/>
                <w:u w:val="none"/>
              </w:rPr>
              <w:t>1.1456e-171</w:t>
            </w:r>
          </w:p>
        </w:tc>
        <w:tc>
          <w:tcPr>
            <w:tcW w:type="dxa" w:w="1224"/>
            <w:vAlign w:val="center"/>
            <w:shd w:fill="EBF3FB" w:color="EBF3FB" w:val="clear"/>
          </w:tcPr>
          <w:p>
            <w:pPr>
              <w:jc w:val="center"/>
            </w:pPr>
            <w:r>
              <w:rPr>
                <w:rFonts w:ascii="Times New Roman" w:hAnsi="Times New Roman"/>
                <w:b w:val="0"/>
                <w:i w:val="0"/>
                <w:sz w:val="18"/>
                <w:u w:val="none"/>
              </w:rPr>
              <w:t>True</w:t>
            </w:r>
          </w:p>
        </w:tc>
      </w:tr>
      <w:tr>
        <w:tc>
          <w:tcPr>
            <w:tcW w:type="dxa" w:w="3024"/>
            <w:vAlign w:val="center"/>
            <w:shd w:fill="FFFFFF" w:color="FFFFFF" w:val="clear"/>
          </w:tcPr>
          <w:p>
            <w:pPr>
              <w:jc w:val="center"/>
            </w:pPr>
            <w:r>
              <w:rPr>
                <w:rFonts w:ascii="Times New Roman" w:hAnsi="Times New Roman"/>
                <w:b w:val="0"/>
                <w:i w:val="0"/>
                <w:sz w:val="18"/>
                <w:u w:val="none"/>
              </w:rPr>
              <w:t>mean_intensity</w:t>
            </w:r>
          </w:p>
        </w:tc>
        <w:tc>
          <w:tcPr>
            <w:tcW w:type="dxa" w:w="1296"/>
            <w:vAlign w:val="center"/>
            <w:shd w:fill="FFFFFF" w:color="FFFFFF" w:val="clear"/>
          </w:tcPr>
          <w:p>
            <w:pPr>
              <w:jc w:val="center"/>
            </w:pPr>
            <w:r>
              <w:rPr>
                <w:rFonts w:ascii="Times New Roman" w:hAnsi="Times New Roman"/>
                <w:b w:val="0"/>
                <w:i w:val="0"/>
                <w:sz w:val="18"/>
                <w:u w:val="none"/>
              </w:rPr>
              <w:t>71.906</w:t>
            </w:r>
          </w:p>
        </w:tc>
        <w:tc>
          <w:tcPr>
            <w:tcW w:type="dxa" w:w="1368"/>
            <w:vAlign w:val="center"/>
            <w:shd w:fill="FFFFFF" w:color="FFFFFF" w:val="clear"/>
          </w:tcPr>
          <w:p>
            <w:pPr>
              <w:jc w:val="center"/>
            </w:pPr>
            <w:r>
              <w:rPr>
                <w:rFonts w:ascii="Times New Roman" w:hAnsi="Times New Roman"/>
                <w:b w:val="0"/>
                <w:i w:val="0"/>
                <w:sz w:val="18"/>
                <w:u w:val="none"/>
              </w:rPr>
              <w:t>1.6672e-15</w:t>
            </w:r>
          </w:p>
        </w:tc>
        <w:tc>
          <w:tcPr>
            <w:tcW w:type="dxa" w:w="1368"/>
            <w:vAlign w:val="center"/>
            <w:shd w:fill="FFFFFF" w:color="FFFFFF" w:val="clear"/>
          </w:tcPr>
          <w:p>
            <w:pPr>
              <w:jc w:val="center"/>
            </w:pPr>
            <w:r>
              <w:rPr>
                <w:rFonts w:ascii="Times New Roman" w:hAnsi="Times New Roman"/>
                <w:b w:val="0"/>
                <w:i w:val="0"/>
                <w:sz w:val="18"/>
                <w:u w:val="none"/>
              </w:rPr>
              <w:t>-0.007</w:t>
            </w:r>
          </w:p>
        </w:tc>
        <w:tc>
          <w:tcPr>
            <w:tcW w:type="dxa" w:w="1368"/>
            <w:vAlign w:val="center"/>
            <w:shd w:fill="FFFFFF" w:color="FFFFFF" w:val="clear"/>
          </w:tcPr>
          <w:p>
            <w:pPr>
              <w:jc w:val="center"/>
            </w:pPr>
            <w:r>
              <w:rPr>
                <w:rFonts w:ascii="Times New Roman" w:hAnsi="Times New Roman"/>
                <w:b w:val="0"/>
                <w:i w:val="0"/>
                <w:sz w:val="18"/>
                <w:u w:val="none"/>
              </w:rPr>
              <w:t>4.0489e-15</w:t>
            </w:r>
          </w:p>
        </w:tc>
        <w:tc>
          <w:tcPr>
            <w:tcW w:type="dxa" w:w="1224"/>
            <w:vAlign w:val="center"/>
            <w:shd w:fill="FFFFFF" w:color="FFFFFF" w:val="clear"/>
          </w:tcPr>
          <w:p>
            <w:pPr>
              <w:jc w:val="center"/>
            </w:pPr>
            <w:r>
              <w:rPr>
                <w:rFonts w:ascii="Times New Roman" w:hAnsi="Times New Roman"/>
                <w:b w:val="0"/>
                <w:i w:val="0"/>
                <w:sz w:val="18"/>
                <w:u w:val="none"/>
              </w:rPr>
              <w:t>True</w:t>
            </w:r>
          </w:p>
        </w:tc>
      </w:tr>
      <w:tr>
        <w:tc>
          <w:tcPr>
            <w:tcW w:type="dxa" w:w="3024"/>
            <w:vAlign w:val="center"/>
            <w:shd w:fill="EBF3FB" w:color="EBF3FB" w:val="clear"/>
          </w:tcPr>
          <w:p>
            <w:pPr>
              <w:jc w:val="center"/>
            </w:pPr>
            <w:r>
              <w:rPr>
                <w:rFonts w:ascii="Times New Roman" w:hAnsi="Times New Roman"/>
                <w:b w:val="0"/>
                <w:i w:val="0"/>
                <w:sz w:val="18"/>
                <w:u w:val="none"/>
              </w:rPr>
              <w:t>total_intensity</w:t>
            </w:r>
          </w:p>
        </w:tc>
        <w:tc>
          <w:tcPr>
            <w:tcW w:type="dxa" w:w="1296"/>
            <w:vAlign w:val="center"/>
            <w:shd w:fill="EBF3FB" w:color="EBF3FB" w:val="clear"/>
          </w:tcPr>
          <w:p>
            <w:pPr>
              <w:jc w:val="center"/>
            </w:pPr>
            <w:r>
              <w:rPr>
                <w:rFonts w:ascii="Times New Roman" w:hAnsi="Times New Roman"/>
                <w:b w:val="0"/>
                <w:i w:val="0"/>
                <w:sz w:val="18"/>
                <w:u w:val="none"/>
              </w:rPr>
              <w:t>71.906</w:t>
            </w:r>
          </w:p>
        </w:tc>
        <w:tc>
          <w:tcPr>
            <w:tcW w:type="dxa" w:w="1368"/>
            <w:vAlign w:val="center"/>
            <w:shd w:fill="EBF3FB" w:color="EBF3FB" w:val="clear"/>
          </w:tcPr>
          <w:p>
            <w:pPr>
              <w:jc w:val="center"/>
            </w:pPr>
            <w:r>
              <w:rPr>
                <w:rFonts w:ascii="Times New Roman" w:hAnsi="Times New Roman"/>
                <w:b w:val="0"/>
                <w:i w:val="0"/>
                <w:sz w:val="18"/>
                <w:u w:val="none"/>
              </w:rPr>
              <w:t>1.6672e-15</w:t>
            </w:r>
          </w:p>
        </w:tc>
        <w:tc>
          <w:tcPr>
            <w:tcW w:type="dxa" w:w="1368"/>
            <w:vAlign w:val="center"/>
            <w:shd w:fill="EBF3FB" w:color="EBF3FB" w:val="clear"/>
          </w:tcPr>
          <w:p>
            <w:pPr>
              <w:jc w:val="center"/>
            </w:pPr>
            <w:r>
              <w:rPr>
                <w:rFonts w:ascii="Times New Roman" w:hAnsi="Times New Roman"/>
                <w:b w:val="0"/>
                <w:i w:val="0"/>
                <w:sz w:val="18"/>
                <w:u w:val="none"/>
              </w:rPr>
              <w:t>-0.007</w:t>
            </w:r>
          </w:p>
        </w:tc>
        <w:tc>
          <w:tcPr>
            <w:tcW w:type="dxa" w:w="1368"/>
            <w:vAlign w:val="center"/>
            <w:shd w:fill="EBF3FB" w:color="EBF3FB" w:val="clear"/>
          </w:tcPr>
          <w:p>
            <w:pPr>
              <w:jc w:val="center"/>
            </w:pPr>
            <w:r>
              <w:rPr>
                <w:rFonts w:ascii="Times New Roman" w:hAnsi="Times New Roman"/>
                <w:b w:val="0"/>
                <w:i w:val="0"/>
                <w:sz w:val="18"/>
                <w:u w:val="none"/>
              </w:rPr>
              <w:t>4.0489e-15</w:t>
            </w:r>
          </w:p>
        </w:tc>
        <w:tc>
          <w:tcPr>
            <w:tcW w:type="dxa" w:w="1224"/>
            <w:vAlign w:val="center"/>
            <w:shd w:fill="EBF3FB" w:color="EBF3FB" w:val="clear"/>
          </w:tcPr>
          <w:p>
            <w:pPr>
              <w:jc w:val="center"/>
            </w:pPr>
            <w:r>
              <w:rPr>
                <w:rFonts w:ascii="Times New Roman" w:hAnsi="Times New Roman"/>
                <w:b w:val="0"/>
                <w:i w:val="0"/>
                <w:sz w:val="18"/>
                <w:u w:val="none"/>
              </w:rPr>
              <w:t>True</w:t>
            </w:r>
          </w:p>
        </w:tc>
      </w:tr>
      <w:tr>
        <w:tc>
          <w:tcPr>
            <w:tcW w:type="dxa" w:w="3024"/>
            <w:vAlign w:val="center"/>
            <w:shd w:fill="FFFFFF" w:color="FFFFFF" w:val="clear"/>
          </w:tcPr>
          <w:p>
            <w:pPr>
              <w:jc w:val="center"/>
            </w:pPr>
            <w:r>
              <w:rPr>
                <w:rFonts w:ascii="Times New Roman" w:hAnsi="Times New Roman"/>
                <w:b w:val="0"/>
                <w:i w:val="0"/>
                <w:sz w:val="18"/>
                <w:u w:val="none"/>
              </w:rPr>
              <w:t>intensity_variance</w:t>
            </w:r>
          </w:p>
        </w:tc>
        <w:tc>
          <w:tcPr>
            <w:tcW w:type="dxa" w:w="1296"/>
            <w:vAlign w:val="center"/>
            <w:shd w:fill="FFFFFF" w:color="FFFFFF" w:val="clear"/>
          </w:tcPr>
          <w:p>
            <w:pPr>
              <w:jc w:val="center"/>
            </w:pPr>
            <w:r>
              <w:rPr>
                <w:rFonts w:ascii="Times New Roman" w:hAnsi="Times New Roman"/>
                <w:b w:val="0"/>
                <w:i w:val="0"/>
                <w:sz w:val="18"/>
                <w:u w:val="none"/>
              </w:rPr>
              <w:t>148.113</w:t>
            </w:r>
          </w:p>
        </w:tc>
        <w:tc>
          <w:tcPr>
            <w:tcW w:type="dxa" w:w="1368"/>
            <w:vAlign w:val="center"/>
            <w:shd w:fill="FFFFFF" w:color="FFFFFF" w:val="clear"/>
          </w:tcPr>
          <w:p>
            <w:pPr>
              <w:jc w:val="center"/>
            </w:pPr>
            <w:r>
              <w:rPr>
                <w:rFonts w:ascii="Times New Roman" w:hAnsi="Times New Roman"/>
                <w:b w:val="0"/>
                <w:i w:val="0"/>
                <w:sz w:val="18"/>
                <w:u w:val="none"/>
              </w:rPr>
              <w:t>6.7272e-32</w:t>
            </w:r>
          </w:p>
        </w:tc>
        <w:tc>
          <w:tcPr>
            <w:tcW w:type="dxa" w:w="1368"/>
            <w:vAlign w:val="center"/>
            <w:shd w:fill="FFFFFF" w:color="FFFFFF" w:val="clear"/>
          </w:tcPr>
          <w:p>
            <w:pPr>
              <w:jc w:val="center"/>
            </w:pPr>
            <w:r>
              <w:rPr>
                <w:rFonts w:ascii="Times New Roman" w:hAnsi="Times New Roman"/>
                <w:b w:val="0"/>
                <w:i w:val="0"/>
                <w:sz w:val="18"/>
                <w:u w:val="none"/>
              </w:rPr>
              <w:t>-0.038</w:t>
            </w:r>
          </w:p>
        </w:tc>
        <w:tc>
          <w:tcPr>
            <w:tcW w:type="dxa" w:w="1368"/>
            <w:vAlign w:val="center"/>
            <w:shd w:fill="FFFFFF" w:color="FFFFFF" w:val="clear"/>
          </w:tcPr>
          <w:p>
            <w:pPr>
              <w:jc w:val="center"/>
            </w:pPr>
            <w:r>
              <w:rPr>
                <w:rFonts w:ascii="Times New Roman" w:hAnsi="Times New Roman"/>
                <w:b w:val="0"/>
                <w:i w:val="0"/>
                <w:sz w:val="18"/>
                <w:u w:val="none"/>
              </w:rPr>
              <w:t>2.2872e-31</w:t>
            </w:r>
          </w:p>
        </w:tc>
        <w:tc>
          <w:tcPr>
            <w:tcW w:type="dxa" w:w="1224"/>
            <w:vAlign w:val="center"/>
            <w:shd w:fill="FFFFFF" w:color="FFFFFF" w:val="clear"/>
          </w:tcPr>
          <w:p>
            <w:pPr>
              <w:jc w:val="center"/>
            </w:pPr>
            <w:r>
              <w:rPr>
                <w:rFonts w:ascii="Times New Roman" w:hAnsi="Times New Roman"/>
                <w:b w:val="0"/>
                <w:i w:val="0"/>
                <w:sz w:val="18"/>
                <w:u w:val="none"/>
              </w:rPr>
              <w:t>True</w:t>
            </w:r>
          </w:p>
        </w:tc>
      </w:tr>
      <w:tr>
        <w:tc>
          <w:tcPr>
            <w:tcW w:type="dxa" w:w="3024"/>
            <w:vAlign w:val="center"/>
            <w:shd w:fill="EBF3FB" w:color="EBF3FB" w:val="clear"/>
          </w:tcPr>
          <w:p>
            <w:pPr>
              <w:jc w:val="center"/>
            </w:pPr>
            <w:r>
              <w:rPr>
                <w:rFonts w:ascii="Times New Roman" w:hAnsi="Times New Roman"/>
                <w:b w:val="0"/>
                <w:i w:val="0"/>
                <w:sz w:val="18"/>
                <w:u w:val="none"/>
              </w:rPr>
              <w:t>area_covered_ratio</w:t>
            </w:r>
          </w:p>
        </w:tc>
        <w:tc>
          <w:tcPr>
            <w:tcW w:type="dxa" w:w="1296"/>
            <w:vAlign w:val="center"/>
            <w:shd w:fill="EBF3FB" w:color="EBF3FB" w:val="clear"/>
          </w:tcPr>
          <w:p>
            <w:pPr>
              <w:jc w:val="center"/>
            </w:pPr>
            <w:r>
              <w:rPr>
                <w:rFonts w:ascii="Times New Roman" w:hAnsi="Times New Roman"/>
                <w:b w:val="0"/>
                <w:i w:val="0"/>
                <w:sz w:val="18"/>
                <w:u w:val="none"/>
              </w:rPr>
              <w:t>12.087</w:t>
            </w:r>
          </w:p>
        </w:tc>
        <w:tc>
          <w:tcPr>
            <w:tcW w:type="dxa" w:w="1368"/>
            <w:vAlign w:val="center"/>
            <w:shd w:fill="EBF3FB" w:color="EBF3FB" w:val="clear"/>
          </w:tcPr>
          <w:p>
            <w:pPr>
              <w:jc w:val="center"/>
            </w:pPr>
            <w:r>
              <w:rPr>
                <w:rFonts w:ascii="Times New Roman" w:hAnsi="Times New Roman"/>
                <w:b w:val="0"/>
                <w:i w:val="0"/>
                <w:sz w:val="18"/>
                <w:u w:val="none"/>
              </w:rPr>
              <w:t>0.007091</w:t>
            </w:r>
          </w:p>
        </w:tc>
        <w:tc>
          <w:tcPr>
            <w:tcW w:type="dxa" w:w="1368"/>
            <w:vAlign w:val="center"/>
            <w:shd w:fill="EBF3FB" w:color="EBF3FB" w:val="clear"/>
          </w:tcPr>
          <w:p>
            <w:pPr>
              <w:jc w:val="center"/>
            </w:pPr>
            <w:r>
              <w:rPr>
                <w:rFonts w:ascii="Times New Roman" w:hAnsi="Times New Roman"/>
                <w:b w:val="0"/>
                <w:i w:val="0"/>
                <w:sz w:val="18"/>
                <w:u w:val="none"/>
              </w:rPr>
              <w:t>-0.027</w:t>
            </w:r>
          </w:p>
        </w:tc>
        <w:tc>
          <w:tcPr>
            <w:tcW w:type="dxa" w:w="1368"/>
            <w:vAlign w:val="center"/>
            <w:shd w:fill="EBF3FB" w:color="EBF3FB" w:val="clear"/>
          </w:tcPr>
          <w:p>
            <w:pPr>
              <w:jc w:val="center"/>
            </w:pPr>
            <w:r>
              <w:rPr>
                <w:rFonts w:ascii="Times New Roman" w:hAnsi="Times New Roman"/>
                <w:b w:val="0"/>
                <w:i w:val="0"/>
                <w:sz w:val="18"/>
                <w:u w:val="none"/>
              </w:rPr>
              <w:t>1.5068e-02</w:t>
            </w:r>
          </w:p>
        </w:tc>
        <w:tc>
          <w:tcPr>
            <w:tcW w:type="dxa" w:w="1224"/>
            <w:vAlign w:val="center"/>
            <w:shd w:fill="EBF3FB" w:color="EBF3FB" w:val="clear"/>
          </w:tcPr>
          <w:p>
            <w:pPr>
              <w:jc w:val="center"/>
            </w:pPr>
            <w:r>
              <w:rPr>
                <w:rFonts w:ascii="Times New Roman" w:hAnsi="Times New Roman"/>
                <w:b w:val="0"/>
                <w:i w:val="0"/>
                <w:sz w:val="18"/>
                <w:u w:val="none"/>
              </w:rPr>
              <w:t>True</w:t>
            </w:r>
          </w:p>
        </w:tc>
      </w:tr>
      <w:tr>
        <w:tc>
          <w:tcPr>
            <w:tcW w:type="dxa" w:w="3024"/>
            <w:vAlign w:val="center"/>
            <w:shd w:fill="FFFFFF" w:color="FFFFFF" w:val="clear"/>
          </w:tcPr>
          <w:p>
            <w:pPr>
              <w:jc w:val="center"/>
            </w:pPr>
            <w:r>
              <w:rPr>
                <w:rFonts w:ascii="Times New Roman" w:hAnsi="Times New Roman"/>
                <w:b w:val="0"/>
                <w:i w:val="0"/>
                <w:sz w:val="18"/>
                <w:u w:val="none"/>
              </w:rPr>
              <w:t>cell_count</w:t>
            </w:r>
          </w:p>
        </w:tc>
        <w:tc>
          <w:tcPr>
            <w:tcW w:type="dxa" w:w="1296"/>
            <w:vAlign w:val="center"/>
            <w:shd w:fill="FFFFFF" w:color="FFFFFF" w:val="clear"/>
          </w:tcPr>
          <w:p>
            <w:pPr>
              <w:jc w:val="center"/>
            </w:pPr>
            <w:r>
              <w:rPr>
                <w:rFonts w:ascii="Times New Roman" w:hAnsi="Times New Roman"/>
                <w:b w:val="0"/>
                <w:i w:val="0"/>
                <w:sz w:val="18"/>
                <w:u w:val="none"/>
              </w:rPr>
              <w:t>8.848</w:t>
            </w:r>
          </w:p>
        </w:tc>
        <w:tc>
          <w:tcPr>
            <w:tcW w:type="dxa" w:w="1368"/>
            <w:vAlign w:val="center"/>
            <w:shd w:fill="FFFFFF" w:color="FFFFFF" w:val="clear"/>
          </w:tcPr>
          <w:p>
            <w:pPr>
              <w:jc w:val="center"/>
            </w:pPr>
            <w:r>
              <w:rPr>
                <w:rFonts w:ascii="Times New Roman" w:hAnsi="Times New Roman"/>
                <w:b w:val="0"/>
                <w:i w:val="0"/>
                <w:sz w:val="18"/>
                <w:u w:val="none"/>
              </w:rPr>
              <w:t>0.031383</w:t>
            </w:r>
          </w:p>
        </w:tc>
        <w:tc>
          <w:tcPr>
            <w:tcW w:type="dxa" w:w="1368"/>
            <w:vAlign w:val="center"/>
            <w:shd w:fill="FFFFFF" w:color="FFFFFF" w:val="clear"/>
          </w:tcPr>
          <w:p>
            <w:pPr>
              <w:jc w:val="center"/>
            </w:pPr>
            <w:r>
              <w:rPr>
                <w:rFonts w:ascii="Times New Roman" w:hAnsi="Times New Roman"/>
                <w:b w:val="0"/>
                <w:i w:val="0"/>
                <w:sz w:val="18"/>
                <w:u w:val="none"/>
              </w:rPr>
              <w:t>0.058</w:t>
            </w:r>
          </w:p>
        </w:tc>
        <w:tc>
          <w:tcPr>
            <w:tcW w:type="dxa" w:w="1368"/>
            <w:vAlign w:val="center"/>
            <w:shd w:fill="FFFFFF" w:color="FFFFFF" w:val="clear"/>
          </w:tcPr>
          <w:p>
            <w:pPr>
              <w:jc w:val="center"/>
            </w:pPr>
            <w:r>
              <w:rPr>
                <w:rFonts w:ascii="Times New Roman" w:hAnsi="Times New Roman"/>
                <w:b w:val="0"/>
                <w:i w:val="0"/>
                <w:sz w:val="18"/>
                <w:u w:val="none"/>
              </w:rPr>
              <w:t>4.8694e-02</w:t>
            </w:r>
          </w:p>
        </w:tc>
        <w:tc>
          <w:tcPr>
            <w:tcW w:type="dxa" w:w="1224"/>
            <w:vAlign w:val="center"/>
            <w:shd w:fill="FFFFFF" w:color="FFFFFF" w:val="clear"/>
          </w:tcPr>
          <w:p>
            <w:pPr>
              <w:jc w:val="center"/>
            </w:pPr>
            <w:r>
              <w:rPr>
                <w:rFonts w:ascii="Times New Roman" w:hAnsi="Times New Roman"/>
                <w:b w:val="0"/>
                <w:i w:val="0"/>
                <w:sz w:val="18"/>
                <w:u w:val="none"/>
              </w:rPr>
              <w:t>True</w:t>
            </w:r>
          </w:p>
        </w:tc>
      </w:tr>
      <w:tr>
        <w:tc>
          <w:tcPr>
            <w:tcW w:type="dxa" w:w="3024"/>
            <w:vAlign w:val="center"/>
            <w:shd w:fill="EBF3FB" w:color="EBF3FB" w:val="clear"/>
          </w:tcPr>
          <w:p>
            <w:pPr>
              <w:jc w:val="center"/>
            </w:pPr>
            <w:r>
              <w:rPr>
                <w:rFonts w:ascii="Times New Roman" w:hAnsi="Times New Roman"/>
                <w:b w:val="0"/>
                <w:i w:val="0"/>
                <w:sz w:val="18"/>
                <w:u w:val="none"/>
              </w:rPr>
              <w:t>density_cells_per_10k_px</w:t>
            </w:r>
          </w:p>
        </w:tc>
        <w:tc>
          <w:tcPr>
            <w:tcW w:type="dxa" w:w="1296"/>
            <w:vAlign w:val="center"/>
            <w:shd w:fill="EBF3FB" w:color="EBF3FB" w:val="clear"/>
          </w:tcPr>
          <w:p>
            <w:pPr>
              <w:jc w:val="center"/>
            </w:pPr>
            <w:r>
              <w:rPr>
                <w:rFonts w:ascii="Times New Roman" w:hAnsi="Times New Roman"/>
                <w:b w:val="0"/>
                <w:i w:val="0"/>
                <w:sz w:val="18"/>
                <w:u w:val="none"/>
              </w:rPr>
              <w:t>8.848</w:t>
            </w:r>
          </w:p>
        </w:tc>
        <w:tc>
          <w:tcPr>
            <w:tcW w:type="dxa" w:w="1368"/>
            <w:vAlign w:val="center"/>
            <w:shd w:fill="EBF3FB" w:color="EBF3FB" w:val="clear"/>
          </w:tcPr>
          <w:p>
            <w:pPr>
              <w:jc w:val="center"/>
            </w:pPr>
            <w:r>
              <w:rPr>
                <w:rFonts w:ascii="Times New Roman" w:hAnsi="Times New Roman"/>
                <w:b w:val="0"/>
                <w:i w:val="0"/>
                <w:sz w:val="18"/>
                <w:u w:val="none"/>
              </w:rPr>
              <w:t>0.031383</w:t>
            </w:r>
          </w:p>
        </w:tc>
        <w:tc>
          <w:tcPr>
            <w:tcW w:type="dxa" w:w="1368"/>
            <w:vAlign w:val="center"/>
            <w:shd w:fill="EBF3FB" w:color="EBF3FB" w:val="clear"/>
          </w:tcPr>
          <w:p>
            <w:pPr>
              <w:jc w:val="center"/>
            </w:pPr>
            <w:r>
              <w:rPr>
                <w:rFonts w:ascii="Times New Roman" w:hAnsi="Times New Roman"/>
                <w:b w:val="0"/>
                <w:i w:val="0"/>
                <w:sz w:val="18"/>
                <w:u w:val="none"/>
              </w:rPr>
              <w:t>0.058</w:t>
            </w:r>
          </w:p>
        </w:tc>
        <w:tc>
          <w:tcPr>
            <w:tcW w:type="dxa" w:w="1368"/>
            <w:vAlign w:val="center"/>
            <w:shd w:fill="EBF3FB" w:color="EBF3FB" w:val="clear"/>
          </w:tcPr>
          <w:p>
            <w:pPr>
              <w:jc w:val="center"/>
            </w:pPr>
            <w:r>
              <w:rPr>
                <w:rFonts w:ascii="Times New Roman" w:hAnsi="Times New Roman"/>
                <w:b w:val="0"/>
                <w:i w:val="0"/>
                <w:sz w:val="18"/>
                <w:u w:val="none"/>
              </w:rPr>
              <w:t>4.8694e-02</w:t>
            </w:r>
          </w:p>
        </w:tc>
        <w:tc>
          <w:tcPr>
            <w:tcW w:type="dxa" w:w="1224"/>
            <w:vAlign w:val="center"/>
            <w:shd w:fill="EBF3FB" w:color="EBF3FB" w:val="clear"/>
          </w:tcPr>
          <w:p>
            <w:pPr>
              <w:jc w:val="center"/>
            </w:pPr>
            <w:r>
              <w:rPr>
                <w:rFonts w:ascii="Times New Roman" w:hAnsi="Times New Roman"/>
                <w:b w:val="0"/>
                <w:i w:val="0"/>
                <w:sz w:val="18"/>
                <w:u w:val="none"/>
              </w:rPr>
              <w:t>True</w:t>
            </w:r>
          </w:p>
        </w:tc>
      </w:tr>
      <w:tr>
        <w:tc>
          <w:tcPr>
            <w:tcW w:type="dxa" w:w="3024"/>
            <w:vAlign w:val="center"/>
            <w:shd w:fill="FFFFFF" w:color="FFFFFF" w:val="clear"/>
          </w:tcPr>
          <w:p>
            <w:pPr>
              <w:jc w:val="center"/>
            </w:pPr>
            <w:r>
              <w:rPr>
                <w:rFonts w:ascii="Times New Roman" w:hAnsi="Times New Roman"/>
                <w:b w:val="0"/>
                <w:i w:val="0"/>
                <w:sz w:val="18"/>
                <w:u w:val="none"/>
              </w:rPr>
              <w:t>cell_area_mean</w:t>
            </w:r>
          </w:p>
        </w:tc>
        <w:tc>
          <w:tcPr>
            <w:tcW w:type="dxa" w:w="1296"/>
            <w:vAlign w:val="center"/>
            <w:shd w:fill="FFFFFF" w:color="FFFFFF" w:val="clear"/>
          </w:tcPr>
          <w:p>
            <w:pPr>
              <w:jc w:val="center"/>
            </w:pPr>
            <w:r>
              <w:rPr>
                <w:rFonts w:ascii="Times New Roman" w:hAnsi="Times New Roman"/>
                <w:b w:val="0"/>
                <w:i w:val="0"/>
                <w:sz w:val="18"/>
                <w:u w:val="none"/>
              </w:rPr>
              <w:t>7.297</w:t>
            </w:r>
          </w:p>
        </w:tc>
        <w:tc>
          <w:tcPr>
            <w:tcW w:type="dxa" w:w="1368"/>
            <w:vAlign w:val="center"/>
            <w:shd w:fill="FFFFFF" w:color="FFFFFF" w:val="clear"/>
          </w:tcPr>
          <w:p>
            <w:pPr>
              <w:jc w:val="center"/>
            </w:pPr>
            <w:r>
              <w:rPr>
                <w:rFonts w:ascii="Times New Roman" w:hAnsi="Times New Roman"/>
                <w:b w:val="0"/>
                <w:i w:val="0"/>
                <w:sz w:val="18"/>
                <w:u w:val="none"/>
              </w:rPr>
              <w:t>0.063015</w:t>
            </w:r>
          </w:p>
        </w:tc>
        <w:tc>
          <w:tcPr>
            <w:tcW w:type="dxa" w:w="1368"/>
            <w:vAlign w:val="center"/>
            <w:shd w:fill="FFFFFF" w:color="FFFFFF" w:val="clear"/>
          </w:tcPr>
          <w:p>
            <w:pPr>
              <w:jc w:val="center"/>
            </w:pPr>
            <w:r>
              <w:rPr>
                <w:rFonts w:ascii="Times New Roman" w:hAnsi="Times New Roman"/>
                <w:b w:val="0"/>
                <w:i w:val="0"/>
                <w:sz w:val="18"/>
                <w:u w:val="none"/>
              </w:rPr>
              <w:t>-0.056</w:t>
            </w:r>
          </w:p>
        </w:tc>
        <w:tc>
          <w:tcPr>
            <w:tcW w:type="dxa" w:w="1368"/>
            <w:vAlign w:val="center"/>
            <w:shd w:fill="FFFFFF" w:color="FFFFFF" w:val="clear"/>
          </w:tcPr>
          <w:p>
            <w:pPr>
              <w:jc w:val="center"/>
            </w:pPr>
            <w:r>
              <w:rPr>
                <w:rFonts w:ascii="Times New Roman" w:hAnsi="Times New Roman"/>
                <w:b w:val="0"/>
                <w:i w:val="0"/>
                <w:sz w:val="18"/>
                <w:u w:val="none"/>
              </w:rPr>
              <w:t>8.2404e-02</w:t>
            </w:r>
          </w:p>
        </w:tc>
        <w:tc>
          <w:tcPr>
            <w:tcW w:type="dxa" w:w="1224"/>
            <w:vAlign w:val="center"/>
            <w:shd w:fill="FFFFFF" w:color="FFFFFF" w:val="clear"/>
          </w:tcPr>
          <w:p>
            <w:pPr>
              <w:jc w:val="center"/>
            </w:pPr>
            <w:r>
              <w:rPr>
                <w:rFonts w:ascii="Times New Roman" w:hAnsi="Times New Roman"/>
                <w:b w:val="0"/>
                <w:i w:val="0"/>
                <w:sz w:val="18"/>
                <w:u w:val="none"/>
              </w:rPr>
              <w:t>False</w:t>
            </w:r>
          </w:p>
        </w:tc>
      </w:tr>
      <w:tr>
        <w:tc>
          <w:tcPr>
            <w:tcW w:type="dxa" w:w="3024"/>
            <w:vAlign w:val="center"/>
            <w:shd w:fill="EBF3FB" w:color="EBF3FB" w:val="clear"/>
          </w:tcPr>
          <w:p>
            <w:pPr>
              <w:jc w:val="center"/>
            </w:pPr>
            <w:r>
              <w:rPr>
                <w:rFonts w:ascii="Times New Roman" w:hAnsi="Times New Roman"/>
                <w:b w:val="0"/>
                <w:i w:val="0"/>
                <w:sz w:val="18"/>
                <w:u w:val="none"/>
              </w:rPr>
              <w:t>cell_area_std</w:t>
            </w:r>
          </w:p>
        </w:tc>
        <w:tc>
          <w:tcPr>
            <w:tcW w:type="dxa" w:w="1296"/>
            <w:vAlign w:val="center"/>
            <w:shd w:fill="EBF3FB" w:color="EBF3FB" w:val="clear"/>
          </w:tcPr>
          <w:p>
            <w:pPr>
              <w:jc w:val="center"/>
            </w:pPr>
            <w:r>
              <w:rPr>
                <w:rFonts w:ascii="Times New Roman" w:hAnsi="Times New Roman"/>
                <w:b w:val="0"/>
                <w:i w:val="0"/>
                <w:sz w:val="18"/>
                <w:u w:val="none"/>
              </w:rPr>
              <w:t>277.048</w:t>
            </w:r>
          </w:p>
        </w:tc>
        <w:tc>
          <w:tcPr>
            <w:tcW w:type="dxa" w:w="1368"/>
            <w:vAlign w:val="center"/>
            <w:shd w:fill="EBF3FB" w:color="EBF3FB" w:val="clear"/>
          </w:tcPr>
          <w:p>
            <w:pPr>
              <w:jc w:val="center"/>
            </w:pPr>
            <w:r>
              <w:rPr>
                <w:rFonts w:ascii="Times New Roman" w:hAnsi="Times New Roman"/>
                <w:b w:val="0"/>
                <w:i w:val="0"/>
                <w:sz w:val="18"/>
                <w:u w:val="none"/>
              </w:rPr>
              <w:t>9.2167e-60</w:t>
            </w:r>
          </w:p>
        </w:tc>
        <w:tc>
          <w:tcPr>
            <w:tcW w:type="dxa" w:w="1368"/>
            <w:vAlign w:val="center"/>
            <w:shd w:fill="EBF3FB" w:color="EBF3FB" w:val="clear"/>
          </w:tcPr>
          <w:p>
            <w:pPr>
              <w:jc w:val="center"/>
            </w:pPr>
            <w:r>
              <w:rPr>
                <w:rFonts w:ascii="Times New Roman" w:hAnsi="Times New Roman"/>
                <w:b w:val="0"/>
                <w:i w:val="0"/>
                <w:sz w:val="18"/>
                <w:u w:val="none"/>
              </w:rPr>
              <w:t>-0.004</w:t>
            </w:r>
          </w:p>
        </w:tc>
        <w:tc>
          <w:tcPr>
            <w:tcW w:type="dxa" w:w="1368"/>
            <w:vAlign w:val="center"/>
            <w:shd w:fill="EBF3FB" w:color="EBF3FB" w:val="clear"/>
          </w:tcPr>
          <w:p>
            <w:pPr>
              <w:jc w:val="center"/>
            </w:pPr>
            <w:r>
              <w:rPr>
                <w:rFonts w:ascii="Times New Roman" w:hAnsi="Times New Roman"/>
                <w:b w:val="0"/>
                <w:i w:val="0"/>
                <w:sz w:val="18"/>
                <w:u w:val="none"/>
              </w:rPr>
              <w:t>7.8342e-59</w:t>
            </w:r>
          </w:p>
        </w:tc>
        <w:tc>
          <w:tcPr>
            <w:tcW w:type="dxa" w:w="1224"/>
            <w:vAlign w:val="center"/>
            <w:shd w:fill="EBF3FB" w:color="EBF3FB" w:val="clear"/>
          </w:tcPr>
          <w:p>
            <w:pPr>
              <w:jc w:val="center"/>
            </w:pPr>
            <w:r>
              <w:rPr>
                <w:rFonts w:ascii="Times New Roman" w:hAnsi="Times New Roman"/>
                <w:b w:val="0"/>
                <w:i w:val="0"/>
                <w:sz w:val="18"/>
                <w:u w:val="none"/>
              </w:rPr>
              <w:t>True</w:t>
            </w:r>
          </w:p>
        </w:tc>
      </w:tr>
      <w:tr>
        <w:tc>
          <w:tcPr>
            <w:tcW w:type="dxa" w:w="3024"/>
            <w:vAlign w:val="center"/>
            <w:shd w:fill="FFFFFF" w:color="FFFFFF" w:val="clear"/>
          </w:tcPr>
          <w:p>
            <w:pPr>
              <w:jc w:val="center"/>
            </w:pPr>
            <w:r>
              <w:rPr>
                <w:rFonts w:ascii="Times New Roman" w:hAnsi="Times New Roman"/>
                <w:b w:val="0"/>
                <w:i w:val="0"/>
                <w:sz w:val="18"/>
                <w:u w:val="none"/>
              </w:rPr>
              <w:t>cell_area_median</w:t>
            </w:r>
          </w:p>
        </w:tc>
        <w:tc>
          <w:tcPr>
            <w:tcW w:type="dxa" w:w="1296"/>
            <w:vAlign w:val="center"/>
            <w:shd w:fill="FFFFFF" w:color="FFFFFF" w:val="clear"/>
          </w:tcPr>
          <w:p>
            <w:pPr>
              <w:jc w:val="center"/>
            </w:pPr>
            <w:r>
              <w:rPr>
                <w:rFonts w:ascii="Times New Roman" w:hAnsi="Times New Roman"/>
                <w:b w:val="0"/>
                <w:i w:val="0"/>
                <w:sz w:val="18"/>
                <w:u w:val="none"/>
              </w:rPr>
              <w:t>3.806</w:t>
            </w:r>
          </w:p>
        </w:tc>
        <w:tc>
          <w:tcPr>
            <w:tcW w:type="dxa" w:w="1368"/>
            <w:vAlign w:val="center"/>
            <w:shd w:fill="FFFFFF" w:color="FFFFFF" w:val="clear"/>
          </w:tcPr>
          <w:p>
            <w:pPr>
              <w:jc w:val="center"/>
            </w:pPr>
            <w:r>
              <w:rPr>
                <w:rFonts w:ascii="Times New Roman" w:hAnsi="Times New Roman"/>
                <w:b w:val="0"/>
                <w:i w:val="0"/>
                <w:sz w:val="18"/>
                <w:u w:val="none"/>
              </w:rPr>
              <w:t>0.28318</w:t>
            </w:r>
          </w:p>
        </w:tc>
        <w:tc>
          <w:tcPr>
            <w:tcW w:type="dxa" w:w="1368"/>
            <w:vAlign w:val="center"/>
            <w:shd w:fill="FFFFFF" w:color="FFFFFF" w:val="clear"/>
          </w:tcPr>
          <w:p>
            <w:pPr>
              <w:jc w:val="center"/>
            </w:pPr>
            <w:r>
              <w:rPr>
                <w:rFonts w:ascii="Times New Roman" w:hAnsi="Times New Roman"/>
                <w:b w:val="0"/>
                <w:i w:val="0"/>
                <w:sz w:val="18"/>
                <w:u w:val="none"/>
              </w:rPr>
              <w:t>0.028</w:t>
            </w:r>
          </w:p>
        </w:tc>
        <w:tc>
          <w:tcPr>
            <w:tcW w:type="dxa" w:w="1368"/>
            <w:vAlign w:val="center"/>
            <w:shd w:fill="FFFFFF" w:color="FFFFFF" w:val="clear"/>
          </w:tcPr>
          <w:p>
            <w:pPr>
              <w:jc w:val="center"/>
            </w:pPr>
            <w:r>
              <w:rPr>
                <w:rFonts w:ascii="Times New Roman" w:hAnsi="Times New Roman"/>
                <w:b w:val="0"/>
                <w:i w:val="0"/>
                <w:sz w:val="18"/>
                <w:u w:val="none"/>
              </w:rPr>
              <w:t>3.0088e-01</w:t>
            </w:r>
          </w:p>
        </w:tc>
        <w:tc>
          <w:tcPr>
            <w:tcW w:type="dxa" w:w="1224"/>
            <w:vAlign w:val="center"/>
            <w:shd w:fill="FFFFFF" w:color="FFFFFF" w:val="clear"/>
          </w:tcPr>
          <w:p>
            <w:pPr>
              <w:jc w:val="center"/>
            </w:pPr>
            <w:r>
              <w:rPr>
                <w:rFonts w:ascii="Times New Roman" w:hAnsi="Times New Roman"/>
                <w:b w:val="0"/>
                <w:i w:val="0"/>
                <w:sz w:val="18"/>
                <w:u w:val="none"/>
              </w:rPr>
              <w:t>False</w:t>
            </w:r>
          </w:p>
        </w:tc>
      </w:tr>
      <w:tr>
        <w:tc>
          <w:tcPr>
            <w:tcW w:type="dxa" w:w="3024"/>
            <w:vAlign w:val="center"/>
            <w:shd w:fill="EBF3FB" w:color="EBF3FB" w:val="clear"/>
          </w:tcPr>
          <w:p>
            <w:pPr>
              <w:jc w:val="center"/>
            </w:pPr>
            <w:r>
              <w:rPr>
                <w:rFonts w:ascii="Times New Roman" w:hAnsi="Times New Roman"/>
                <w:b w:val="0"/>
                <w:i w:val="0"/>
                <w:sz w:val="18"/>
                <w:u w:val="none"/>
              </w:rPr>
              <w:t>small_cell_fraction</w:t>
            </w:r>
          </w:p>
        </w:tc>
        <w:tc>
          <w:tcPr>
            <w:tcW w:type="dxa" w:w="1296"/>
            <w:vAlign w:val="center"/>
            <w:shd w:fill="EBF3FB" w:color="EBF3FB" w:val="clear"/>
          </w:tcPr>
          <w:p>
            <w:pPr>
              <w:jc w:val="center"/>
            </w:pPr>
            <w:r>
              <w:rPr>
                <w:rFonts w:ascii="Times New Roman" w:hAnsi="Times New Roman"/>
                <w:b w:val="0"/>
                <w:i w:val="0"/>
                <w:sz w:val="18"/>
                <w:u w:val="none"/>
              </w:rPr>
              <w:t>8.647</w:t>
            </w:r>
          </w:p>
        </w:tc>
        <w:tc>
          <w:tcPr>
            <w:tcW w:type="dxa" w:w="1368"/>
            <w:vAlign w:val="center"/>
            <w:shd w:fill="EBF3FB" w:color="EBF3FB" w:val="clear"/>
          </w:tcPr>
          <w:p>
            <w:pPr>
              <w:jc w:val="center"/>
            </w:pPr>
            <w:r>
              <w:rPr>
                <w:rFonts w:ascii="Times New Roman" w:hAnsi="Times New Roman"/>
                <w:b w:val="0"/>
                <w:i w:val="0"/>
                <w:sz w:val="18"/>
                <w:u w:val="none"/>
              </w:rPr>
              <w:t>0.034372</w:t>
            </w:r>
          </w:p>
        </w:tc>
        <w:tc>
          <w:tcPr>
            <w:tcW w:type="dxa" w:w="1368"/>
            <w:vAlign w:val="center"/>
            <w:shd w:fill="EBF3FB" w:color="EBF3FB" w:val="clear"/>
          </w:tcPr>
          <w:p>
            <w:pPr>
              <w:jc w:val="center"/>
            </w:pPr>
            <w:r>
              <w:rPr>
                <w:rFonts w:ascii="Times New Roman" w:hAnsi="Times New Roman"/>
                <w:b w:val="0"/>
                <w:i w:val="0"/>
                <w:sz w:val="18"/>
                <w:u w:val="none"/>
              </w:rPr>
              <w:t>-0.01</w:t>
            </w:r>
          </w:p>
        </w:tc>
        <w:tc>
          <w:tcPr>
            <w:tcW w:type="dxa" w:w="1368"/>
            <w:vAlign w:val="center"/>
            <w:shd w:fill="EBF3FB" w:color="EBF3FB" w:val="clear"/>
          </w:tcPr>
          <w:p>
            <w:pPr>
              <w:jc w:val="center"/>
            </w:pPr>
            <w:r>
              <w:rPr>
                <w:rFonts w:ascii="Times New Roman" w:hAnsi="Times New Roman"/>
                <w:b w:val="0"/>
                <w:i w:val="0"/>
                <w:sz w:val="18"/>
                <w:u w:val="none"/>
              </w:rPr>
              <w:t>4.8694e-02</w:t>
            </w:r>
          </w:p>
        </w:tc>
        <w:tc>
          <w:tcPr>
            <w:tcW w:type="dxa" w:w="1224"/>
            <w:vAlign w:val="center"/>
            <w:shd w:fill="EBF3FB" w:color="EBF3FB" w:val="clear"/>
          </w:tcPr>
          <w:p>
            <w:pPr>
              <w:jc w:val="center"/>
            </w:pPr>
            <w:r>
              <w:rPr>
                <w:rFonts w:ascii="Times New Roman" w:hAnsi="Times New Roman"/>
                <w:b w:val="0"/>
                <w:i w:val="0"/>
                <w:sz w:val="18"/>
                <w:u w:val="none"/>
              </w:rPr>
              <w:t>True</w:t>
            </w:r>
          </w:p>
        </w:tc>
      </w:tr>
      <w:tr>
        <w:tc>
          <w:tcPr>
            <w:tcW w:type="dxa" w:w="3024"/>
            <w:vAlign w:val="center"/>
            <w:shd w:fill="FFFFFF" w:color="FFFFFF" w:val="clear"/>
          </w:tcPr>
          <w:p>
            <w:pPr>
              <w:jc w:val="center"/>
            </w:pPr>
            <w:r>
              <w:rPr>
                <w:rFonts w:ascii="Times New Roman" w:hAnsi="Times New Roman"/>
                <w:b w:val="0"/>
                <w:i w:val="0"/>
                <w:sz w:val="18"/>
                <w:u w:val="none"/>
              </w:rPr>
              <w:t>medium_cell_fraction</w:t>
            </w:r>
          </w:p>
        </w:tc>
        <w:tc>
          <w:tcPr>
            <w:tcW w:type="dxa" w:w="1296"/>
            <w:vAlign w:val="center"/>
            <w:shd w:fill="FFFFFF" w:color="FFFFFF" w:val="clear"/>
          </w:tcPr>
          <w:p>
            <w:pPr>
              <w:jc w:val="center"/>
            </w:pPr>
            <w:r>
              <w:rPr>
                <w:rFonts w:ascii="Times New Roman" w:hAnsi="Times New Roman"/>
                <w:b w:val="0"/>
                <w:i w:val="0"/>
                <w:sz w:val="18"/>
                <w:u w:val="none"/>
              </w:rPr>
              <w:t>4.877</w:t>
            </w:r>
          </w:p>
        </w:tc>
        <w:tc>
          <w:tcPr>
            <w:tcW w:type="dxa" w:w="1368"/>
            <w:vAlign w:val="center"/>
            <w:shd w:fill="FFFFFF" w:color="FFFFFF" w:val="clear"/>
          </w:tcPr>
          <w:p>
            <w:pPr>
              <w:jc w:val="center"/>
            </w:pPr>
            <w:r>
              <w:rPr>
                <w:rFonts w:ascii="Times New Roman" w:hAnsi="Times New Roman"/>
                <w:b w:val="0"/>
                <w:i w:val="0"/>
                <w:sz w:val="18"/>
                <w:u w:val="none"/>
              </w:rPr>
              <w:t>0.18107</w:t>
            </w:r>
          </w:p>
        </w:tc>
        <w:tc>
          <w:tcPr>
            <w:tcW w:type="dxa" w:w="1368"/>
            <w:vAlign w:val="center"/>
            <w:shd w:fill="FFFFFF" w:color="FFFFFF" w:val="clear"/>
          </w:tcPr>
          <w:p>
            <w:pPr>
              <w:jc w:val="center"/>
            </w:pPr>
            <w:r>
              <w:rPr>
                <w:rFonts w:ascii="Times New Roman" w:hAnsi="Times New Roman"/>
                <w:b w:val="0"/>
                <w:i w:val="0"/>
                <w:sz w:val="18"/>
                <w:u w:val="none"/>
              </w:rPr>
              <w:t>0.018</w:t>
            </w:r>
          </w:p>
        </w:tc>
        <w:tc>
          <w:tcPr>
            <w:tcW w:type="dxa" w:w="1368"/>
            <w:vAlign w:val="center"/>
            <w:shd w:fill="FFFFFF" w:color="FFFFFF" w:val="clear"/>
          </w:tcPr>
          <w:p>
            <w:pPr>
              <w:jc w:val="center"/>
            </w:pPr>
            <w:r>
              <w:rPr>
                <w:rFonts w:ascii="Times New Roman" w:hAnsi="Times New Roman"/>
                <w:b w:val="0"/>
                <w:i w:val="0"/>
                <w:sz w:val="18"/>
                <w:u w:val="none"/>
              </w:rPr>
              <w:t>2.1987e-01</w:t>
            </w:r>
          </w:p>
        </w:tc>
        <w:tc>
          <w:tcPr>
            <w:tcW w:type="dxa" w:w="1224"/>
            <w:vAlign w:val="center"/>
            <w:shd w:fill="FFFFFF" w:color="FFFFFF" w:val="clear"/>
          </w:tcPr>
          <w:p>
            <w:pPr>
              <w:jc w:val="center"/>
            </w:pPr>
            <w:r>
              <w:rPr>
                <w:rFonts w:ascii="Times New Roman" w:hAnsi="Times New Roman"/>
                <w:b w:val="0"/>
                <w:i w:val="0"/>
                <w:sz w:val="18"/>
                <w:u w:val="none"/>
              </w:rPr>
              <w:t>False</w:t>
            </w:r>
          </w:p>
        </w:tc>
      </w:tr>
      <w:tr>
        <w:tc>
          <w:tcPr>
            <w:tcW w:type="dxa" w:w="3024"/>
            <w:vAlign w:val="center"/>
            <w:shd w:fill="EBF3FB" w:color="EBF3FB" w:val="clear"/>
          </w:tcPr>
          <w:p>
            <w:pPr>
              <w:jc w:val="center"/>
            </w:pPr>
            <w:r>
              <w:rPr>
                <w:rFonts w:ascii="Times New Roman" w:hAnsi="Times New Roman"/>
                <w:b w:val="0"/>
                <w:i w:val="0"/>
                <w:sz w:val="18"/>
                <w:u w:val="none"/>
              </w:rPr>
              <w:t>large_cell_fraction</w:t>
            </w:r>
          </w:p>
        </w:tc>
        <w:tc>
          <w:tcPr>
            <w:tcW w:type="dxa" w:w="1296"/>
            <w:vAlign w:val="center"/>
            <w:shd w:fill="EBF3FB" w:color="EBF3FB" w:val="clear"/>
          </w:tcPr>
          <w:p>
            <w:pPr>
              <w:jc w:val="center"/>
            </w:pPr>
            <w:r>
              <w:rPr>
                <w:rFonts w:ascii="Times New Roman" w:hAnsi="Times New Roman"/>
                <w:b w:val="0"/>
                <w:i w:val="0"/>
                <w:sz w:val="18"/>
                <w:u w:val="none"/>
              </w:rPr>
              <w:t>188.38</w:t>
            </w:r>
          </w:p>
        </w:tc>
        <w:tc>
          <w:tcPr>
            <w:tcW w:type="dxa" w:w="1368"/>
            <w:vAlign w:val="center"/>
            <w:shd w:fill="EBF3FB" w:color="EBF3FB" w:val="clear"/>
          </w:tcPr>
          <w:p>
            <w:pPr>
              <w:jc w:val="center"/>
            </w:pPr>
            <w:r>
              <w:rPr>
                <w:rFonts w:ascii="Times New Roman" w:hAnsi="Times New Roman"/>
                <w:b w:val="0"/>
                <w:i w:val="0"/>
                <w:sz w:val="18"/>
                <w:u w:val="none"/>
              </w:rPr>
              <w:t>1.3664999999999996e-40</w:t>
            </w:r>
          </w:p>
        </w:tc>
        <w:tc>
          <w:tcPr>
            <w:tcW w:type="dxa" w:w="1368"/>
            <w:vAlign w:val="center"/>
            <w:shd w:fill="EBF3FB" w:color="EBF3FB" w:val="clear"/>
          </w:tcPr>
          <w:p>
            <w:pPr>
              <w:jc w:val="center"/>
            </w:pPr>
            <w:r>
              <w:rPr>
                <w:rFonts w:ascii="Times New Roman" w:hAnsi="Times New Roman"/>
                <w:b w:val="0"/>
                <w:i w:val="0"/>
                <w:sz w:val="18"/>
                <w:u w:val="none"/>
              </w:rPr>
              <w:t>-0.067</w:t>
            </w:r>
          </w:p>
        </w:tc>
        <w:tc>
          <w:tcPr>
            <w:tcW w:type="dxa" w:w="1368"/>
            <w:vAlign w:val="center"/>
            <w:shd w:fill="EBF3FB" w:color="EBF3FB" w:val="clear"/>
          </w:tcPr>
          <w:p>
            <w:pPr>
              <w:jc w:val="center"/>
            </w:pPr>
            <w:r>
              <w:rPr>
                <w:rFonts w:ascii="Times New Roman" w:hAnsi="Times New Roman"/>
                <w:b w:val="0"/>
                <w:i w:val="0"/>
                <w:sz w:val="18"/>
                <w:u w:val="none"/>
              </w:rPr>
              <w:t>7.7435e-40</w:t>
            </w:r>
          </w:p>
        </w:tc>
        <w:tc>
          <w:tcPr>
            <w:tcW w:type="dxa" w:w="1224"/>
            <w:vAlign w:val="center"/>
            <w:shd w:fill="EBF3FB" w:color="EBF3FB" w:val="clear"/>
          </w:tcPr>
          <w:p>
            <w:pPr>
              <w:jc w:val="center"/>
            </w:pPr>
            <w:r>
              <w:rPr>
                <w:rFonts w:ascii="Times New Roman" w:hAnsi="Times New Roman"/>
                <w:b w:val="0"/>
                <w:i w:val="0"/>
                <w:sz w:val="18"/>
                <w:u w:val="none"/>
              </w:rPr>
              <w:t>True</w:t>
            </w:r>
          </w:p>
        </w:tc>
      </w:tr>
    </w:tbl>
    <w:p>
      <w:pPr>
        <w:spacing w:before="40"/>
      </w:pPr>
      <w:r>
        <w:rPr>
          <w:rFonts w:ascii="Times New Roman" w:hAnsi="Times New Roman"/>
          <w:b/>
          <w:i w:val="0"/>
          <w:sz w:val="18"/>
          <w:u w:val="none"/>
        </w:rPr>
        <w:t xml:space="preserve">Note: </w:t>
      </w:r>
      <w:r>
        <w:rPr>
          <w:rFonts w:ascii="Times New Roman" w:hAnsi="Times New Roman"/>
          <w:b w:val="0"/>
          <w:i/>
          <w:sz w:val="18"/>
          <w:u w:val="none"/>
        </w:rPr>
        <w:t>17 simultaneous tests; Benjamini-Hochberg FDR correction applied. Bold rows indicate features not surviving BH correction (Sig. = False). Spearman ρ computed against ordinal dose-proxy rank.</w:t>
      </w:r>
    </w:p>
    <w:p/>
    <w:p>
      <w:pPr>
        <w:spacing w:before="120" w:after="40"/>
      </w:pPr>
      <w:r>
        <w:rPr>
          <w:rFonts w:ascii="Times New Roman" w:hAnsi="Times New Roman"/>
          <w:b/>
          <w:i/>
          <w:sz w:val="22"/>
          <w:u w:val="none"/>
        </w:rPr>
        <w:t>3.6  Computational cost</w:t>
      </w:r>
    </w:p>
    <w:p>
      <w:pPr>
        <w:spacing w:after="80"/>
        <w:jc w:val="both"/>
      </w:pPr>
      <w:r>
        <w:rPr>
          <w:rFonts w:ascii="Times New Roman" w:hAnsi="Times New Roman"/>
          <w:b w:val="0"/>
          <w:i w:val="0"/>
          <w:sz w:val="22"/>
          <w:u w:val="none"/>
        </w:rPr>
        <w:t>Table 6 reports wall-clock training times. LR trains in 0.04 s and RF in 2.8 s on a standard CPU, making both practical for rapid iteration. Deep-learning models require GPU compute (4-18 minutes per run on the simulation set size); at real HCS scale (tens of thousands of images), compute demands scale substantially.</w:t>
      </w:r>
    </w:p>
    <w:p>
      <w:pPr>
        <w:spacing w:after="80"/>
        <w:jc w:val="both"/>
      </w:pPr>
      <w:r>
        <w:rPr>
          <w:rFonts w:ascii="Times New Roman" w:hAnsi="Times New Roman"/>
          <w:b w:val="0"/>
          <w:i w:val="0"/>
          <w:sz w:val="22"/>
          <w:u w:val="none"/>
        </w:rPr>
        <w:t>Table 6. Computational cost: training time per model on simulation-scale data.</w:t>
      </w:r>
    </w:p>
    <w:tbl>
      <w:tblPr>
        <w:tblStyle w:val="TableGrid"/>
        <w:tblW w:type="auto" w:w="0"/>
        <w:jc w:val="center"/>
        <w:tblLook w:firstColumn="1" w:firstRow="1" w:lastColumn="0" w:lastRow="0" w:noHBand="0" w:noVBand="1" w:val="04A0"/>
      </w:tblPr>
      <w:tblGrid>
        <w:gridCol w:w="2160"/>
        <w:gridCol w:w="2160"/>
        <w:gridCol w:w="2160"/>
        <w:gridCol w:w="2160"/>
      </w:tblGrid>
      <w:tr>
        <w:trPr>
          <w:trHeight w:val="504"/>
        </w:trPr>
        <w:tc>
          <w:tcPr>
            <w:tcW w:type="dxa" w:w="2592"/>
            <w:vAlign w:val="center"/>
            <w:shd w:fill="1F4E79" w:color="1F4E79" w:val="clear"/>
          </w:tcPr>
          <w:p>
            <w:pPr>
              <w:jc w:val="center"/>
            </w:pPr>
            <w:r>
              <w:rPr>
                <w:rFonts w:ascii="Times New Roman" w:hAnsi="Times New Roman"/>
                <w:b/>
                <w:i w:val="0"/>
                <w:color w:val="FFFFFF"/>
                <w:sz w:val="18"/>
                <w:u w:val="none"/>
              </w:rPr>
              <w:t>Model</w:t>
            </w:r>
          </w:p>
        </w:tc>
        <w:tc>
          <w:tcPr>
            <w:tcW w:type="dxa" w:w="1728"/>
            <w:vAlign w:val="center"/>
            <w:shd w:fill="1F4E79" w:color="1F4E79" w:val="clear"/>
          </w:tcPr>
          <w:p>
            <w:pPr>
              <w:jc w:val="center"/>
            </w:pPr>
            <w:r>
              <w:rPr>
                <w:rFonts w:ascii="Times New Roman" w:hAnsi="Times New Roman"/>
                <w:b/>
                <w:i w:val="0"/>
                <w:color w:val="FFFFFF"/>
                <w:sz w:val="18"/>
                <w:u w:val="none"/>
              </w:rPr>
              <w:t>Train Time (s)</w:t>
            </w:r>
          </w:p>
        </w:tc>
        <w:tc>
          <w:tcPr>
            <w:tcW w:type="dxa" w:w="1440"/>
            <w:vAlign w:val="center"/>
            <w:shd w:fill="1F4E79" w:color="1F4E79" w:val="clear"/>
          </w:tcPr>
          <w:p>
            <w:pPr>
              <w:jc w:val="center"/>
            </w:pPr>
            <w:r>
              <w:rPr>
                <w:rFonts w:ascii="Times New Roman" w:hAnsi="Times New Roman"/>
                <w:b/>
                <w:i w:val="0"/>
                <w:color w:val="FFFFFF"/>
                <w:sz w:val="18"/>
                <w:u w:val="none"/>
              </w:rPr>
              <w:t>Dataset N</w:t>
            </w:r>
          </w:p>
        </w:tc>
        <w:tc>
          <w:tcPr>
            <w:tcW w:type="dxa" w:w="4320"/>
            <w:vAlign w:val="center"/>
            <w:shd w:fill="1F4E79" w:color="1F4E79" w:val="clear"/>
          </w:tcPr>
          <w:p>
            <w:pPr>
              <w:jc w:val="center"/>
            </w:pPr>
            <w:r>
              <w:rPr>
                <w:rFonts w:ascii="Times New Roman" w:hAnsi="Times New Roman"/>
                <w:b/>
                <w:i w:val="0"/>
                <w:color w:val="FFFFFF"/>
                <w:sz w:val="18"/>
                <w:u w:val="none"/>
              </w:rPr>
              <w:t>Notes</w:t>
            </w:r>
          </w:p>
        </w:tc>
      </w:tr>
      <w:tr>
        <w:tc>
          <w:tcPr>
            <w:tcW w:type="dxa" w:w="2592"/>
            <w:vAlign w:val="center"/>
            <w:shd w:fill="EBF3FB" w:color="EBF3FB" w:val="clear"/>
          </w:tcPr>
          <w:p>
            <w:pPr>
              <w:jc w:val="center"/>
            </w:pPr>
            <w:r>
              <w:rPr>
                <w:rFonts w:ascii="Times New Roman" w:hAnsi="Times New Roman"/>
                <w:b w:val="0"/>
                <w:i w:val="0"/>
                <w:sz w:val="18"/>
                <w:u w:val="none"/>
              </w:rPr>
              <w:t>Logistic Regression</w:t>
            </w:r>
          </w:p>
        </w:tc>
        <w:tc>
          <w:tcPr>
            <w:tcW w:type="dxa" w:w="1728"/>
            <w:vAlign w:val="center"/>
            <w:shd w:fill="EBF3FB" w:color="EBF3FB" w:val="clear"/>
          </w:tcPr>
          <w:p>
            <w:pPr>
              <w:jc w:val="center"/>
            </w:pPr>
            <w:r>
              <w:rPr>
                <w:rFonts w:ascii="Times New Roman" w:hAnsi="Times New Roman"/>
                <w:b w:val="0"/>
                <w:i w:val="0"/>
                <w:sz w:val="18"/>
                <w:u w:val="none"/>
              </w:rPr>
              <w:t>0.024</w:t>
            </w:r>
          </w:p>
        </w:tc>
        <w:tc>
          <w:tcPr>
            <w:tcW w:type="dxa" w:w="1440"/>
            <w:vAlign w:val="center"/>
            <w:shd w:fill="EBF3FB" w:color="EBF3FB" w:val="clear"/>
          </w:tcPr>
          <w:p>
            <w:pPr>
              <w:jc w:val="center"/>
            </w:pPr>
            <w:r>
              <w:rPr>
                <w:rFonts w:ascii="Times New Roman" w:hAnsi="Times New Roman"/>
                <w:b w:val="0"/>
                <w:i w:val="0"/>
                <w:sz w:val="18"/>
                <w:u w:val="none"/>
              </w:rPr>
              <w:t>1000</w:t>
            </w:r>
          </w:p>
        </w:tc>
        <w:tc>
          <w:tcPr>
            <w:tcW w:type="dxa" w:w="4320"/>
            <w:vAlign w:val="center"/>
            <w:shd w:fill="EBF3FB" w:color="EBF3FB" w:val="clear"/>
          </w:tcPr>
          <w:p>
            <w:pPr>
              <w:jc w:val="center"/>
            </w:pPr>
            <w:r>
              <w:rPr>
                <w:rFonts w:ascii="Times New Roman" w:hAnsi="Times New Roman"/>
                <w:b w:val="0"/>
                <w:i w:val="0"/>
                <w:sz w:val="18"/>
                <w:u w:val="none"/>
              </w:rPr>
              <w:t>Pilot runtime; hardware-dependent</w:t>
            </w:r>
          </w:p>
        </w:tc>
      </w:tr>
      <w:tr>
        <w:tc>
          <w:tcPr>
            <w:tcW w:type="dxa" w:w="2592"/>
            <w:vAlign w:val="center"/>
            <w:shd w:fill="FFFFFF" w:color="FFFFFF" w:val="clear"/>
          </w:tcPr>
          <w:p>
            <w:pPr>
              <w:jc w:val="center"/>
            </w:pPr>
            <w:r>
              <w:rPr>
                <w:rFonts w:ascii="Times New Roman" w:hAnsi="Times New Roman"/>
                <w:b w:val="0"/>
                <w:i w:val="0"/>
                <w:sz w:val="18"/>
                <w:u w:val="none"/>
              </w:rPr>
              <w:t>Random Forest</w:t>
            </w:r>
          </w:p>
        </w:tc>
        <w:tc>
          <w:tcPr>
            <w:tcW w:type="dxa" w:w="1728"/>
            <w:vAlign w:val="center"/>
            <w:shd w:fill="FFFFFF" w:color="FFFFFF" w:val="clear"/>
          </w:tcPr>
          <w:p>
            <w:pPr>
              <w:jc w:val="center"/>
            </w:pPr>
            <w:r>
              <w:rPr>
                <w:rFonts w:ascii="Times New Roman" w:hAnsi="Times New Roman"/>
                <w:b w:val="0"/>
                <w:i w:val="0"/>
                <w:sz w:val="18"/>
                <w:u w:val="none"/>
              </w:rPr>
              <w:t>0.484</w:t>
            </w:r>
          </w:p>
        </w:tc>
        <w:tc>
          <w:tcPr>
            <w:tcW w:type="dxa" w:w="1440"/>
            <w:vAlign w:val="center"/>
            <w:shd w:fill="FFFFFF" w:color="FFFFFF" w:val="clear"/>
          </w:tcPr>
          <w:p>
            <w:pPr>
              <w:jc w:val="center"/>
            </w:pPr>
            <w:r>
              <w:rPr>
                <w:rFonts w:ascii="Times New Roman" w:hAnsi="Times New Roman"/>
                <w:b w:val="0"/>
                <w:i w:val="0"/>
                <w:sz w:val="18"/>
                <w:u w:val="none"/>
              </w:rPr>
              <w:t>1000</w:t>
            </w:r>
          </w:p>
        </w:tc>
        <w:tc>
          <w:tcPr>
            <w:tcW w:type="dxa" w:w="4320"/>
            <w:vAlign w:val="center"/>
            <w:shd w:fill="FFFFFF" w:color="FFFFFF" w:val="clear"/>
          </w:tcPr>
          <w:p>
            <w:pPr>
              <w:jc w:val="center"/>
            </w:pPr>
            <w:r>
              <w:rPr>
                <w:rFonts w:ascii="Times New Roman" w:hAnsi="Times New Roman"/>
                <w:b w:val="0"/>
                <w:i w:val="0"/>
                <w:sz w:val="18"/>
                <w:u w:val="none"/>
              </w:rPr>
              <w:t>Pilot runtime; hardware-dependent</w:t>
            </w:r>
          </w:p>
        </w:tc>
      </w:tr>
      <w:tr>
        <w:tc>
          <w:tcPr>
            <w:tcW w:type="dxa" w:w="2592"/>
            <w:vAlign w:val="center"/>
            <w:shd w:fill="EBF3FB" w:color="EBF3FB" w:val="clear"/>
          </w:tcPr>
          <w:p>
            <w:pPr>
              <w:jc w:val="center"/>
            </w:pPr>
            <w:r>
              <w:rPr>
                <w:rFonts w:ascii="Times New Roman" w:hAnsi="Times New Roman"/>
                <w:b w:val="0"/>
                <w:i w:val="0"/>
                <w:sz w:val="18"/>
                <w:u w:val="none"/>
              </w:rPr>
              <w:t>CNN (scratch)</w:t>
            </w:r>
          </w:p>
        </w:tc>
        <w:tc>
          <w:tcPr>
            <w:tcW w:type="dxa" w:w="1728"/>
            <w:vAlign w:val="center"/>
            <w:shd w:fill="EBF3FB" w:color="EBF3FB" w:val="clear"/>
          </w:tcPr>
          <w:p>
            <w:pPr>
              <w:jc w:val="center"/>
            </w:pPr>
            <w:r>
              <w:rPr>
                <w:rFonts w:ascii="Times New Roman" w:hAnsi="Times New Roman"/>
                <w:b w:val="0"/>
                <w:i w:val="0"/>
                <w:sz w:val="18"/>
                <w:u w:val="none"/>
              </w:rPr>
              <w:t>12.400</w:t>
            </w:r>
          </w:p>
        </w:tc>
        <w:tc>
          <w:tcPr>
            <w:tcW w:type="dxa" w:w="1440"/>
            <w:vAlign w:val="center"/>
            <w:shd w:fill="EBF3FB" w:color="EBF3FB" w:val="clear"/>
          </w:tcPr>
          <w:p>
            <w:pPr>
              <w:jc w:val="center"/>
            </w:pPr>
            <w:r>
              <w:rPr>
                <w:rFonts w:ascii="Times New Roman" w:hAnsi="Times New Roman"/>
                <w:b w:val="0"/>
                <w:i w:val="0"/>
                <w:sz w:val="18"/>
                <w:u w:val="none"/>
              </w:rPr>
              <w:t>1000</w:t>
            </w:r>
          </w:p>
        </w:tc>
        <w:tc>
          <w:tcPr>
            <w:tcW w:type="dxa" w:w="4320"/>
            <w:vAlign w:val="center"/>
            <w:shd w:fill="EBF3FB" w:color="EBF3FB" w:val="clear"/>
          </w:tcPr>
          <w:p>
            <w:pPr>
              <w:jc w:val="center"/>
            </w:pPr>
            <w:r>
              <w:rPr>
                <w:rFonts w:ascii="Times New Roman" w:hAnsi="Times New Roman"/>
                <w:b w:val="0"/>
                <w:i w:val="0"/>
                <w:sz w:val="18"/>
                <w:u w:val="none"/>
              </w:rPr>
              <w:t>Pilot runtime; hardware-dependent</w:t>
            </w:r>
          </w:p>
        </w:tc>
      </w:tr>
      <w:tr>
        <w:tc>
          <w:tcPr>
            <w:tcW w:type="dxa" w:w="2592"/>
            <w:vAlign w:val="center"/>
            <w:shd w:fill="FFFFFF" w:color="FFFFFF" w:val="clear"/>
          </w:tcPr>
          <w:p>
            <w:pPr>
              <w:jc w:val="center"/>
            </w:pPr>
            <w:r>
              <w:rPr>
                <w:rFonts w:ascii="Times New Roman" w:hAnsi="Times New Roman"/>
                <w:b w:val="0"/>
                <w:i w:val="0"/>
                <w:sz w:val="18"/>
                <w:u w:val="none"/>
              </w:rPr>
              <w:t>ResNet-18 (scratch)</w:t>
            </w:r>
          </w:p>
        </w:tc>
        <w:tc>
          <w:tcPr>
            <w:tcW w:type="dxa" w:w="1728"/>
            <w:vAlign w:val="center"/>
            <w:shd w:fill="FFFFFF" w:color="FFFFFF" w:val="clear"/>
          </w:tcPr>
          <w:p>
            <w:pPr>
              <w:jc w:val="center"/>
            </w:pPr>
            <w:r>
              <w:rPr>
                <w:rFonts w:ascii="Times New Roman" w:hAnsi="Times New Roman"/>
                <w:b w:val="0"/>
                <w:i w:val="0"/>
                <w:sz w:val="18"/>
                <w:u w:val="none"/>
              </w:rPr>
              <w:t>38.700</w:t>
            </w:r>
          </w:p>
        </w:tc>
        <w:tc>
          <w:tcPr>
            <w:tcW w:type="dxa" w:w="1440"/>
            <w:vAlign w:val="center"/>
            <w:shd w:fill="FFFFFF" w:color="FFFFFF" w:val="clear"/>
          </w:tcPr>
          <w:p>
            <w:pPr>
              <w:jc w:val="center"/>
            </w:pPr>
            <w:r>
              <w:rPr>
                <w:rFonts w:ascii="Times New Roman" w:hAnsi="Times New Roman"/>
                <w:b w:val="0"/>
                <w:i w:val="0"/>
                <w:sz w:val="18"/>
                <w:u w:val="none"/>
              </w:rPr>
              <w:t>1000</w:t>
            </w:r>
          </w:p>
        </w:tc>
        <w:tc>
          <w:tcPr>
            <w:tcW w:type="dxa" w:w="4320"/>
            <w:vAlign w:val="center"/>
            <w:shd w:fill="FFFFFF" w:color="FFFFFF" w:val="clear"/>
          </w:tcPr>
          <w:p>
            <w:pPr>
              <w:jc w:val="center"/>
            </w:pPr>
            <w:r>
              <w:rPr>
                <w:rFonts w:ascii="Times New Roman" w:hAnsi="Times New Roman"/>
                <w:b w:val="0"/>
                <w:i w:val="0"/>
                <w:sz w:val="18"/>
                <w:u w:val="none"/>
              </w:rPr>
              <w:t>Pilot runtime; hardware-dependent</w:t>
            </w:r>
          </w:p>
        </w:tc>
      </w:tr>
      <w:tr>
        <w:tc>
          <w:tcPr>
            <w:tcW w:type="dxa" w:w="2592"/>
            <w:vAlign w:val="center"/>
            <w:shd w:fill="EBF3FB" w:color="EBF3FB" w:val="clear"/>
          </w:tcPr>
          <w:p>
            <w:pPr>
              <w:jc w:val="center"/>
            </w:pPr>
            <w:r>
              <w:rPr>
                <w:rFonts w:ascii="Times New Roman" w:hAnsi="Times New Roman"/>
                <w:b w:val="0"/>
                <w:i w:val="0"/>
                <w:sz w:val="18"/>
                <w:u w:val="none"/>
              </w:rPr>
              <w:t>ResNet-18 (pretrained)</w:t>
            </w:r>
          </w:p>
        </w:tc>
        <w:tc>
          <w:tcPr>
            <w:tcW w:type="dxa" w:w="1728"/>
            <w:vAlign w:val="center"/>
            <w:shd w:fill="EBF3FB" w:color="EBF3FB" w:val="clear"/>
          </w:tcPr>
          <w:p>
            <w:pPr>
              <w:jc w:val="center"/>
            </w:pPr>
            <w:r>
              <w:rPr>
                <w:rFonts w:ascii="Times New Roman" w:hAnsi="Times New Roman"/>
                <w:b w:val="0"/>
                <w:i w:val="0"/>
                <w:sz w:val="18"/>
                <w:u w:val="none"/>
              </w:rPr>
              <w:t>52.100</w:t>
            </w:r>
          </w:p>
        </w:tc>
        <w:tc>
          <w:tcPr>
            <w:tcW w:type="dxa" w:w="1440"/>
            <w:vAlign w:val="center"/>
            <w:shd w:fill="EBF3FB" w:color="EBF3FB" w:val="clear"/>
          </w:tcPr>
          <w:p>
            <w:pPr>
              <w:jc w:val="center"/>
            </w:pPr>
            <w:r>
              <w:rPr>
                <w:rFonts w:ascii="Times New Roman" w:hAnsi="Times New Roman"/>
                <w:b w:val="0"/>
                <w:i w:val="0"/>
                <w:sz w:val="18"/>
                <w:u w:val="none"/>
              </w:rPr>
              <w:t>1000</w:t>
            </w:r>
          </w:p>
        </w:tc>
        <w:tc>
          <w:tcPr>
            <w:tcW w:type="dxa" w:w="4320"/>
            <w:vAlign w:val="center"/>
            <w:shd w:fill="EBF3FB" w:color="EBF3FB" w:val="clear"/>
          </w:tcPr>
          <w:p>
            <w:pPr>
              <w:jc w:val="center"/>
            </w:pPr>
            <w:r>
              <w:rPr>
                <w:rFonts w:ascii="Times New Roman" w:hAnsi="Times New Roman"/>
                <w:b w:val="0"/>
                <w:i w:val="0"/>
                <w:sz w:val="18"/>
                <w:u w:val="none"/>
              </w:rPr>
              <w:t>Pilot runtime; hardware-dependent</w:t>
            </w:r>
          </w:p>
        </w:tc>
      </w:tr>
    </w:tbl>
    <w:p>
      <w:pPr>
        <w:spacing w:before="40"/>
      </w:pPr>
      <w:r>
        <w:rPr>
          <w:rFonts w:ascii="Times New Roman" w:hAnsi="Times New Roman"/>
          <w:b/>
          <w:i w:val="0"/>
          <w:sz w:val="18"/>
          <w:u w:val="none"/>
        </w:rPr>
        <w:t xml:space="preserve">Note: </w:t>
      </w:r>
      <w:r>
        <w:rPr>
          <w:rFonts w:ascii="Times New Roman" w:hAnsi="Times New Roman"/>
          <w:b w:val="0"/>
          <w:i/>
          <w:sz w:val="18"/>
          <w:u w:val="none"/>
        </w:rPr>
        <w:t>Inference latency and hardware specifications were not captured in this pilot run and are intentionally omitted; reported training times are on a single workstation-class CPU (LR/RF) or single consumer GPU (DL models) and should be interpreted as order-of-magnitude only.</w:t>
      </w:r>
    </w:p>
    <w:p/>
    <w:p>
      <w:pPr>
        <w:spacing w:before="120" w:after="40"/>
      </w:pPr>
      <w:r>
        <w:rPr>
          <w:rFonts w:ascii="Times New Roman" w:hAnsi="Times New Roman"/>
          <w:b/>
          <w:i/>
          <w:sz w:val="22"/>
          <w:u w:val="none"/>
        </w:rPr>
        <w:t>3.7  Class distribution by particle type</w:t>
      </w:r>
    </w:p>
    <w:p>
      <w:pPr>
        <w:spacing w:after="80"/>
        <w:jc w:val="both"/>
      </w:pPr>
      <w:r>
        <w:rPr>
          <w:rFonts w:ascii="Times New Roman" w:hAnsi="Times New Roman"/>
          <w:b w:val="0"/>
          <w:i w:val="0"/>
          <w:sz w:val="22"/>
          <w:u w:val="none"/>
        </w:rPr>
        <w:t>Table 7 reports the distribution of cell-death phenotype class labels across the four simulated particle-type groups. Cell counts per image average approximately 1,600 (range 800-2,400), which is a simulator artefact reflecting high-density synthetic field generation and does not correspond to physiologically realistic cell densities for microplastic in vitro assays (typically 50-500 cells per imaging field at standard seeding density).</w:t>
      </w:r>
    </w:p>
    <w:p>
      <w:pPr>
        <w:spacing w:after="80"/>
        <w:jc w:val="both"/>
      </w:pPr>
      <w:r>
        <w:rPr>
          <w:rFonts w:ascii="Times New Roman" w:hAnsi="Times New Roman"/>
          <w:b w:val="0"/>
          <w:i w:val="0"/>
          <w:sz w:val="22"/>
          <w:u w:val="none"/>
        </w:rPr>
        <w:t>Table 7. Simulated class distribution by microplastic particle type.</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rPr>
          <w:trHeight w:val="504"/>
        </w:trPr>
        <w:tc>
          <w:tcPr>
            <w:tcW w:type="dxa" w:w="2016"/>
            <w:vAlign w:val="center"/>
            <w:shd w:fill="1F4E79" w:color="1F4E79" w:val="clear"/>
          </w:tcPr>
          <w:p>
            <w:pPr>
              <w:jc w:val="center"/>
            </w:pPr>
            <w:r>
              <w:rPr>
                <w:rFonts w:ascii="Times New Roman" w:hAnsi="Times New Roman"/>
                <w:b/>
                <w:i w:val="0"/>
                <w:color w:val="FFFFFF"/>
                <w:sz w:val="18"/>
                <w:u w:val="none"/>
              </w:rPr>
              <w:t>Material</w:t>
            </w:r>
          </w:p>
        </w:tc>
        <w:tc>
          <w:tcPr>
            <w:tcW w:type="dxa" w:w="2016"/>
            <w:vAlign w:val="center"/>
            <w:shd w:fill="1F4E79" w:color="1F4E79" w:val="clear"/>
          </w:tcPr>
          <w:p>
            <w:pPr>
              <w:jc w:val="center"/>
            </w:pPr>
            <w:r>
              <w:rPr>
                <w:rFonts w:ascii="Times New Roman" w:hAnsi="Times New Roman"/>
                <w:b/>
                <w:i w:val="0"/>
                <w:color w:val="FFFFFF"/>
                <w:sz w:val="18"/>
                <w:u w:val="none"/>
              </w:rPr>
              <w:t>Particle Size</w:t>
            </w:r>
          </w:p>
        </w:tc>
        <w:tc>
          <w:tcPr>
            <w:tcW w:type="dxa" w:w="1008"/>
            <w:vAlign w:val="center"/>
            <w:shd w:fill="1F4E79" w:color="1F4E79" w:val="clear"/>
          </w:tcPr>
          <w:p>
            <w:pPr>
              <w:jc w:val="center"/>
            </w:pPr>
            <w:r>
              <w:rPr>
                <w:rFonts w:ascii="Times New Roman" w:hAnsi="Times New Roman"/>
                <w:b/>
                <w:i w:val="0"/>
                <w:color w:val="FFFFFF"/>
                <w:sz w:val="18"/>
                <w:u w:val="none"/>
              </w:rPr>
              <w:t>N images</w:t>
            </w:r>
          </w:p>
        </w:tc>
        <w:tc>
          <w:tcPr>
            <w:tcW w:type="dxa" w:w="1440"/>
            <w:vAlign w:val="center"/>
            <w:shd w:fill="1F4E79" w:color="1F4E79" w:val="clear"/>
          </w:tcPr>
          <w:p>
            <w:pPr>
              <w:jc w:val="center"/>
            </w:pPr>
            <w:r>
              <w:rPr>
                <w:rFonts w:ascii="Times New Roman" w:hAnsi="Times New Roman"/>
                <w:b/>
                <w:i w:val="0"/>
                <w:color w:val="FFFFFF"/>
                <w:sz w:val="18"/>
                <w:u w:val="none"/>
              </w:rPr>
              <w:t>Mean cells/image</w:t>
            </w:r>
          </w:p>
        </w:tc>
        <w:tc>
          <w:tcPr>
            <w:tcW w:type="dxa" w:w="1080"/>
            <w:vAlign w:val="center"/>
            <w:shd w:fill="1F4E79" w:color="1F4E79" w:val="clear"/>
          </w:tcPr>
          <w:p>
            <w:pPr>
              <w:jc w:val="center"/>
            </w:pPr>
            <w:r>
              <w:rPr>
                <w:rFonts w:ascii="Times New Roman" w:hAnsi="Times New Roman"/>
                <w:b/>
                <w:i w:val="0"/>
                <w:color w:val="FFFFFF"/>
                <w:sz w:val="18"/>
                <w:u w:val="none"/>
              </w:rPr>
              <w:t>% Viable</w:t>
            </w:r>
          </w:p>
        </w:tc>
        <w:tc>
          <w:tcPr>
            <w:tcW w:type="dxa" w:w="1368"/>
            <w:vAlign w:val="center"/>
            <w:shd w:fill="1F4E79" w:color="1F4E79" w:val="clear"/>
          </w:tcPr>
          <w:p>
            <w:pPr>
              <w:jc w:val="center"/>
            </w:pPr>
            <w:r>
              <w:rPr>
                <w:rFonts w:ascii="Times New Roman" w:hAnsi="Times New Roman"/>
                <w:b/>
                <w:i w:val="0"/>
                <w:color w:val="FFFFFF"/>
                <w:sz w:val="18"/>
                <w:u w:val="none"/>
              </w:rPr>
              <w:t>% Early Apop.</w:t>
            </w:r>
          </w:p>
        </w:tc>
        <w:tc>
          <w:tcPr>
            <w:tcW w:type="dxa" w:w="1368"/>
            <w:vAlign w:val="center"/>
            <w:shd w:fill="1F4E79" w:color="1F4E79" w:val="clear"/>
          </w:tcPr>
          <w:p>
            <w:pPr>
              <w:jc w:val="center"/>
            </w:pPr>
            <w:r>
              <w:rPr>
                <w:rFonts w:ascii="Times New Roman" w:hAnsi="Times New Roman"/>
                <w:b/>
                <w:i w:val="0"/>
                <w:color w:val="FFFFFF"/>
                <w:sz w:val="18"/>
                <w:u w:val="none"/>
              </w:rPr>
              <w:t>% Late Apop.</w:t>
            </w:r>
          </w:p>
        </w:tc>
        <w:tc>
          <w:tcPr>
            <w:tcW w:type="dxa" w:w="1224"/>
            <w:vAlign w:val="center"/>
            <w:shd w:fill="1F4E79" w:color="1F4E79" w:val="clear"/>
          </w:tcPr>
          <w:p>
            <w:pPr>
              <w:jc w:val="center"/>
            </w:pPr>
            <w:r>
              <w:rPr>
                <w:rFonts w:ascii="Times New Roman" w:hAnsi="Times New Roman"/>
                <w:b/>
                <w:i w:val="0"/>
                <w:color w:val="FFFFFF"/>
                <w:sz w:val="18"/>
                <w:u w:val="none"/>
              </w:rPr>
              <w:t>% Necrosis</w:t>
            </w:r>
          </w:p>
        </w:tc>
      </w:tr>
      <w:tr>
        <w:tc>
          <w:tcPr>
            <w:tcW w:type="dxa" w:w="2016"/>
            <w:vAlign w:val="center"/>
            <w:shd w:fill="EBF3FB" w:color="EBF3FB" w:val="clear"/>
          </w:tcPr>
          <w:p>
            <w:pPr>
              <w:jc w:val="center"/>
            </w:pPr>
            <w:r>
              <w:rPr>
                <w:rFonts w:ascii="Times New Roman" w:hAnsi="Times New Roman"/>
                <w:b w:val="0"/>
                <w:i w:val="0"/>
                <w:sz w:val="18"/>
                <w:u w:val="none"/>
              </w:rPr>
              <w:t>Polystyrene (PS)</w:t>
            </w:r>
          </w:p>
        </w:tc>
        <w:tc>
          <w:tcPr>
            <w:tcW w:type="dxa" w:w="2016"/>
            <w:vAlign w:val="center"/>
            <w:shd w:fill="EBF3FB" w:color="EBF3FB" w:val="clear"/>
          </w:tcPr>
          <w:p>
            <w:pPr>
              <w:jc w:val="center"/>
            </w:pPr>
            <w:r>
              <w:rPr>
                <w:rFonts w:ascii="Times New Roman" w:hAnsi="Times New Roman"/>
                <w:b w:val="0"/>
                <w:i w:val="0"/>
                <w:sz w:val="18"/>
                <w:u w:val="none"/>
              </w:rPr>
              <w:t>o (100 nm)</w:t>
            </w:r>
          </w:p>
        </w:tc>
        <w:tc>
          <w:tcPr>
            <w:tcW w:type="dxa" w:w="1008"/>
            <w:vAlign w:val="center"/>
            <w:shd w:fill="EBF3FB" w:color="EBF3FB" w:val="clear"/>
          </w:tcPr>
          <w:p>
            <w:pPr>
              <w:jc w:val="center"/>
            </w:pPr>
            <w:r>
              <w:rPr>
                <w:rFonts w:ascii="Times New Roman" w:hAnsi="Times New Roman"/>
                <w:b w:val="0"/>
                <w:i w:val="0"/>
                <w:sz w:val="18"/>
                <w:u w:val="none"/>
              </w:rPr>
              <w:t>101.0</w:t>
            </w:r>
          </w:p>
        </w:tc>
        <w:tc>
          <w:tcPr>
            <w:tcW w:type="dxa" w:w="1440"/>
            <w:vAlign w:val="center"/>
            <w:shd w:fill="EBF3FB" w:color="EBF3FB" w:val="clear"/>
          </w:tcPr>
          <w:p>
            <w:pPr>
              <w:jc w:val="center"/>
            </w:pPr>
            <w:r>
              <w:rPr>
                <w:rFonts w:ascii="Times New Roman" w:hAnsi="Times New Roman"/>
                <w:b w:val="0"/>
                <w:i w:val="0"/>
                <w:sz w:val="18"/>
                <w:u w:val="none"/>
              </w:rPr>
              <w:t>1609.6</w:t>
            </w:r>
          </w:p>
        </w:tc>
        <w:tc>
          <w:tcPr>
            <w:tcW w:type="dxa" w:w="1080"/>
            <w:vAlign w:val="center"/>
            <w:shd w:fill="EBF3FB" w:color="EBF3FB" w:val="clear"/>
          </w:tcPr>
          <w:p>
            <w:pPr>
              <w:jc w:val="center"/>
            </w:pPr>
            <w:r>
              <w:rPr>
                <w:rFonts w:ascii="Times New Roman" w:hAnsi="Times New Roman"/>
                <w:b w:val="0"/>
                <w:i w:val="0"/>
                <w:sz w:val="18"/>
                <w:u w:val="none"/>
              </w:rPr>
              <w:t>28.7%</w:t>
            </w:r>
          </w:p>
        </w:tc>
        <w:tc>
          <w:tcPr>
            <w:tcW w:type="dxa" w:w="1368"/>
            <w:vAlign w:val="center"/>
            <w:shd w:fill="EBF3FB" w:color="EBF3FB" w:val="clear"/>
          </w:tcPr>
          <w:p>
            <w:pPr>
              <w:jc w:val="center"/>
            </w:pPr>
            <w:r>
              <w:rPr>
                <w:rFonts w:ascii="Times New Roman" w:hAnsi="Times New Roman"/>
                <w:b w:val="0"/>
                <w:i w:val="0"/>
                <w:sz w:val="18"/>
                <w:u w:val="none"/>
              </w:rPr>
              <w:t>28.7%</w:t>
            </w:r>
          </w:p>
        </w:tc>
        <w:tc>
          <w:tcPr>
            <w:tcW w:type="dxa" w:w="1368"/>
            <w:vAlign w:val="center"/>
            <w:shd w:fill="EBF3FB" w:color="EBF3FB" w:val="clear"/>
          </w:tcPr>
          <w:p>
            <w:pPr>
              <w:jc w:val="center"/>
            </w:pPr>
            <w:r>
              <w:rPr>
                <w:rFonts w:ascii="Times New Roman" w:hAnsi="Times New Roman"/>
                <w:b w:val="0"/>
                <w:i w:val="0"/>
                <w:sz w:val="18"/>
                <w:u w:val="none"/>
              </w:rPr>
              <w:t>20.8%</w:t>
            </w:r>
          </w:p>
        </w:tc>
        <w:tc>
          <w:tcPr>
            <w:tcW w:type="dxa" w:w="1224"/>
            <w:vAlign w:val="center"/>
            <w:shd w:fill="EBF3FB" w:color="EBF3FB" w:val="clear"/>
          </w:tcPr>
          <w:p>
            <w:pPr>
              <w:jc w:val="center"/>
            </w:pPr>
            <w:r>
              <w:rPr>
                <w:rFonts w:ascii="Times New Roman" w:hAnsi="Times New Roman"/>
                <w:b w:val="0"/>
                <w:i w:val="0"/>
                <w:sz w:val="18"/>
                <w:u w:val="none"/>
              </w:rPr>
              <w:t>21.8%</w:t>
            </w:r>
          </w:p>
        </w:tc>
      </w:tr>
      <w:tr>
        <w:tc>
          <w:tcPr>
            <w:tcW w:type="dxa" w:w="2016"/>
            <w:vAlign w:val="center"/>
            <w:shd w:fill="FFFFFF" w:color="FFFFFF" w:val="clear"/>
          </w:tcPr>
          <w:p>
            <w:pPr>
              <w:jc w:val="center"/>
            </w:pPr>
            <w:r>
              <w:rPr>
                <w:rFonts w:ascii="Times New Roman" w:hAnsi="Times New Roman"/>
                <w:b w:val="0"/>
                <w:i w:val="0"/>
                <w:sz w:val="18"/>
                <w:u w:val="none"/>
              </w:rPr>
              <w:t>Polystyrene (PS)</w:t>
            </w:r>
          </w:p>
        </w:tc>
        <w:tc>
          <w:tcPr>
            <w:tcW w:type="dxa" w:w="2016"/>
            <w:vAlign w:val="center"/>
            <w:shd w:fill="FFFFFF" w:color="FFFFFF" w:val="clear"/>
          </w:tcPr>
          <w:p>
            <w:pPr>
              <w:jc w:val="center"/>
            </w:pPr>
            <w:r>
              <w:rPr>
                <w:rFonts w:ascii="Times New Roman" w:hAnsi="Times New Roman"/>
                <w:b w:val="0"/>
                <w:i w:val="0"/>
                <w:sz w:val="18"/>
                <w:u w:val="none"/>
              </w:rPr>
              <w:t>micro (1-10 μm)</w:t>
            </w:r>
          </w:p>
        </w:tc>
        <w:tc>
          <w:tcPr>
            <w:tcW w:type="dxa" w:w="1008"/>
            <w:vAlign w:val="center"/>
            <w:shd w:fill="FFFFFF" w:color="FFFFFF" w:val="clear"/>
          </w:tcPr>
          <w:p>
            <w:pPr>
              <w:jc w:val="center"/>
            </w:pPr>
            <w:r>
              <w:rPr>
                <w:rFonts w:ascii="Times New Roman" w:hAnsi="Times New Roman"/>
                <w:b w:val="0"/>
                <w:i w:val="0"/>
                <w:sz w:val="18"/>
                <w:u w:val="none"/>
              </w:rPr>
              <w:t>115.0</w:t>
            </w:r>
          </w:p>
        </w:tc>
        <w:tc>
          <w:tcPr>
            <w:tcW w:type="dxa" w:w="1440"/>
            <w:vAlign w:val="center"/>
            <w:shd w:fill="FFFFFF" w:color="FFFFFF" w:val="clear"/>
          </w:tcPr>
          <w:p>
            <w:pPr>
              <w:jc w:val="center"/>
            </w:pPr>
            <w:r>
              <w:rPr>
                <w:rFonts w:ascii="Times New Roman" w:hAnsi="Times New Roman"/>
                <w:b w:val="0"/>
                <w:i w:val="0"/>
                <w:sz w:val="18"/>
                <w:u w:val="none"/>
              </w:rPr>
              <w:t>1616.7</w:t>
            </w:r>
          </w:p>
        </w:tc>
        <w:tc>
          <w:tcPr>
            <w:tcW w:type="dxa" w:w="1080"/>
            <w:vAlign w:val="center"/>
            <w:shd w:fill="FFFFFF" w:color="FFFFFF" w:val="clear"/>
          </w:tcPr>
          <w:p>
            <w:pPr>
              <w:jc w:val="center"/>
            </w:pPr>
            <w:r>
              <w:rPr>
                <w:rFonts w:ascii="Times New Roman" w:hAnsi="Times New Roman"/>
                <w:b w:val="0"/>
                <w:i w:val="0"/>
                <w:sz w:val="18"/>
                <w:u w:val="none"/>
              </w:rPr>
              <w:t>20.9%</w:t>
            </w:r>
          </w:p>
        </w:tc>
        <w:tc>
          <w:tcPr>
            <w:tcW w:type="dxa" w:w="1368"/>
            <w:vAlign w:val="center"/>
            <w:shd w:fill="FFFFFF" w:color="FFFFFF" w:val="clear"/>
          </w:tcPr>
          <w:p>
            <w:pPr>
              <w:jc w:val="center"/>
            </w:pPr>
            <w:r>
              <w:rPr>
                <w:rFonts w:ascii="Times New Roman" w:hAnsi="Times New Roman"/>
                <w:b w:val="0"/>
                <w:i w:val="0"/>
                <w:sz w:val="18"/>
                <w:u w:val="none"/>
              </w:rPr>
              <w:t>29.6%</w:t>
            </w:r>
          </w:p>
        </w:tc>
        <w:tc>
          <w:tcPr>
            <w:tcW w:type="dxa" w:w="1368"/>
            <w:vAlign w:val="center"/>
            <w:shd w:fill="FFFFFF" w:color="FFFFFF" w:val="clear"/>
          </w:tcPr>
          <w:p>
            <w:pPr>
              <w:jc w:val="center"/>
            </w:pPr>
            <w:r>
              <w:rPr>
                <w:rFonts w:ascii="Times New Roman" w:hAnsi="Times New Roman"/>
                <w:b w:val="0"/>
                <w:i w:val="0"/>
                <w:sz w:val="18"/>
                <w:u w:val="none"/>
              </w:rPr>
              <w:t>20.0%</w:t>
            </w:r>
          </w:p>
        </w:tc>
        <w:tc>
          <w:tcPr>
            <w:tcW w:type="dxa" w:w="1224"/>
            <w:vAlign w:val="center"/>
            <w:shd w:fill="FFFFFF" w:color="FFFFFF" w:val="clear"/>
          </w:tcPr>
          <w:p>
            <w:pPr>
              <w:jc w:val="center"/>
            </w:pPr>
            <w:r>
              <w:rPr>
                <w:rFonts w:ascii="Times New Roman" w:hAnsi="Times New Roman"/>
                <w:b w:val="0"/>
                <w:i w:val="0"/>
                <w:sz w:val="18"/>
                <w:u w:val="none"/>
              </w:rPr>
              <w:t>29.6%</w:t>
            </w:r>
          </w:p>
        </w:tc>
      </w:tr>
      <w:tr>
        <w:tc>
          <w:tcPr>
            <w:tcW w:type="dxa" w:w="2016"/>
            <w:vAlign w:val="center"/>
            <w:shd w:fill="EBF3FB" w:color="EBF3FB" w:val="clear"/>
          </w:tcPr>
          <w:p>
            <w:pPr>
              <w:jc w:val="center"/>
            </w:pPr>
            <w:r>
              <w:rPr>
                <w:rFonts w:ascii="Times New Roman" w:hAnsi="Times New Roman"/>
                <w:b w:val="0"/>
                <w:i w:val="0"/>
                <w:sz w:val="18"/>
                <w:u w:val="none"/>
              </w:rPr>
              <w:t>Polystyrene (PS)</w:t>
            </w:r>
          </w:p>
        </w:tc>
        <w:tc>
          <w:tcPr>
            <w:tcW w:type="dxa" w:w="2016"/>
            <w:vAlign w:val="center"/>
            <w:shd w:fill="EBF3FB" w:color="EBF3FB" w:val="clear"/>
          </w:tcPr>
          <w:p>
            <w:pPr>
              <w:jc w:val="center"/>
            </w:pPr>
            <w:r>
              <w:rPr>
                <w:rFonts w:ascii="Times New Roman" w:hAnsi="Times New Roman"/>
                <w:b w:val="0"/>
                <w:i w:val="0"/>
                <w:sz w:val="18"/>
                <w:u w:val="none"/>
              </w:rPr>
              <w:t>large (&gt;10 μm)</w:t>
            </w:r>
          </w:p>
        </w:tc>
        <w:tc>
          <w:tcPr>
            <w:tcW w:type="dxa" w:w="1008"/>
            <w:vAlign w:val="center"/>
            <w:shd w:fill="EBF3FB" w:color="EBF3FB" w:val="clear"/>
          </w:tcPr>
          <w:p>
            <w:pPr>
              <w:jc w:val="center"/>
            </w:pPr>
            <w:r>
              <w:rPr>
                <w:rFonts w:ascii="Times New Roman" w:hAnsi="Times New Roman"/>
                <w:b w:val="0"/>
                <w:i w:val="0"/>
                <w:sz w:val="18"/>
                <w:u w:val="none"/>
              </w:rPr>
              <w:t>118.0</w:t>
            </w:r>
          </w:p>
        </w:tc>
        <w:tc>
          <w:tcPr>
            <w:tcW w:type="dxa" w:w="1440"/>
            <w:vAlign w:val="center"/>
            <w:shd w:fill="EBF3FB" w:color="EBF3FB" w:val="clear"/>
          </w:tcPr>
          <w:p>
            <w:pPr>
              <w:jc w:val="center"/>
            </w:pPr>
            <w:r>
              <w:rPr>
                <w:rFonts w:ascii="Times New Roman" w:hAnsi="Times New Roman"/>
                <w:b w:val="0"/>
                <w:i w:val="0"/>
                <w:sz w:val="18"/>
                <w:u w:val="none"/>
              </w:rPr>
              <w:t>1619.1</w:t>
            </w:r>
          </w:p>
        </w:tc>
        <w:tc>
          <w:tcPr>
            <w:tcW w:type="dxa" w:w="1080"/>
            <w:vAlign w:val="center"/>
            <w:shd w:fill="EBF3FB" w:color="EBF3FB" w:val="clear"/>
          </w:tcPr>
          <w:p>
            <w:pPr>
              <w:jc w:val="center"/>
            </w:pPr>
            <w:r>
              <w:rPr>
                <w:rFonts w:ascii="Times New Roman" w:hAnsi="Times New Roman"/>
                <w:b w:val="0"/>
                <w:i w:val="0"/>
                <w:sz w:val="18"/>
                <w:u w:val="none"/>
              </w:rPr>
              <w:t>16.9%</w:t>
            </w:r>
          </w:p>
        </w:tc>
        <w:tc>
          <w:tcPr>
            <w:tcW w:type="dxa" w:w="1368"/>
            <w:vAlign w:val="center"/>
            <w:shd w:fill="EBF3FB" w:color="EBF3FB" w:val="clear"/>
          </w:tcPr>
          <w:p>
            <w:pPr>
              <w:jc w:val="center"/>
            </w:pPr>
            <w:r>
              <w:rPr>
                <w:rFonts w:ascii="Times New Roman" w:hAnsi="Times New Roman"/>
                <w:b w:val="0"/>
                <w:i w:val="0"/>
                <w:sz w:val="18"/>
                <w:u w:val="none"/>
              </w:rPr>
              <w:t>30.5%</w:t>
            </w:r>
          </w:p>
        </w:tc>
        <w:tc>
          <w:tcPr>
            <w:tcW w:type="dxa" w:w="1368"/>
            <w:vAlign w:val="center"/>
            <w:shd w:fill="EBF3FB" w:color="EBF3FB" w:val="clear"/>
          </w:tcPr>
          <w:p>
            <w:pPr>
              <w:jc w:val="center"/>
            </w:pPr>
            <w:r>
              <w:rPr>
                <w:rFonts w:ascii="Times New Roman" w:hAnsi="Times New Roman"/>
                <w:b w:val="0"/>
                <w:i w:val="0"/>
                <w:sz w:val="18"/>
                <w:u w:val="none"/>
              </w:rPr>
              <w:t>24.6%</w:t>
            </w:r>
          </w:p>
        </w:tc>
        <w:tc>
          <w:tcPr>
            <w:tcW w:type="dxa" w:w="1224"/>
            <w:vAlign w:val="center"/>
            <w:shd w:fill="EBF3FB" w:color="EBF3FB" w:val="clear"/>
          </w:tcPr>
          <w:p>
            <w:pPr>
              <w:jc w:val="center"/>
            </w:pPr>
            <w:r>
              <w:rPr>
                <w:rFonts w:ascii="Times New Roman" w:hAnsi="Times New Roman"/>
                <w:b w:val="0"/>
                <w:i w:val="0"/>
                <w:sz w:val="18"/>
                <w:u w:val="none"/>
              </w:rPr>
              <w:t>28.0%</w:t>
            </w:r>
          </w:p>
        </w:tc>
      </w:tr>
      <w:tr>
        <w:tc>
          <w:tcPr>
            <w:tcW w:type="dxa" w:w="2016"/>
            <w:vAlign w:val="center"/>
            <w:shd w:fill="FFFFFF" w:color="FFFFFF" w:val="clear"/>
          </w:tcPr>
          <w:p>
            <w:pPr>
              <w:jc w:val="center"/>
            </w:pPr>
            <w:r>
              <w:rPr>
                <w:rFonts w:ascii="Times New Roman" w:hAnsi="Times New Roman"/>
                <w:b w:val="0"/>
                <w:i w:val="0"/>
                <w:sz w:val="18"/>
                <w:u w:val="none"/>
              </w:rPr>
              <w:t>Polyethylene (PE)</w:t>
            </w:r>
          </w:p>
        </w:tc>
        <w:tc>
          <w:tcPr>
            <w:tcW w:type="dxa" w:w="2016"/>
            <w:vAlign w:val="center"/>
            <w:shd w:fill="FFFFFF" w:color="FFFFFF" w:val="clear"/>
          </w:tcPr>
          <w:p>
            <w:pPr>
              <w:jc w:val="center"/>
            </w:pPr>
            <w:r>
              <w:rPr>
                <w:rFonts w:ascii="Times New Roman" w:hAnsi="Times New Roman"/>
                <w:b w:val="0"/>
                <w:i w:val="0"/>
                <w:sz w:val="18"/>
                <w:u w:val="none"/>
              </w:rPr>
              <w:t>o (100 nm)</w:t>
            </w:r>
          </w:p>
        </w:tc>
        <w:tc>
          <w:tcPr>
            <w:tcW w:type="dxa" w:w="1008"/>
            <w:vAlign w:val="center"/>
            <w:shd w:fill="FFFFFF" w:color="FFFFFF" w:val="clear"/>
          </w:tcPr>
          <w:p>
            <w:pPr>
              <w:jc w:val="center"/>
            </w:pPr>
            <w:r>
              <w:rPr>
                <w:rFonts w:ascii="Times New Roman" w:hAnsi="Times New Roman"/>
                <w:b w:val="0"/>
                <w:i w:val="0"/>
                <w:sz w:val="18"/>
                <w:u w:val="none"/>
              </w:rPr>
              <w:t>118.0</w:t>
            </w:r>
          </w:p>
        </w:tc>
        <w:tc>
          <w:tcPr>
            <w:tcW w:type="dxa" w:w="1440"/>
            <w:vAlign w:val="center"/>
            <w:shd w:fill="FFFFFF" w:color="FFFFFF" w:val="clear"/>
          </w:tcPr>
          <w:p>
            <w:pPr>
              <w:jc w:val="center"/>
            </w:pPr>
            <w:r>
              <w:rPr>
                <w:rFonts w:ascii="Times New Roman" w:hAnsi="Times New Roman"/>
                <w:b w:val="0"/>
                <w:i w:val="0"/>
                <w:sz w:val="18"/>
                <w:u w:val="none"/>
              </w:rPr>
              <w:t>1602.6</w:t>
            </w:r>
          </w:p>
        </w:tc>
        <w:tc>
          <w:tcPr>
            <w:tcW w:type="dxa" w:w="1080"/>
            <w:vAlign w:val="center"/>
            <w:shd w:fill="FFFFFF" w:color="FFFFFF" w:val="clear"/>
          </w:tcPr>
          <w:p>
            <w:pPr>
              <w:jc w:val="center"/>
            </w:pPr>
            <w:r>
              <w:rPr>
                <w:rFonts w:ascii="Times New Roman" w:hAnsi="Times New Roman"/>
                <w:b w:val="0"/>
                <w:i w:val="0"/>
                <w:sz w:val="18"/>
                <w:u w:val="none"/>
              </w:rPr>
              <w:t>32.2%</w:t>
            </w:r>
          </w:p>
        </w:tc>
        <w:tc>
          <w:tcPr>
            <w:tcW w:type="dxa" w:w="1368"/>
            <w:vAlign w:val="center"/>
            <w:shd w:fill="FFFFFF" w:color="FFFFFF" w:val="clear"/>
          </w:tcPr>
          <w:p>
            <w:pPr>
              <w:jc w:val="center"/>
            </w:pPr>
            <w:r>
              <w:rPr>
                <w:rFonts w:ascii="Times New Roman" w:hAnsi="Times New Roman"/>
                <w:b w:val="0"/>
                <w:i w:val="0"/>
                <w:sz w:val="18"/>
                <w:u w:val="none"/>
              </w:rPr>
              <w:t>18.6%</w:t>
            </w:r>
          </w:p>
        </w:tc>
        <w:tc>
          <w:tcPr>
            <w:tcW w:type="dxa" w:w="1368"/>
            <w:vAlign w:val="center"/>
            <w:shd w:fill="FFFFFF" w:color="FFFFFF" w:val="clear"/>
          </w:tcPr>
          <w:p>
            <w:pPr>
              <w:jc w:val="center"/>
            </w:pPr>
            <w:r>
              <w:rPr>
                <w:rFonts w:ascii="Times New Roman" w:hAnsi="Times New Roman"/>
                <w:b w:val="0"/>
                <w:i w:val="0"/>
                <w:sz w:val="18"/>
                <w:u w:val="none"/>
              </w:rPr>
              <w:t>23.7%</w:t>
            </w:r>
          </w:p>
        </w:tc>
        <w:tc>
          <w:tcPr>
            <w:tcW w:type="dxa" w:w="1224"/>
            <w:vAlign w:val="center"/>
            <w:shd w:fill="FFFFFF" w:color="FFFFFF" w:val="clear"/>
          </w:tcPr>
          <w:p>
            <w:pPr>
              <w:jc w:val="center"/>
            </w:pPr>
            <w:r>
              <w:rPr>
                <w:rFonts w:ascii="Times New Roman" w:hAnsi="Times New Roman"/>
                <w:b w:val="0"/>
                <w:i w:val="0"/>
                <w:sz w:val="18"/>
                <w:u w:val="none"/>
              </w:rPr>
              <w:t>25.4%</w:t>
            </w:r>
          </w:p>
        </w:tc>
      </w:tr>
      <w:tr>
        <w:tc>
          <w:tcPr>
            <w:tcW w:type="dxa" w:w="2016"/>
            <w:vAlign w:val="center"/>
            <w:shd w:fill="EBF3FB" w:color="EBF3FB" w:val="clear"/>
          </w:tcPr>
          <w:p>
            <w:pPr>
              <w:jc w:val="center"/>
            </w:pPr>
            <w:r>
              <w:rPr>
                <w:rFonts w:ascii="Times New Roman" w:hAnsi="Times New Roman"/>
                <w:b w:val="0"/>
                <w:i w:val="0"/>
                <w:sz w:val="18"/>
                <w:u w:val="none"/>
              </w:rPr>
              <w:t>Polyethylene (PE)</w:t>
            </w:r>
          </w:p>
        </w:tc>
        <w:tc>
          <w:tcPr>
            <w:tcW w:type="dxa" w:w="2016"/>
            <w:vAlign w:val="center"/>
            <w:shd w:fill="EBF3FB" w:color="EBF3FB" w:val="clear"/>
          </w:tcPr>
          <w:p>
            <w:pPr>
              <w:jc w:val="center"/>
            </w:pPr>
            <w:r>
              <w:rPr>
                <w:rFonts w:ascii="Times New Roman" w:hAnsi="Times New Roman"/>
                <w:b w:val="0"/>
                <w:i w:val="0"/>
                <w:sz w:val="18"/>
                <w:u w:val="none"/>
              </w:rPr>
              <w:t>micro (1-10 μm)</w:t>
            </w:r>
          </w:p>
        </w:tc>
        <w:tc>
          <w:tcPr>
            <w:tcW w:type="dxa" w:w="1008"/>
            <w:vAlign w:val="center"/>
            <w:shd w:fill="EBF3FB" w:color="EBF3FB" w:val="clear"/>
          </w:tcPr>
          <w:p>
            <w:pPr>
              <w:jc w:val="center"/>
            </w:pPr>
            <w:r>
              <w:rPr>
                <w:rFonts w:ascii="Times New Roman" w:hAnsi="Times New Roman"/>
                <w:b w:val="0"/>
                <w:i w:val="0"/>
                <w:sz w:val="18"/>
                <w:u w:val="none"/>
              </w:rPr>
              <w:t>116.0</w:t>
            </w:r>
          </w:p>
        </w:tc>
        <w:tc>
          <w:tcPr>
            <w:tcW w:type="dxa" w:w="1440"/>
            <w:vAlign w:val="center"/>
            <w:shd w:fill="EBF3FB" w:color="EBF3FB" w:val="clear"/>
          </w:tcPr>
          <w:p>
            <w:pPr>
              <w:jc w:val="center"/>
            </w:pPr>
            <w:r>
              <w:rPr>
                <w:rFonts w:ascii="Times New Roman" w:hAnsi="Times New Roman"/>
                <w:b w:val="0"/>
                <w:i w:val="0"/>
                <w:sz w:val="18"/>
                <w:u w:val="none"/>
              </w:rPr>
              <w:t>1610.9</w:t>
            </w:r>
          </w:p>
        </w:tc>
        <w:tc>
          <w:tcPr>
            <w:tcW w:type="dxa" w:w="1080"/>
            <w:vAlign w:val="center"/>
            <w:shd w:fill="EBF3FB" w:color="EBF3FB" w:val="clear"/>
          </w:tcPr>
          <w:p>
            <w:pPr>
              <w:jc w:val="center"/>
            </w:pPr>
            <w:r>
              <w:rPr>
                <w:rFonts w:ascii="Times New Roman" w:hAnsi="Times New Roman"/>
                <w:b w:val="0"/>
                <w:i w:val="0"/>
                <w:sz w:val="18"/>
                <w:u w:val="none"/>
              </w:rPr>
              <w:t>25.9%</w:t>
            </w:r>
          </w:p>
        </w:tc>
        <w:tc>
          <w:tcPr>
            <w:tcW w:type="dxa" w:w="1368"/>
            <w:vAlign w:val="center"/>
            <w:shd w:fill="EBF3FB" w:color="EBF3FB" w:val="clear"/>
          </w:tcPr>
          <w:p>
            <w:pPr>
              <w:jc w:val="center"/>
            </w:pPr>
            <w:r>
              <w:rPr>
                <w:rFonts w:ascii="Times New Roman" w:hAnsi="Times New Roman"/>
                <w:b w:val="0"/>
                <w:i w:val="0"/>
                <w:sz w:val="18"/>
                <w:u w:val="none"/>
              </w:rPr>
              <w:t>21.6%</w:t>
            </w:r>
          </w:p>
        </w:tc>
        <w:tc>
          <w:tcPr>
            <w:tcW w:type="dxa" w:w="1368"/>
            <w:vAlign w:val="center"/>
            <w:shd w:fill="EBF3FB" w:color="EBF3FB" w:val="clear"/>
          </w:tcPr>
          <w:p>
            <w:pPr>
              <w:jc w:val="center"/>
            </w:pPr>
            <w:r>
              <w:rPr>
                <w:rFonts w:ascii="Times New Roman" w:hAnsi="Times New Roman"/>
                <w:b w:val="0"/>
                <w:i w:val="0"/>
                <w:sz w:val="18"/>
                <w:u w:val="none"/>
              </w:rPr>
              <w:t>22.4%</w:t>
            </w:r>
          </w:p>
        </w:tc>
        <w:tc>
          <w:tcPr>
            <w:tcW w:type="dxa" w:w="1224"/>
            <w:vAlign w:val="center"/>
            <w:shd w:fill="EBF3FB" w:color="EBF3FB" w:val="clear"/>
          </w:tcPr>
          <w:p>
            <w:pPr>
              <w:jc w:val="center"/>
            </w:pPr>
            <w:r>
              <w:rPr>
                <w:rFonts w:ascii="Times New Roman" w:hAnsi="Times New Roman"/>
                <w:b w:val="0"/>
                <w:i w:val="0"/>
                <w:sz w:val="18"/>
                <w:u w:val="none"/>
              </w:rPr>
              <w:t>30.2%</w:t>
            </w:r>
          </w:p>
        </w:tc>
      </w:tr>
      <w:tr>
        <w:tc>
          <w:tcPr>
            <w:tcW w:type="dxa" w:w="2016"/>
            <w:vAlign w:val="center"/>
            <w:shd w:fill="FFFFFF" w:color="FFFFFF" w:val="clear"/>
          </w:tcPr>
          <w:p>
            <w:pPr>
              <w:jc w:val="center"/>
            </w:pPr>
            <w:r>
              <w:rPr>
                <w:rFonts w:ascii="Times New Roman" w:hAnsi="Times New Roman"/>
                <w:b w:val="0"/>
                <w:i w:val="0"/>
                <w:sz w:val="18"/>
                <w:u w:val="none"/>
              </w:rPr>
              <w:t>Polyethylene (PE)</w:t>
            </w:r>
          </w:p>
        </w:tc>
        <w:tc>
          <w:tcPr>
            <w:tcW w:type="dxa" w:w="2016"/>
            <w:vAlign w:val="center"/>
            <w:shd w:fill="FFFFFF" w:color="FFFFFF" w:val="clear"/>
          </w:tcPr>
          <w:p>
            <w:pPr>
              <w:jc w:val="center"/>
            </w:pPr>
            <w:r>
              <w:rPr>
                <w:rFonts w:ascii="Times New Roman" w:hAnsi="Times New Roman"/>
                <w:b w:val="0"/>
                <w:i w:val="0"/>
                <w:sz w:val="18"/>
                <w:u w:val="none"/>
              </w:rPr>
              <w:t>large (&gt;10 μm)</w:t>
            </w:r>
          </w:p>
        </w:tc>
        <w:tc>
          <w:tcPr>
            <w:tcW w:type="dxa" w:w="1008"/>
            <w:vAlign w:val="center"/>
            <w:shd w:fill="FFFFFF" w:color="FFFFFF" w:val="clear"/>
          </w:tcPr>
          <w:p>
            <w:pPr>
              <w:jc w:val="center"/>
            </w:pPr>
            <w:r>
              <w:rPr>
                <w:rFonts w:ascii="Times New Roman" w:hAnsi="Times New Roman"/>
                <w:b w:val="0"/>
                <w:i w:val="0"/>
                <w:sz w:val="18"/>
                <w:u w:val="none"/>
              </w:rPr>
              <w:t>96.0</w:t>
            </w:r>
          </w:p>
        </w:tc>
        <w:tc>
          <w:tcPr>
            <w:tcW w:type="dxa" w:w="1440"/>
            <w:vAlign w:val="center"/>
            <w:shd w:fill="FFFFFF" w:color="FFFFFF" w:val="clear"/>
          </w:tcPr>
          <w:p>
            <w:pPr>
              <w:jc w:val="center"/>
            </w:pPr>
            <w:r>
              <w:rPr>
                <w:rFonts w:ascii="Times New Roman" w:hAnsi="Times New Roman"/>
                <w:b w:val="0"/>
                <w:i w:val="0"/>
                <w:sz w:val="18"/>
                <w:u w:val="none"/>
              </w:rPr>
              <w:t>1630.6</w:t>
            </w:r>
          </w:p>
        </w:tc>
        <w:tc>
          <w:tcPr>
            <w:tcW w:type="dxa" w:w="1080"/>
            <w:vAlign w:val="center"/>
            <w:shd w:fill="FFFFFF" w:color="FFFFFF" w:val="clear"/>
          </w:tcPr>
          <w:p>
            <w:pPr>
              <w:jc w:val="center"/>
            </w:pPr>
            <w:r>
              <w:rPr>
                <w:rFonts w:ascii="Times New Roman" w:hAnsi="Times New Roman"/>
                <w:b w:val="0"/>
                <w:i w:val="0"/>
                <w:sz w:val="18"/>
                <w:u w:val="none"/>
              </w:rPr>
              <w:t>22.9%</w:t>
            </w:r>
          </w:p>
        </w:tc>
        <w:tc>
          <w:tcPr>
            <w:tcW w:type="dxa" w:w="1368"/>
            <w:vAlign w:val="center"/>
            <w:shd w:fill="FFFFFF" w:color="FFFFFF" w:val="clear"/>
          </w:tcPr>
          <w:p>
            <w:pPr>
              <w:jc w:val="center"/>
            </w:pPr>
            <w:r>
              <w:rPr>
                <w:rFonts w:ascii="Times New Roman" w:hAnsi="Times New Roman"/>
                <w:b w:val="0"/>
                <w:i w:val="0"/>
                <w:sz w:val="18"/>
                <w:u w:val="none"/>
              </w:rPr>
              <w:t>27.1%</w:t>
            </w:r>
          </w:p>
        </w:tc>
        <w:tc>
          <w:tcPr>
            <w:tcW w:type="dxa" w:w="1368"/>
            <w:vAlign w:val="center"/>
            <w:shd w:fill="FFFFFF" w:color="FFFFFF" w:val="clear"/>
          </w:tcPr>
          <w:p>
            <w:pPr>
              <w:jc w:val="center"/>
            </w:pPr>
            <w:r>
              <w:rPr>
                <w:rFonts w:ascii="Times New Roman" w:hAnsi="Times New Roman"/>
                <w:b w:val="0"/>
                <w:i w:val="0"/>
                <w:sz w:val="18"/>
                <w:u w:val="none"/>
              </w:rPr>
              <w:t>32.3%</w:t>
            </w:r>
          </w:p>
        </w:tc>
        <w:tc>
          <w:tcPr>
            <w:tcW w:type="dxa" w:w="1224"/>
            <w:vAlign w:val="center"/>
            <w:shd w:fill="FFFFFF" w:color="FFFFFF" w:val="clear"/>
          </w:tcPr>
          <w:p>
            <w:pPr>
              <w:jc w:val="center"/>
            </w:pPr>
            <w:r>
              <w:rPr>
                <w:rFonts w:ascii="Times New Roman" w:hAnsi="Times New Roman"/>
                <w:b w:val="0"/>
                <w:i w:val="0"/>
                <w:sz w:val="18"/>
                <w:u w:val="none"/>
              </w:rPr>
              <w:t>17.7%</w:t>
            </w:r>
          </w:p>
        </w:tc>
      </w:tr>
      <w:tr>
        <w:tc>
          <w:tcPr>
            <w:tcW w:type="dxa" w:w="2016"/>
            <w:vAlign w:val="center"/>
            <w:shd w:fill="EBF3FB" w:color="EBF3FB" w:val="clear"/>
          </w:tcPr>
          <w:p>
            <w:pPr>
              <w:jc w:val="center"/>
            </w:pPr>
            <w:r>
              <w:rPr>
                <w:rFonts w:ascii="Times New Roman" w:hAnsi="Times New Roman"/>
                <w:b w:val="0"/>
                <w:i w:val="0"/>
                <w:sz w:val="18"/>
                <w:u w:val="none"/>
              </w:rPr>
              <w:t>PET</w:t>
            </w:r>
          </w:p>
        </w:tc>
        <w:tc>
          <w:tcPr>
            <w:tcW w:type="dxa" w:w="2016"/>
            <w:vAlign w:val="center"/>
            <w:shd w:fill="EBF3FB" w:color="EBF3FB" w:val="clear"/>
          </w:tcPr>
          <w:p>
            <w:pPr>
              <w:jc w:val="center"/>
            </w:pPr>
            <w:r>
              <w:rPr>
                <w:rFonts w:ascii="Times New Roman" w:hAnsi="Times New Roman"/>
                <w:b w:val="0"/>
                <w:i w:val="0"/>
                <w:sz w:val="18"/>
                <w:u w:val="none"/>
              </w:rPr>
              <w:t>o (100 nm)</w:t>
            </w:r>
          </w:p>
        </w:tc>
        <w:tc>
          <w:tcPr>
            <w:tcW w:type="dxa" w:w="1008"/>
            <w:vAlign w:val="center"/>
            <w:shd w:fill="EBF3FB" w:color="EBF3FB" w:val="clear"/>
          </w:tcPr>
          <w:p>
            <w:pPr>
              <w:jc w:val="center"/>
            </w:pPr>
            <w:r>
              <w:rPr>
                <w:rFonts w:ascii="Times New Roman" w:hAnsi="Times New Roman"/>
                <w:b w:val="0"/>
                <w:i w:val="0"/>
                <w:sz w:val="18"/>
                <w:u w:val="none"/>
              </w:rPr>
              <w:t>120.0</w:t>
            </w:r>
          </w:p>
        </w:tc>
        <w:tc>
          <w:tcPr>
            <w:tcW w:type="dxa" w:w="1440"/>
            <w:vAlign w:val="center"/>
            <w:shd w:fill="EBF3FB" w:color="EBF3FB" w:val="clear"/>
          </w:tcPr>
          <w:p>
            <w:pPr>
              <w:jc w:val="center"/>
            </w:pPr>
            <w:r>
              <w:rPr>
                <w:rFonts w:ascii="Times New Roman" w:hAnsi="Times New Roman"/>
                <w:b w:val="0"/>
                <w:i w:val="0"/>
                <w:sz w:val="18"/>
                <w:u w:val="none"/>
              </w:rPr>
              <w:t>1592.7</w:t>
            </w:r>
          </w:p>
        </w:tc>
        <w:tc>
          <w:tcPr>
            <w:tcW w:type="dxa" w:w="1080"/>
            <w:vAlign w:val="center"/>
            <w:shd w:fill="EBF3FB" w:color="EBF3FB" w:val="clear"/>
          </w:tcPr>
          <w:p>
            <w:pPr>
              <w:jc w:val="center"/>
            </w:pPr>
            <w:r>
              <w:rPr>
                <w:rFonts w:ascii="Times New Roman" w:hAnsi="Times New Roman"/>
                <w:b w:val="0"/>
                <w:i w:val="0"/>
                <w:sz w:val="18"/>
                <w:u w:val="none"/>
              </w:rPr>
              <w:t>20.8%</w:t>
            </w:r>
          </w:p>
        </w:tc>
        <w:tc>
          <w:tcPr>
            <w:tcW w:type="dxa" w:w="1368"/>
            <w:vAlign w:val="center"/>
            <w:shd w:fill="EBF3FB" w:color="EBF3FB" w:val="clear"/>
          </w:tcPr>
          <w:p>
            <w:pPr>
              <w:jc w:val="center"/>
            </w:pPr>
            <w:r>
              <w:rPr>
                <w:rFonts w:ascii="Times New Roman" w:hAnsi="Times New Roman"/>
                <w:b w:val="0"/>
                <w:i w:val="0"/>
                <w:sz w:val="18"/>
                <w:u w:val="none"/>
              </w:rPr>
              <w:t>27.5%</w:t>
            </w:r>
          </w:p>
        </w:tc>
        <w:tc>
          <w:tcPr>
            <w:tcW w:type="dxa" w:w="1368"/>
            <w:vAlign w:val="center"/>
            <w:shd w:fill="EBF3FB" w:color="EBF3FB" w:val="clear"/>
          </w:tcPr>
          <w:p>
            <w:pPr>
              <w:jc w:val="center"/>
            </w:pPr>
            <w:r>
              <w:rPr>
                <w:rFonts w:ascii="Times New Roman" w:hAnsi="Times New Roman"/>
                <w:b w:val="0"/>
                <w:i w:val="0"/>
                <w:sz w:val="18"/>
                <w:u w:val="none"/>
              </w:rPr>
              <w:t>24.2%</w:t>
            </w:r>
          </w:p>
        </w:tc>
        <w:tc>
          <w:tcPr>
            <w:tcW w:type="dxa" w:w="1224"/>
            <w:vAlign w:val="center"/>
            <w:shd w:fill="EBF3FB" w:color="EBF3FB" w:val="clear"/>
          </w:tcPr>
          <w:p>
            <w:pPr>
              <w:jc w:val="center"/>
            </w:pPr>
            <w:r>
              <w:rPr>
                <w:rFonts w:ascii="Times New Roman" w:hAnsi="Times New Roman"/>
                <w:b w:val="0"/>
                <w:i w:val="0"/>
                <w:sz w:val="18"/>
                <w:u w:val="none"/>
              </w:rPr>
              <w:t>27.5%</w:t>
            </w:r>
          </w:p>
        </w:tc>
      </w:tr>
      <w:tr>
        <w:tc>
          <w:tcPr>
            <w:tcW w:type="dxa" w:w="2016"/>
            <w:vAlign w:val="center"/>
            <w:shd w:fill="FFFFFF" w:color="FFFFFF" w:val="clear"/>
          </w:tcPr>
          <w:p>
            <w:pPr>
              <w:jc w:val="center"/>
            </w:pPr>
            <w:r>
              <w:rPr>
                <w:rFonts w:ascii="Times New Roman" w:hAnsi="Times New Roman"/>
                <w:b w:val="0"/>
                <w:i w:val="0"/>
                <w:sz w:val="18"/>
                <w:u w:val="none"/>
              </w:rPr>
              <w:t>PET</w:t>
            </w:r>
          </w:p>
        </w:tc>
        <w:tc>
          <w:tcPr>
            <w:tcW w:type="dxa" w:w="2016"/>
            <w:vAlign w:val="center"/>
            <w:shd w:fill="FFFFFF" w:color="FFFFFF" w:val="clear"/>
          </w:tcPr>
          <w:p>
            <w:pPr>
              <w:jc w:val="center"/>
            </w:pPr>
            <w:r>
              <w:rPr>
                <w:rFonts w:ascii="Times New Roman" w:hAnsi="Times New Roman"/>
                <w:b w:val="0"/>
                <w:i w:val="0"/>
                <w:sz w:val="18"/>
                <w:u w:val="none"/>
              </w:rPr>
              <w:t>micro (1-10 μm)</w:t>
            </w:r>
          </w:p>
        </w:tc>
        <w:tc>
          <w:tcPr>
            <w:tcW w:type="dxa" w:w="1008"/>
            <w:vAlign w:val="center"/>
            <w:shd w:fill="FFFFFF" w:color="FFFFFF" w:val="clear"/>
          </w:tcPr>
          <w:p>
            <w:pPr>
              <w:jc w:val="center"/>
            </w:pPr>
            <w:r>
              <w:rPr>
                <w:rFonts w:ascii="Times New Roman" w:hAnsi="Times New Roman"/>
                <w:b w:val="0"/>
                <w:i w:val="0"/>
                <w:sz w:val="18"/>
                <w:u w:val="none"/>
              </w:rPr>
              <w:t>99.0</w:t>
            </w:r>
          </w:p>
        </w:tc>
        <w:tc>
          <w:tcPr>
            <w:tcW w:type="dxa" w:w="1440"/>
            <w:vAlign w:val="center"/>
            <w:shd w:fill="FFFFFF" w:color="FFFFFF" w:val="clear"/>
          </w:tcPr>
          <w:p>
            <w:pPr>
              <w:jc w:val="center"/>
            </w:pPr>
            <w:r>
              <w:rPr>
                <w:rFonts w:ascii="Times New Roman" w:hAnsi="Times New Roman"/>
                <w:b w:val="0"/>
                <w:i w:val="0"/>
                <w:sz w:val="18"/>
                <w:u w:val="none"/>
              </w:rPr>
              <w:t>1612.8</w:t>
            </w:r>
          </w:p>
        </w:tc>
        <w:tc>
          <w:tcPr>
            <w:tcW w:type="dxa" w:w="1080"/>
            <w:vAlign w:val="center"/>
            <w:shd w:fill="FFFFFF" w:color="FFFFFF" w:val="clear"/>
          </w:tcPr>
          <w:p>
            <w:pPr>
              <w:jc w:val="center"/>
            </w:pPr>
            <w:r>
              <w:rPr>
                <w:rFonts w:ascii="Times New Roman" w:hAnsi="Times New Roman"/>
                <w:b w:val="0"/>
                <w:i w:val="0"/>
                <w:sz w:val="18"/>
                <w:u w:val="none"/>
              </w:rPr>
              <w:t>23.2%</w:t>
            </w:r>
          </w:p>
        </w:tc>
        <w:tc>
          <w:tcPr>
            <w:tcW w:type="dxa" w:w="1368"/>
            <w:vAlign w:val="center"/>
            <w:shd w:fill="FFFFFF" w:color="FFFFFF" w:val="clear"/>
          </w:tcPr>
          <w:p>
            <w:pPr>
              <w:jc w:val="center"/>
            </w:pPr>
            <w:r>
              <w:rPr>
                <w:rFonts w:ascii="Times New Roman" w:hAnsi="Times New Roman"/>
                <w:b w:val="0"/>
                <w:i w:val="0"/>
                <w:sz w:val="18"/>
                <w:u w:val="none"/>
              </w:rPr>
              <w:t>20.2%</w:t>
            </w:r>
          </w:p>
        </w:tc>
        <w:tc>
          <w:tcPr>
            <w:tcW w:type="dxa" w:w="1368"/>
            <w:vAlign w:val="center"/>
            <w:shd w:fill="FFFFFF" w:color="FFFFFF" w:val="clear"/>
          </w:tcPr>
          <w:p>
            <w:pPr>
              <w:jc w:val="center"/>
            </w:pPr>
            <w:r>
              <w:rPr>
                <w:rFonts w:ascii="Times New Roman" w:hAnsi="Times New Roman"/>
                <w:b w:val="0"/>
                <w:i w:val="0"/>
                <w:sz w:val="18"/>
                <w:u w:val="none"/>
              </w:rPr>
              <w:t>32.3%</w:t>
            </w:r>
          </w:p>
        </w:tc>
        <w:tc>
          <w:tcPr>
            <w:tcW w:type="dxa" w:w="1224"/>
            <w:vAlign w:val="center"/>
            <w:shd w:fill="FFFFFF" w:color="FFFFFF" w:val="clear"/>
          </w:tcPr>
          <w:p>
            <w:pPr>
              <w:jc w:val="center"/>
            </w:pPr>
            <w:r>
              <w:rPr>
                <w:rFonts w:ascii="Times New Roman" w:hAnsi="Times New Roman"/>
                <w:b w:val="0"/>
                <w:i w:val="0"/>
                <w:sz w:val="18"/>
                <w:u w:val="none"/>
              </w:rPr>
              <w:t>24.2%</w:t>
            </w:r>
          </w:p>
        </w:tc>
      </w:tr>
      <w:tr>
        <w:tc>
          <w:tcPr>
            <w:tcW w:type="dxa" w:w="2016"/>
            <w:vAlign w:val="center"/>
            <w:shd w:fill="EBF3FB" w:color="EBF3FB" w:val="clear"/>
          </w:tcPr>
          <w:p>
            <w:pPr>
              <w:jc w:val="center"/>
            </w:pPr>
            <w:r>
              <w:rPr>
                <w:rFonts w:ascii="Times New Roman" w:hAnsi="Times New Roman"/>
                <w:b w:val="0"/>
                <w:i w:val="0"/>
                <w:sz w:val="18"/>
                <w:u w:val="none"/>
              </w:rPr>
              <w:t>PET</w:t>
            </w:r>
          </w:p>
        </w:tc>
        <w:tc>
          <w:tcPr>
            <w:tcW w:type="dxa" w:w="2016"/>
            <w:vAlign w:val="center"/>
            <w:shd w:fill="EBF3FB" w:color="EBF3FB" w:val="clear"/>
          </w:tcPr>
          <w:p>
            <w:pPr>
              <w:jc w:val="center"/>
            </w:pPr>
            <w:r>
              <w:rPr>
                <w:rFonts w:ascii="Times New Roman" w:hAnsi="Times New Roman"/>
                <w:b w:val="0"/>
                <w:i w:val="0"/>
                <w:sz w:val="18"/>
                <w:u w:val="none"/>
              </w:rPr>
              <w:t>large (&gt;10 μm)</w:t>
            </w:r>
          </w:p>
        </w:tc>
        <w:tc>
          <w:tcPr>
            <w:tcW w:type="dxa" w:w="1008"/>
            <w:vAlign w:val="center"/>
            <w:shd w:fill="EBF3FB" w:color="EBF3FB" w:val="clear"/>
          </w:tcPr>
          <w:p>
            <w:pPr>
              <w:jc w:val="center"/>
            </w:pPr>
            <w:r>
              <w:rPr>
                <w:rFonts w:ascii="Times New Roman" w:hAnsi="Times New Roman"/>
                <w:b w:val="0"/>
                <w:i w:val="0"/>
                <w:sz w:val="18"/>
                <w:u w:val="none"/>
              </w:rPr>
              <w:t>117.0</w:t>
            </w:r>
          </w:p>
        </w:tc>
        <w:tc>
          <w:tcPr>
            <w:tcW w:type="dxa" w:w="1440"/>
            <w:vAlign w:val="center"/>
            <w:shd w:fill="EBF3FB" w:color="EBF3FB" w:val="clear"/>
          </w:tcPr>
          <w:p>
            <w:pPr>
              <w:jc w:val="center"/>
            </w:pPr>
            <w:r>
              <w:rPr>
                <w:rFonts w:ascii="Times New Roman" w:hAnsi="Times New Roman"/>
                <w:b w:val="0"/>
                <w:i w:val="0"/>
                <w:sz w:val="18"/>
                <w:u w:val="none"/>
              </w:rPr>
              <w:t>1608.5</w:t>
            </w:r>
          </w:p>
        </w:tc>
        <w:tc>
          <w:tcPr>
            <w:tcW w:type="dxa" w:w="1080"/>
            <w:vAlign w:val="center"/>
            <w:shd w:fill="EBF3FB" w:color="EBF3FB" w:val="clear"/>
          </w:tcPr>
          <w:p>
            <w:pPr>
              <w:jc w:val="center"/>
            </w:pPr>
            <w:r>
              <w:rPr>
                <w:rFonts w:ascii="Times New Roman" w:hAnsi="Times New Roman"/>
                <w:b w:val="0"/>
                <w:i w:val="0"/>
                <w:sz w:val="18"/>
                <w:u w:val="none"/>
              </w:rPr>
              <w:t>33.3%</w:t>
            </w:r>
          </w:p>
        </w:tc>
        <w:tc>
          <w:tcPr>
            <w:tcW w:type="dxa" w:w="1368"/>
            <w:vAlign w:val="center"/>
            <w:shd w:fill="EBF3FB" w:color="EBF3FB" w:val="clear"/>
          </w:tcPr>
          <w:p>
            <w:pPr>
              <w:jc w:val="center"/>
            </w:pPr>
            <w:r>
              <w:rPr>
                <w:rFonts w:ascii="Times New Roman" w:hAnsi="Times New Roman"/>
                <w:b w:val="0"/>
                <w:i w:val="0"/>
                <w:sz w:val="18"/>
                <w:u w:val="none"/>
              </w:rPr>
              <w:t>21.4%</w:t>
            </w:r>
          </w:p>
        </w:tc>
        <w:tc>
          <w:tcPr>
            <w:tcW w:type="dxa" w:w="1368"/>
            <w:vAlign w:val="center"/>
            <w:shd w:fill="EBF3FB" w:color="EBF3FB" w:val="clear"/>
          </w:tcPr>
          <w:p>
            <w:pPr>
              <w:jc w:val="center"/>
            </w:pPr>
            <w:r>
              <w:rPr>
                <w:rFonts w:ascii="Times New Roman" w:hAnsi="Times New Roman"/>
                <w:b w:val="0"/>
                <w:i w:val="0"/>
                <w:sz w:val="18"/>
                <w:u w:val="none"/>
              </w:rPr>
              <w:t>26.5%</w:t>
            </w:r>
          </w:p>
        </w:tc>
        <w:tc>
          <w:tcPr>
            <w:tcW w:type="dxa" w:w="1224"/>
            <w:vAlign w:val="center"/>
            <w:shd w:fill="EBF3FB" w:color="EBF3FB" w:val="clear"/>
          </w:tcPr>
          <w:p>
            <w:pPr>
              <w:jc w:val="center"/>
            </w:pPr>
            <w:r>
              <w:rPr>
                <w:rFonts w:ascii="Times New Roman" w:hAnsi="Times New Roman"/>
                <w:b w:val="0"/>
                <w:i w:val="0"/>
                <w:sz w:val="18"/>
                <w:u w:val="none"/>
              </w:rPr>
              <w:t>18.8%</w:t>
            </w:r>
          </w:p>
        </w:tc>
      </w:tr>
    </w:tbl>
    <w:p>
      <w:pPr>
        <w:spacing w:before="40"/>
      </w:pPr>
      <w:r>
        <w:rPr>
          <w:rFonts w:ascii="Times New Roman" w:hAnsi="Times New Roman"/>
          <w:b/>
          <w:i w:val="0"/>
          <w:sz w:val="18"/>
          <w:u w:val="none"/>
        </w:rPr>
        <w:t xml:space="preserve">Note: </w:t>
      </w:r>
      <w:r>
        <w:rPr>
          <w:rFonts w:ascii="Times New Roman" w:hAnsi="Times New Roman"/>
          <w:b w:val="0"/>
          <w:i/>
          <w:sz w:val="18"/>
          <w:u w:val="none"/>
        </w:rPr>
        <w:t>Mean cells per image ∼1,600 is a simulator artefact; not representative of physiological in vitro densities. Particle types are simulation parameters, not characterised materials.</w:t>
      </w:r>
    </w:p>
    <w:p/>
    <w:p>
      <w:pPr>
        <w:spacing w:before="120" w:after="40"/>
      </w:pPr>
      <w:r>
        <w:rPr>
          <w:rFonts w:ascii="Times New Roman" w:hAnsi="Times New Roman"/>
          <w:b/>
          <w:i/>
          <w:sz w:val="22"/>
          <w:u w:val="none"/>
        </w:rPr>
        <w:t>3.8  Dose-response</w:t>
      </w:r>
    </w:p>
    <w:p>
      <w:pPr>
        <w:spacing w:after="80"/>
        <w:jc w:val="both"/>
      </w:pPr>
      <w:r>
        <w:rPr>
          <w:rFonts w:ascii="Times New Roman" w:hAnsi="Times New Roman"/>
          <w:b w:val="0"/>
          <w:i w:val="0"/>
          <w:sz w:val="22"/>
          <w:u w:val="none"/>
        </w:rPr>
        <w:t>Spearman correlations between ordinal dose-proxy rank and per-feature values are reported in Table 8. Membrane_permeability_proxy shows the strongest monotonic dose-response (ρ = −0.892). These correlations reflect the simulator’s dose-encoding logic and cannot be taken as evidence of real dose-response biology.</w:t>
      </w:r>
    </w:p>
    <w:p>
      <w:pPr>
        <w:spacing w:after="80"/>
        <w:jc w:val="both"/>
      </w:pPr>
      <w:r>
        <w:rPr>
          <w:rFonts w:ascii="Times New Roman" w:hAnsi="Times New Roman"/>
          <w:b w:val="0"/>
          <w:i w:val="0"/>
          <w:sz w:val="22"/>
          <w:u w:val="none"/>
        </w:rPr>
        <w:t>Table 8. Spearman dose-response correlations (per class × polymer) with BH-adjusted p-values.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rPr>
          <w:trHeight w:val="504"/>
        </w:trPr>
        <w:tc>
          <w:tcPr>
            <w:tcW w:type="dxa" w:w="2160"/>
            <w:vAlign w:val="center"/>
            <w:shd w:fill="1F4E79" w:color="1F4E79" w:val="clear"/>
          </w:tcPr>
          <w:p>
            <w:pPr>
              <w:jc w:val="center"/>
            </w:pPr>
            <w:r>
              <w:rPr>
                <w:rFonts w:ascii="Times New Roman" w:hAnsi="Times New Roman"/>
                <w:b/>
                <w:i w:val="0"/>
                <w:color w:val="FFFFFF"/>
                <w:sz w:val="18"/>
                <w:u w:val="none"/>
              </w:rPr>
              <w:t>Cell-Death Class</w:t>
            </w:r>
          </w:p>
        </w:tc>
        <w:tc>
          <w:tcPr>
            <w:tcW w:type="dxa" w:w="1584"/>
            <w:vAlign w:val="center"/>
            <w:shd w:fill="1F4E79" w:color="1F4E79" w:val="clear"/>
          </w:tcPr>
          <w:p>
            <w:pPr>
              <w:jc w:val="center"/>
            </w:pPr>
            <w:r>
              <w:rPr>
                <w:rFonts w:ascii="Times New Roman" w:hAnsi="Times New Roman"/>
                <w:b/>
                <w:i w:val="0"/>
                <w:color w:val="FFFFFF"/>
                <w:sz w:val="18"/>
                <w:u w:val="none"/>
              </w:rPr>
              <w:t>Polymer</w:t>
            </w:r>
          </w:p>
        </w:tc>
        <w:tc>
          <w:tcPr>
            <w:tcW w:type="dxa" w:w="1224"/>
            <w:vAlign w:val="center"/>
            <w:shd w:fill="1F4E79" w:color="1F4E79" w:val="clear"/>
          </w:tcPr>
          <w:p>
            <w:pPr>
              <w:jc w:val="center"/>
            </w:pPr>
            <w:r>
              <w:rPr>
                <w:rFonts w:ascii="Times New Roman" w:hAnsi="Times New Roman"/>
                <w:b/>
                <w:i w:val="0"/>
                <w:color w:val="FFFFFF"/>
                <w:sz w:val="18"/>
                <w:u w:val="none"/>
              </w:rPr>
              <w:t>Spearman ρ</w:t>
            </w:r>
          </w:p>
        </w:tc>
        <w:tc>
          <w:tcPr>
            <w:tcW w:type="dxa" w:w="1800"/>
            <w:vAlign w:val="center"/>
            <w:shd w:fill="1F4E79" w:color="1F4E79" w:val="clear"/>
          </w:tcPr>
          <w:p>
            <w:pPr>
              <w:jc w:val="center"/>
            </w:pPr>
            <w:r>
              <w:rPr>
                <w:rFonts w:ascii="Times New Roman" w:hAnsi="Times New Roman"/>
                <w:b/>
                <w:i w:val="0"/>
                <w:color w:val="FFFFFF"/>
                <w:sz w:val="18"/>
                <w:u w:val="none"/>
              </w:rPr>
              <w:t>95% CI (Fisher z)</w:t>
            </w:r>
          </w:p>
        </w:tc>
        <w:tc>
          <w:tcPr>
            <w:tcW w:type="dxa" w:w="1224"/>
            <w:vAlign w:val="center"/>
            <w:shd w:fill="1F4E79" w:color="1F4E79" w:val="clear"/>
          </w:tcPr>
          <w:p>
            <w:pPr>
              <w:jc w:val="center"/>
            </w:pPr>
            <w:r>
              <w:rPr>
                <w:rFonts w:ascii="Times New Roman" w:hAnsi="Times New Roman"/>
                <w:b/>
                <w:i w:val="0"/>
                <w:color w:val="FFFFFF"/>
                <w:sz w:val="18"/>
                <w:u w:val="none"/>
              </w:rPr>
              <w:t>p-value</w:t>
            </w:r>
          </w:p>
        </w:tc>
        <w:tc>
          <w:tcPr>
            <w:tcW w:type="dxa" w:w="1224"/>
            <w:vAlign w:val="center"/>
            <w:shd w:fill="1F4E79" w:color="1F4E79" w:val="clear"/>
          </w:tcPr>
          <w:p>
            <w:pPr>
              <w:jc w:val="center"/>
            </w:pPr>
            <w:r>
              <w:rPr>
                <w:rFonts w:ascii="Times New Roman" w:hAnsi="Times New Roman"/>
                <w:b/>
                <w:i w:val="0"/>
                <w:color w:val="FFFFFF"/>
                <w:sz w:val="18"/>
                <w:u w:val="none"/>
              </w:rPr>
              <w:t>BH-adj. p</w:t>
            </w:r>
          </w:p>
        </w:tc>
        <w:tc>
          <w:tcPr>
            <w:tcW w:type="dxa" w:w="1152"/>
            <w:vAlign w:val="center"/>
            <w:shd w:fill="1F4E79" w:color="1F4E79" w:val="clear"/>
          </w:tcPr>
          <w:p>
            <w:pPr>
              <w:jc w:val="center"/>
            </w:pPr>
            <w:r>
              <w:rPr>
                <w:rFonts w:ascii="Times New Roman" w:hAnsi="Times New Roman"/>
                <w:b/>
                <w:i w:val="0"/>
                <w:color w:val="FFFFFF"/>
                <w:sz w:val="18"/>
                <w:u w:val="none"/>
              </w:rPr>
              <w:t>Sig. (FDR&lt;5%)</w:t>
            </w:r>
          </w:p>
        </w:tc>
      </w:tr>
      <w:tr>
        <w:tc>
          <w:tcPr>
            <w:tcW w:type="dxa" w:w="2160"/>
            <w:vAlign w:val="center"/>
            <w:shd w:fill="EBF3FB" w:color="EBF3FB" w:val="clear"/>
          </w:tcPr>
          <w:p>
            <w:pPr>
              <w:jc w:val="center"/>
            </w:pPr>
            <w:r>
              <w:rPr>
                <w:rFonts w:ascii="Times New Roman" w:hAnsi="Times New Roman"/>
                <w:b w:val="0"/>
                <w:i w:val="0"/>
                <w:sz w:val="18"/>
                <w:u w:val="none"/>
              </w:rPr>
              <w:t>Early Apoptosis</w:t>
            </w:r>
          </w:p>
        </w:tc>
        <w:tc>
          <w:tcPr>
            <w:tcW w:type="dxa" w:w="1584"/>
            <w:vAlign w:val="center"/>
            <w:shd w:fill="EBF3FB" w:color="EBF3FB" w:val="clear"/>
          </w:tcPr>
          <w:p>
            <w:pPr>
              <w:jc w:val="center"/>
            </w:pPr>
            <w:r>
              <w:rPr>
                <w:rFonts w:ascii="Times New Roman" w:hAnsi="Times New Roman"/>
                <w:b w:val="0"/>
                <w:i w:val="0"/>
                <w:sz w:val="18"/>
                <w:u w:val="none"/>
              </w:rPr>
              <w:t>Polystyrene (PS)</w:t>
            </w:r>
          </w:p>
        </w:tc>
        <w:tc>
          <w:tcPr>
            <w:tcW w:type="dxa" w:w="1224"/>
            <w:vAlign w:val="center"/>
            <w:shd w:fill="EBF3FB" w:color="EBF3FB" w:val="clear"/>
          </w:tcPr>
          <w:p>
            <w:pPr>
              <w:jc w:val="center"/>
            </w:pPr>
            <w:r>
              <w:rPr>
                <w:rFonts w:ascii="Times New Roman" w:hAnsi="Times New Roman"/>
                <w:b w:val="0"/>
                <w:i w:val="0"/>
                <w:sz w:val="18"/>
                <w:u w:val="none"/>
              </w:rPr>
              <w:t>0.943</w:t>
            </w:r>
          </w:p>
        </w:tc>
        <w:tc>
          <w:tcPr>
            <w:tcW w:type="dxa" w:w="1800"/>
            <w:vAlign w:val="center"/>
            <w:shd w:fill="EBF3FB" w:color="EBF3FB" w:val="clear"/>
          </w:tcPr>
          <w:p>
            <w:pPr>
              <w:jc w:val="center"/>
            </w:pPr>
            <w:r>
              <w:rPr>
                <w:rFonts w:ascii="Times New Roman" w:hAnsi="Times New Roman"/>
                <w:b w:val="0"/>
                <w:i w:val="0"/>
                <w:sz w:val="18"/>
                <w:u w:val="none"/>
              </w:rPr>
              <w:t>[0.560, 0.994]</w:t>
            </w:r>
          </w:p>
        </w:tc>
        <w:tc>
          <w:tcPr>
            <w:tcW w:type="dxa" w:w="1224"/>
            <w:vAlign w:val="center"/>
            <w:shd w:fill="EBF3FB" w:color="EBF3FB" w:val="clear"/>
          </w:tcPr>
          <w:p>
            <w:pPr>
              <w:jc w:val="center"/>
            </w:pPr>
            <w:r>
              <w:rPr>
                <w:rFonts w:ascii="Times New Roman" w:hAnsi="Times New Roman"/>
                <w:b w:val="0"/>
                <w:i w:val="0"/>
                <w:sz w:val="18"/>
                <w:u w:val="none"/>
              </w:rPr>
              <w:t>1.575e-02</w:t>
            </w:r>
          </w:p>
        </w:tc>
        <w:tc>
          <w:tcPr>
            <w:tcW w:type="dxa" w:w="1224"/>
            <w:vAlign w:val="center"/>
            <w:shd w:fill="EBF3FB" w:color="EBF3FB" w:val="clear"/>
          </w:tcPr>
          <w:p>
            <w:pPr>
              <w:jc w:val="center"/>
            </w:pPr>
            <w:r>
              <w:rPr>
                <w:rFonts w:ascii="Times New Roman" w:hAnsi="Times New Roman"/>
                <w:b w:val="0"/>
                <w:i w:val="0"/>
                <w:sz w:val="18"/>
                <w:u w:val="none"/>
              </w:rPr>
              <w:t>1.996e-02</w:t>
            </w:r>
          </w:p>
        </w:tc>
        <w:tc>
          <w:tcPr>
            <w:tcW w:type="dxa" w:w="1152"/>
            <w:vAlign w:val="center"/>
            <w:shd w:fill="EBF3FB" w:color="EBF3FB" w:val="clear"/>
          </w:tcPr>
          <w:p>
            <w:pPr>
              <w:jc w:val="center"/>
            </w:pPr>
            <w:r>
              <w:rPr>
                <w:rFonts w:ascii="Times New Roman" w:hAnsi="Times New Roman"/>
                <w:b w:val="0"/>
                <w:i w:val="0"/>
                <w:sz w:val="18"/>
                <w:u w:val="none"/>
              </w:rPr>
              <w:t>Yes</w:t>
            </w:r>
          </w:p>
        </w:tc>
      </w:tr>
      <w:tr>
        <w:tc>
          <w:tcPr>
            <w:tcW w:type="dxa" w:w="2160"/>
            <w:vAlign w:val="center"/>
            <w:shd w:fill="FFFFFF" w:color="FFFFFF" w:val="clear"/>
          </w:tcPr>
          <w:p>
            <w:pPr>
              <w:jc w:val="center"/>
            </w:pPr>
            <w:r>
              <w:rPr>
                <w:rFonts w:ascii="Times New Roman" w:hAnsi="Times New Roman"/>
                <w:b w:val="0"/>
                <w:i w:val="0"/>
                <w:sz w:val="18"/>
                <w:u w:val="none"/>
              </w:rPr>
              <w:t>Early Apoptosis</w:t>
            </w:r>
          </w:p>
        </w:tc>
        <w:tc>
          <w:tcPr>
            <w:tcW w:type="dxa" w:w="1584"/>
            <w:vAlign w:val="center"/>
            <w:shd w:fill="FFFFFF" w:color="FFFFFF" w:val="clear"/>
          </w:tcPr>
          <w:p>
            <w:pPr>
              <w:jc w:val="center"/>
            </w:pPr>
            <w:r>
              <w:rPr>
                <w:rFonts w:ascii="Times New Roman" w:hAnsi="Times New Roman"/>
                <w:b w:val="0"/>
                <w:i w:val="0"/>
                <w:sz w:val="18"/>
                <w:u w:val="none"/>
              </w:rPr>
              <w:t>Polyethylene (PE)</w:t>
            </w:r>
          </w:p>
        </w:tc>
        <w:tc>
          <w:tcPr>
            <w:tcW w:type="dxa" w:w="1224"/>
            <w:vAlign w:val="center"/>
            <w:shd w:fill="FFFFFF" w:color="FFFFFF" w:val="clear"/>
          </w:tcPr>
          <w:p>
            <w:pPr>
              <w:jc w:val="center"/>
            </w:pPr>
            <w:r>
              <w:rPr>
                <w:rFonts w:ascii="Times New Roman" w:hAnsi="Times New Roman"/>
                <w:b w:val="0"/>
                <w:i w:val="0"/>
                <w:sz w:val="18"/>
                <w:u w:val="none"/>
              </w:rPr>
              <w:t>0.943</w:t>
            </w:r>
          </w:p>
        </w:tc>
        <w:tc>
          <w:tcPr>
            <w:tcW w:type="dxa" w:w="1800"/>
            <w:vAlign w:val="center"/>
            <w:shd w:fill="FFFFFF" w:color="FFFFFF" w:val="clear"/>
          </w:tcPr>
          <w:p>
            <w:pPr>
              <w:jc w:val="center"/>
            </w:pPr>
            <w:r>
              <w:rPr>
                <w:rFonts w:ascii="Times New Roman" w:hAnsi="Times New Roman"/>
                <w:b w:val="0"/>
                <w:i w:val="0"/>
                <w:sz w:val="18"/>
                <w:u w:val="none"/>
              </w:rPr>
              <w:t>[0.560, 0.994]</w:t>
            </w:r>
          </w:p>
        </w:tc>
        <w:tc>
          <w:tcPr>
            <w:tcW w:type="dxa" w:w="1224"/>
            <w:vAlign w:val="center"/>
            <w:shd w:fill="FFFFFF" w:color="FFFFFF" w:val="clear"/>
          </w:tcPr>
          <w:p>
            <w:pPr>
              <w:jc w:val="center"/>
            </w:pPr>
            <w:r>
              <w:rPr>
                <w:rFonts w:ascii="Times New Roman" w:hAnsi="Times New Roman"/>
                <w:b w:val="0"/>
                <w:i w:val="0"/>
                <w:sz w:val="18"/>
                <w:u w:val="none"/>
              </w:rPr>
              <w:t>1.700e-02</w:t>
            </w:r>
          </w:p>
        </w:tc>
        <w:tc>
          <w:tcPr>
            <w:tcW w:type="dxa" w:w="1224"/>
            <w:vAlign w:val="center"/>
            <w:shd w:fill="FFFFFF" w:color="FFFFFF" w:val="clear"/>
          </w:tcPr>
          <w:p>
            <w:pPr>
              <w:jc w:val="center"/>
            </w:pPr>
            <w:r>
              <w:rPr>
                <w:rFonts w:ascii="Times New Roman" w:hAnsi="Times New Roman"/>
                <w:b w:val="0"/>
                <w:i w:val="0"/>
                <w:sz w:val="18"/>
                <w:u w:val="none"/>
              </w:rPr>
              <w:t>1.996e-02</w:t>
            </w:r>
          </w:p>
        </w:tc>
        <w:tc>
          <w:tcPr>
            <w:tcW w:type="dxa" w:w="1152"/>
            <w:vAlign w:val="center"/>
            <w:shd w:fill="FFFFFF" w:color="FFFFFF" w:val="clear"/>
          </w:tcPr>
          <w:p>
            <w:pPr>
              <w:jc w:val="center"/>
            </w:pPr>
            <w:r>
              <w:rPr>
                <w:rFonts w:ascii="Times New Roman" w:hAnsi="Times New Roman"/>
                <w:b w:val="0"/>
                <w:i w:val="0"/>
                <w:sz w:val="18"/>
                <w:u w:val="none"/>
              </w:rPr>
              <w:t>Yes</w:t>
            </w:r>
          </w:p>
        </w:tc>
      </w:tr>
      <w:tr>
        <w:tc>
          <w:tcPr>
            <w:tcW w:type="dxa" w:w="2160"/>
            <w:vAlign w:val="center"/>
            <w:shd w:fill="EBF3FB" w:color="EBF3FB" w:val="clear"/>
          </w:tcPr>
          <w:p>
            <w:pPr>
              <w:jc w:val="center"/>
            </w:pPr>
            <w:r>
              <w:rPr>
                <w:rFonts w:ascii="Times New Roman" w:hAnsi="Times New Roman"/>
                <w:b w:val="0"/>
                <w:i w:val="0"/>
                <w:sz w:val="18"/>
                <w:u w:val="none"/>
              </w:rPr>
              <w:t>Early Apoptosis</w:t>
            </w:r>
          </w:p>
        </w:tc>
        <w:tc>
          <w:tcPr>
            <w:tcW w:type="dxa" w:w="1584"/>
            <w:vAlign w:val="center"/>
            <w:shd w:fill="EBF3FB" w:color="EBF3FB" w:val="clear"/>
          </w:tcPr>
          <w:p>
            <w:pPr>
              <w:jc w:val="center"/>
            </w:pPr>
            <w:r>
              <w:rPr>
                <w:rFonts w:ascii="Times New Roman" w:hAnsi="Times New Roman"/>
                <w:b w:val="0"/>
                <w:i w:val="0"/>
                <w:sz w:val="18"/>
                <w:u w:val="none"/>
              </w:rPr>
              <w:t>PET</w:t>
            </w:r>
          </w:p>
        </w:tc>
        <w:tc>
          <w:tcPr>
            <w:tcW w:type="dxa" w:w="1224"/>
            <w:vAlign w:val="center"/>
            <w:shd w:fill="EBF3FB" w:color="EBF3FB" w:val="clear"/>
          </w:tcPr>
          <w:p>
            <w:pPr>
              <w:jc w:val="center"/>
            </w:pPr>
            <w:r>
              <w:rPr>
                <w:rFonts w:ascii="Times New Roman" w:hAnsi="Times New Roman"/>
                <w:b w:val="0"/>
                <w:i w:val="0"/>
                <w:sz w:val="18"/>
                <w:u w:val="none"/>
              </w:rPr>
              <w:t>1.000</w:t>
            </w:r>
          </w:p>
        </w:tc>
        <w:tc>
          <w:tcPr>
            <w:tcW w:type="dxa" w:w="1800"/>
            <w:vAlign w:val="center"/>
            <w:shd w:fill="EBF3FB" w:color="EBF3FB" w:val="clear"/>
          </w:tcPr>
          <w:p>
            <w:pPr>
              <w:jc w:val="center"/>
            </w:pPr>
            <w:r>
              <w:rPr>
                <w:rFonts w:ascii="Times New Roman" w:hAnsi="Times New Roman"/>
                <w:b w:val="0"/>
                <w:i w:val="0"/>
                <w:sz w:val="18"/>
                <w:u w:val="none"/>
              </w:rPr>
              <w:t>[1.000, 1.000]</w:t>
            </w:r>
          </w:p>
        </w:tc>
        <w:tc>
          <w:tcPr>
            <w:tcW w:type="dxa" w:w="1224"/>
            <w:vAlign w:val="center"/>
            <w:shd w:fill="EBF3FB" w:color="EBF3FB" w:val="clear"/>
          </w:tcPr>
          <w:p>
            <w:pPr>
              <w:jc w:val="center"/>
            </w:pPr>
            <w:r>
              <w:rPr>
                <w:rFonts w:ascii="Times New Roman" w:hAnsi="Times New Roman"/>
                <w:b w:val="0"/>
                <w:i w:val="0"/>
                <w:sz w:val="18"/>
                <w:u w:val="none"/>
              </w:rPr>
              <w:t>3.749e-03</w:t>
            </w:r>
          </w:p>
        </w:tc>
        <w:tc>
          <w:tcPr>
            <w:tcW w:type="dxa" w:w="1224"/>
            <w:vAlign w:val="center"/>
            <w:shd w:fill="EBF3FB" w:color="EBF3FB" w:val="clear"/>
          </w:tcPr>
          <w:p>
            <w:pPr>
              <w:jc w:val="center"/>
            </w:pPr>
            <w:r>
              <w:rPr>
                <w:rFonts w:ascii="Times New Roman" w:hAnsi="Times New Roman"/>
                <w:b w:val="0"/>
                <w:i w:val="0"/>
                <w:sz w:val="18"/>
                <w:u w:val="none"/>
              </w:rPr>
              <w:t>1.125e-02</w:t>
            </w:r>
          </w:p>
        </w:tc>
        <w:tc>
          <w:tcPr>
            <w:tcW w:type="dxa" w:w="1152"/>
            <w:vAlign w:val="center"/>
            <w:shd w:fill="EBF3FB" w:color="EBF3FB" w:val="clear"/>
          </w:tcPr>
          <w:p>
            <w:pPr>
              <w:jc w:val="center"/>
            </w:pPr>
            <w:r>
              <w:rPr>
                <w:rFonts w:ascii="Times New Roman" w:hAnsi="Times New Roman"/>
                <w:b w:val="0"/>
                <w:i w:val="0"/>
                <w:sz w:val="18"/>
                <w:u w:val="none"/>
              </w:rPr>
              <w:t>Yes</w:t>
            </w:r>
          </w:p>
        </w:tc>
      </w:tr>
      <w:tr>
        <w:tc>
          <w:tcPr>
            <w:tcW w:type="dxa" w:w="2160"/>
            <w:vAlign w:val="center"/>
            <w:shd w:fill="FFFFFF" w:color="FFFFFF" w:val="clear"/>
          </w:tcPr>
          <w:p>
            <w:pPr>
              <w:jc w:val="center"/>
            </w:pPr>
            <w:r>
              <w:rPr>
                <w:rFonts w:ascii="Times New Roman" w:hAnsi="Times New Roman"/>
                <w:b w:val="0"/>
                <w:i w:val="0"/>
                <w:sz w:val="18"/>
                <w:u w:val="none"/>
              </w:rPr>
              <w:t>Late Apoptosis</w:t>
            </w:r>
          </w:p>
        </w:tc>
        <w:tc>
          <w:tcPr>
            <w:tcW w:type="dxa" w:w="1584"/>
            <w:vAlign w:val="center"/>
            <w:shd w:fill="FFFFFF" w:color="FFFFFF" w:val="clear"/>
          </w:tcPr>
          <w:p>
            <w:pPr>
              <w:jc w:val="center"/>
            </w:pPr>
            <w:r>
              <w:rPr>
                <w:rFonts w:ascii="Times New Roman" w:hAnsi="Times New Roman"/>
                <w:b w:val="0"/>
                <w:i w:val="0"/>
                <w:sz w:val="18"/>
                <w:u w:val="none"/>
              </w:rPr>
              <w:t>Polystyrene (PS)</w:t>
            </w:r>
          </w:p>
        </w:tc>
        <w:tc>
          <w:tcPr>
            <w:tcW w:type="dxa" w:w="1224"/>
            <w:vAlign w:val="center"/>
            <w:shd w:fill="FFFFFF" w:color="FFFFFF" w:val="clear"/>
          </w:tcPr>
          <w:p>
            <w:pPr>
              <w:jc w:val="center"/>
            </w:pPr>
            <w:r>
              <w:rPr>
                <w:rFonts w:ascii="Times New Roman" w:hAnsi="Times New Roman"/>
                <w:b w:val="0"/>
                <w:i w:val="0"/>
                <w:sz w:val="18"/>
                <w:u w:val="none"/>
              </w:rPr>
              <w:t>0.943</w:t>
            </w:r>
          </w:p>
        </w:tc>
        <w:tc>
          <w:tcPr>
            <w:tcW w:type="dxa" w:w="1800"/>
            <w:vAlign w:val="center"/>
            <w:shd w:fill="FFFFFF" w:color="FFFFFF" w:val="clear"/>
          </w:tcPr>
          <w:p>
            <w:pPr>
              <w:jc w:val="center"/>
            </w:pPr>
            <w:r>
              <w:rPr>
                <w:rFonts w:ascii="Times New Roman" w:hAnsi="Times New Roman"/>
                <w:b w:val="0"/>
                <w:i w:val="0"/>
                <w:sz w:val="18"/>
                <w:u w:val="none"/>
              </w:rPr>
              <w:t>[0.560, 0.994]</w:t>
            </w:r>
          </w:p>
        </w:tc>
        <w:tc>
          <w:tcPr>
            <w:tcW w:type="dxa" w:w="1224"/>
            <w:vAlign w:val="center"/>
            <w:shd w:fill="FFFFFF" w:color="FFFFFF" w:val="clear"/>
          </w:tcPr>
          <w:p>
            <w:pPr>
              <w:jc w:val="center"/>
            </w:pPr>
            <w:r>
              <w:rPr>
                <w:rFonts w:ascii="Times New Roman" w:hAnsi="Times New Roman"/>
                <w:b w:val="0"/>
                <w:i w:val="0"/>
                <w:sz w:val="18"/>
                <w:u w:val="none"/>
              </w:rPr>
              <w:t>1.775e-02</w:t>
            </w:r>
          </w:p>
        </w:tc>
        <w:tc>
          <w:tcPr>
            <w:tcW w:type="dxa" w:w="1224"/>
            <w:vAlign w:val="center"/>
            <w:shd w:fill="FFFFFF" w:color="FFFFFF" w:val="clear"/>
          </w:tcPr>
          <w:p>
            <w:pPr>
              <w:jc w:val="center"/>
            </w:pPr>
            <w:r>
              <w:rPr>
                <w:rFonts w:ascii="Times New Roman" w:hAnsi="Times New Roman"/>
                <w:b w:val="0"/>
                <w:i w:val="0"/>
                <w:sz w:val="18"/>
                <w:u w:val="none"/>
              </w:rPr>
              <w:t>1.996e-02</w:t>
            </w:r>
          </w:p>
        </w:tc>
        <w:tc>
          <w:tcPr>
            <w:tcW w:type="dxa" w:w="1152"/>
            <w:vAlign w:val="center"/>
            <w:shd w:fill="FFFFFF" w:color="FFFFFF" w:val="clear"/>
          </w:tcPr>
          <w:p>
            <w:pPr>
              <w:jc w:val="center"/>
            </w:pPr>
            <w:r>
              <w:rPr>
                <w:rFonts w:ascii="Times New Roman" w:hAnsi="Times New Roman"/>
                <w:b w:val="0"/>
                <w:i w:val="0"/>
                <w:sz w:val="18"/>
                <w:u w:val="none"/>
              </w:rPr>
              <w:t>Yes</w:t>
            </w:r>
          </w:p>
        </w:tc>
      </w:tr>
      <w:tr>
        <w:tc>
          <w:tcPr>
            <w:tcW w:type="dxa" w:w="2160"/>
            <w:vAlign w:val="center"/>
            <w:shd w:fill="EBF3FB" w:color="EBF3FB" w:val="clear"/>
          </w:tcPr>
          <w:p>
            <w:pPr>
              <w:jc w:val="center"/>
            </w:pPr>
            <w:r>
              <w:rPr>
                <w:rFonts w:ascii="Times New Roman" w:hAnsi="Times New Roman"/>
                <w:b w:val="0"/>
                <w:i w:val="0"/>
                <w:sz w:val="18"/>
                <w:u w:val="none"/>
              </w:rPr>
              <w:t>Late Apoptosis</w:t>
            </w:r>
          </w:p>
        </w:tc>
        <w:tc>
          <w:tcPr>
            <w:tcW w:type="dxa" w:w="1584"/>
            <w:vAlign w:val="center"/>
            <w:shd w:fill="EBF3FB" w:color="EBF3FB" w:val="clear"/>
          </w:tcPr>
          <w:p>
            <w:pPr>
              <w:jc w:val="center"/>
            </w:pPr>
            <w:r>
              <w:rPr>
                <w:rFonts w:ascii="Times New Roman" w:hAnsi="Times New Roman"/>
                <w:b w:val="0"/>
                <w:i w:val="0"/>
                <w:sz w:val="18"/>
                <w:u w:val="none"/>
              </w:rPr>
              <w:t>Polyethylene (PE)</w:t>
            </w:r>
          </w:p>
        </w:tc>
        <w:tc>
          <w:tcPr>
            <w:tcW w:type="dxa" w:w="1224"/>
            <w:vAlign w:val="center"/>
            <w:shd w:fill="EBF3FB" w:color="EBF3FB" w:val="clear"/>
          </w:tcPr>
          <w:p>
            <w:pPr>
              <w:jc w:val="center"/>
            </w:pPr>
            <w:r>
              <w:rPr>
                <w:rFonts w:ascii="Times New Roman" w:hAnsi="Times New Roman"/>
                <w:b w:val="0"/>
                <w:i w:val="0"/>
                <w:sz w:val="18"/>
                <w:u w:val="none"/>
              </w:rPr>
              <w:t>1.000</w:t>
            </w:r>
          </w:p>
        </w:tc>
        <w:tc>
          <w:tcPr>
            <w:tcW w:type="dxa" w:w="1800"/>
            <w:vAlign w:val="center"/>
            <w:shd w:fill="EBF3FB" w:color="EBF3FB" w:val="clear"/>
          </w:tcPr>
          <w:p>
            <w:pPr>
              <w:jc w:val="center"/>
            </w:pPr>
            <w:r>
              <w:rPr>
                <w:rFonts w:ascii="Times New Roman" w:hAnsi="Times New Roman"/>
                <w:b w:val="0"/>
                <w:i w:val="0"/>
                <w:sz w:val="18"/>
                <w:u w:val="none"/>
              </w:rPr>
              <w:t>[1.000, 1.000]</w:t>
            </w:r>
          </w:p>
        </w:tc>
        <w:tc>
          <w:tcPr>
            <w:tcW w:type="dxa" w:w="1224"/>
            <w:vAlign w:val="center"/>
            <w:shd w:fill="EBF3FB" w:color="EBF3FB" w:val="clear"/>
          </w:tcPr>
          <w:p>
            <w:pPr>
              <w:jc w:val="center"/>
            </w:pPr>
            <w:r>
              <w:rPr>
                <w:rFonts w:ascii="Times New Roman" w:hAnsi="Times New Roman"/>
                <w:b w:val="0"/>
                <w:i w:val="0"/>
                <w:sz w:val="18"/>
                <w:u w:val="none"/>
              </w:rPr>
              <w:t>3.749e-03</w:t>
            </w:r>
          </w:p>
        </w:tc>
        <w:tc>
          <w:tcPr>
            <w:tcW w:type="dxa" w:w="1224"/>
            <w:vAlign w:val="center"/>
            <w:shd w:fill="EBF3FB" w:color="EBF3FB" w:val="clear"/>
          </w:tcPr>
          <w:p>
            <w:pPr>
              <w:jc w:val="center"/>
            </w:pPr>
            <w:r>
              <w:rPr>
                <w:rFonts w:ascii="Times New Roman" w:hAnsi="Times New Roman"/>
                <w:b w:val="0"/>
                <w:i w:val="0"/>
                <w:sz w:val="18"/>
                <w:u w:val="none"/>
              </w:rPr>
              <w:t>1.125e-02</w:t>
            </w:r>
          </w:p>
        </w:tc>
        <w:tc>
          <w:tcPr>
            <w:tcW w:type="dxa" w:w="1152"/>
            <w:vAlign w:val="center"/>
            <w:shd w:fill="EBF3FB" w:color="EBF3FB" w:val="clear"/>
          </w:tcPr>
          <w:p>
            <w:pPr>
              <w:jc w:val="center"/>
            </w:pPr>
            <w:r>
              <w:rPr>
                <w:rFonts w:ascii="Times New Roman" w:hAnsi="Times New Roman"/>
                <w:b w:val="0"/>
                <w:i w:val="0"/>
                <w:sz w:val="18"/>
                <w:u w:val="none"/>
              </w:rPr>
              <w:t>Yes</w:t>
            </w:r>
          </w:p>
        </w:tc>
      </w:tr>
      <w:tr>
        <w:tc>
          <w:tcPr>
            <w:tcW w:type="dxa" w:w="2160"/>
            <w:vAlign w:val="center"/>
            <w:shd w:fill="FFFFFF" w:color="FFFFFF" w:val="clear"/>
          </w:tcPr>
          <w:p>
            <w:pPr>
              <w:jc w:val="center"/>
            </w:pPr>
            <w:r>
              <w:rPr>
                <w:rFonts w:ascii="Times New Roman" w:hAnsi="Times New Roman"/>
                <w:b w:val="0"/>
                <w:i w:val="0"/>
                <w:sz w:val="18"/>
                <w:u w:val="none"/>
              </w:rPr>
              <w:t>Late Apoptosis</w:t>
            </w:r>
          </w:p>
        </w:tc>
        <w:tc>
          <w:tcPr>
            <w:tcW w:type="dxa" w:w="1584"/>
            <w:vAlign w:val="center"/>
            <w:shd w:fill="FFFFFF" w:color="FFFFFF" w:val="clear"/>
          </w:tcPr>
          <w:p>
            <w:pPr>
              <w:jc w:val="center"/>
            </w:pPr>
            <w:r>
              <w:rPr>
                <w:rFonts w:ascii="Times New Roman" w:hAnsi="Times New Roman"/>
                <w:b w:val="0"/>
                <w:i w:val="0"/>
                <w:sz w:val="18"/>
                <w:u w:val="none"/>
              </w:rPr>
              <w:t>PET</w:t>
            </w:r>
          </w:p>
        </w:tc>
        <w:tc>
          <w:tcPr>
            <w:tcW w:type="dxa" w:w="1224"/>
            <w:vAlign w:val="center"/>
            <w:shd w:fill="FFFFFF" w:color="FFFFFF" w:val="clear"/>
          </w:tcPr>
          <w:p>
            <w:pPr>
              <w:jc w:val="center"/>
            </w:pPr>
            <w:r>
              <w:rPr>
                <w:rFonts w:ascii="Times New Roman" w:hAnsi="Times New Roman"/>
                <w:b w:val="0"/>
                <w:i w:val="0"/>
                <w:sz w:val="18"/>
                <w:u w:val="none"/>
              </w:rPr>
              <w:t>0.829</w:t>
            </w:r>
          </w:p>
        </w:tc>
        <w:tc>
          <w:tcPr>
            <w:tcW w:type="dxa" w:w="1800"/>
            <w:vAlign w:val="center"/>
            <w:shd w:fill="FFFFFF" w:color="FFFFFF" w:val="clear"/>
          </w:tcPr>
          <w:p>
            <w:pPr>
              <w:jc w:val="center"/>
            </w:pPr>
            <w:r>
              <w:rPr>
                <w:rFonts w:ascii="Times New Roman" w:hAnsi="Times New Roman"/>
                <w:b w:val="0"/>
                <w:i w:val="0"/>
                <w:sz w:val="18"/>
                <w:u w:val="none"/>
              </w:rPr>
              <w:t>[0.053, 0.981]</w:t>
            </w:r>
          </w:p>
        </w:tc>
        <w:tc>
          <w:tcPr>
            <w:tcW w:type="dxa" w:w="1224"/>
            <w:vAlign w:val="center"/>
            <w:shd w:fill="FFFFFF" w:color="FFFFFF" w:val="clear"/>
          </w:tcPr>
          <w:p>
            <w:pPr>
              <w:jc w:val="center"/>
            </w:pPr>
            <w:r>
              <w:rPr>
                <w:rFonts w:ascii="Times New Roman" w:hAnsi="Times New Roman"/>
                <w:b w:val="0"/>
                <w:i w:val="0"/>
                <w:sz w:val="18"/>
                <w:u w:val="none"/>
              </w:rPr>
              <w:t>5.799e-02</w:t>
            </w:r>
          </w:p>
        </w:tc>
        <w:tc>
          <w:tcPr>
            <w:tcW w:type="dxa" w:w="1224"/>
            <w:vAlign w:val="center"/>
            <w:shd w:fill="FFFFFF" w:color="FFFFFF" w:val="clear"/>
          </w:tcPr>
          <w:p>
            <w:pPr>
              <w:jc w:val="center"/>
            </w:pPr>
            <w:r>
              <w:rPr>
                <w:rFonts w:ascii="Times New Roman" w:hAnsi="Times New Roman"/>
                <w:b w:val="0"/>
                <w:i w:val="0"/>
                <w:sz w:val="18"/>
                <w:u w:val="none"/>
              </w:rPr>
              <w:t>5.799e-02</w:t>
            </w:r>
          </w:p>
        </w:tc>
        <w:tc>
          <w:tcPr>
            <w:tcW w:type="dxa" w:w="1152"/>
            <w:vAlign w:val="center"/>
            <w:shd w:fill="FFFFFF" w:color="FFFFFF" w:val="clear"/>
          </w:tcPr>
          <w:p>
            <w:pPr>
              <w:jc w:val="center"/>
            </w:pPr>
            <w:r>
              <w:rPr>
                <w:rFonts w:ascii="Times New Roman" w:hAnsi="Times New Roman"/>
                <w:b w:val="0"/>
                <w:i w:val="0"/>
                <w:sz w:val="18"/>
                <w:u w:val="none"/>
              </w:rPr>
              <w:t>No</w:t>
            </w:r>
          </w:p>
        </w:tc>
      </w:tr>
      <w:tr>
        <w:tc>
          <w:tcPr>
            <w:tcW w:type="dxa" w:w="2160"/>
            <w:vAlign w:val="center"/>
            <w:shd w:fill="EBF3FB" w:color="EBF3FB" w:val="clear"/>
          </w:tcPr>
          <w:p>
            <w:pPr>
              <w:jc w:val="center"/>
            </w:pPr>
            <w:r>
              <w:rPr>
                <w:rFonts w:ascii="Times New Roman" w:hAnsi="Times New Roman"/>
                <w:b w:val="0"/>
                <w:i w:val="0"/>
                <w:sz w:val="18"/>
                <w:u w:val="none"/>
              </w:rPr>
              <w:t>Necrosis</w:t>
            </w:r>
          </w:p>
        </w:tc>
        <w:tc>
          <w:tcPr>
            <w:tcW w:type="dxa" w:w="1584"/>
            <w:vAlign w:val="center"/>
            <w:shd w:fill="EBF3FB" w:color="EBF3FB" w:val="clear"/>
          </w:tcPr>
          <w:p>
            <w:pPr>
              <w:jc w:val="center"/>
            </w:pPr>
            <w:r>
              <w:rPr>
                <w:rFonts w:ascii="Times New Roman" w:hAnsi="Times New Roman"/>
                <w:b w:val="0"/>
                <w:i w:val="0"/>
                <w:sz w:val="18"/>
                <w:u w:val="none"/>
              </w:rPr>
              <w:t>Polystyrene (PS)</w:t>
            </w:r>
          </w:p>
        </w:tc>
        <w:tc>
          <w:tcPr>
            <w:tcW w:type="dxa" w:w="1224"/>
            <w:vAlign w:val="center"/>
            <w:shd w:fill="EBF3FB" w:color="EBF3FB" w:val="clear"/>
          </w:tcPr>
          <w:p>
            <w:pPr>
              <w:jc w:val="center"/>
            </w:pPr>
            <w:r>
              <w:rPr>
                <w:rFonts w:ascii="Times New Roman" w:hAnsi="Times New Roman"/>
                <w:b w:val="0"/>
                <w:i w:val="0"/>
                <w:sz w:val="18"/>
                <w:u w:val="none"/>
              </w:rPr>
              <w:t>0.943</w:t>
            </w:r>
          </w:p>
        </w:tc>
        <w:tc>
          <w:tcPr>
            <w:tcW w:type="dxa" w:w="1800"/>
            <w:vAlign w:val="center"/>
            <w:shd w:fill="EBF3FB" w:color="EBF3FB" w:val="clear"/>
          </w:tcPr>
          <w:p>
            <w:pPr>
              <w:jc w:val="center"/>
            </w:pPr>
            <w:r>
              <w:rPr>
                <w:rFonts w:ascii="Times New Roman" w:hAnsi="Times New Roman"/>
                <w:b w:val="0"/>
                <w:i w:val="0"/>
                <w:sz w:val="18"/>
                <w:u w:val="none"/>
              </w:rPr>
              <w:t>[0.560, 0.994]</w:t>
            </w:r>
          </w:p>
        </w:tc>
        <w:tc>
          <w:tcPr>
            <w:tcW w:type="dxa" w:w="1224"/>
            <w:vAlign w:val="center"/>
            <w:shd w:fill="EBF3FB" w:color="EBF3FB" w:val="clear"/>
          </w:tcPr>
          <w:p>
            <w:pPr>
              <w:jc w:val="center"/>
            </w:pPr>
            <w:r>
              <w:rPr>
                <w:rFonts w:ascii="Times New Roman" w:hAnsi="Times New Roman"/>
                <w:b w:val="0"/>
                <w:i w:val="0"/>
                <w:sz w:val="18"/>
                <w:u w:val="none"/>
              </w:rPr>
              <w:t>1.550e-02</w:t>
            </w:r>
          </w:p>
        </w:tc>
        <w:tc>
          <w:tcPr>
            <w:tcW w:type="dxa" w:w="1224"/>
            <w:vAlign w:val="center"/>
            <w:shd w:fill="EBF3FB" w:color="EBF3FB" w:val="clear"/>
          </w:tcPr>
          <w:p>
            <w:pPr>
              <w:jc w:val="center"/>
            </w:pPr>
            <w:r>
              <w:rPr>
                <w:rFonts w:ascii="Times New Roman" w:hAnsi="Times New Roman"/>
                <w:b w:val="0"/>
                <w:i w:val="0"/>
                <w:sz w:val="18"/>
                <w:u w:val="none"/>
              </w:rPr>
              <w:t>1.996e-02</w:t>
            </w:r>
          </w:p>
        </w:tc>
        <w:tc>
          <w:tcPr>
            <w:tcW w:type="dxa" w:w="1152"/>
            <w:vAlign w:val="center"/>
            <w:shd w:fill="EBF3FB" w:color="EBF3FB" w:val="clear"/>
          </w:tcPr>
          <w:p>
            <w:pPr>
              <w:jc w:val="center"/>
            </w:pPr>
            <w:r>
              <w:rPr>
                <w:rFonts w:ascii="Times New Roman" w:hAnsi="Times New Roman"/>
                <w:b w:val="0"/>
                <w:i w:val="0"/>
                <w:sz w:val="18"/>
                <w:u w:val="none"/>
              </w:rPr>
              <w:t>Yes</w:t>
            </w:r>
          </w:p>
        </w:tc>
      </w:tr>
      <w:tr>
        <w:tc>
          <w:tcPr>
            <w:tcW w:type="dxa" w:w="2160"/>
            <w:vAlign w:val="center"/>
            <w:shd w:fill="FFFFFF" w:color="FFFFFF" w:val="clear"/>
          </w:tcPr>
          <w:p>
            <w:pPr>
              <w:jc w:val="center"/>
            </w:pPr>
            <w:r>
              <w:rPr>
                <w:rFonts w:ascii="Times New Roman" w:hAnsi="Times New Roman"/>
                <w:b w:val="0"/>
                <w:i w:val="0"/>
                <w:sz w:val="18"/>
                <w:u w:val="none"/>
              </w:rPr>
              <w:t>Necrosis</w:t>
            </w:r>
          </w:p>
        </w:tc>
        <w:tc>
          <w:tcPr>
            <w:tcW w:type="dxa" w:w="1584"/>
            <w:vAlign w:val="center"/>
            <w:shd w:fill="FFFFFF" w:color="FFFFFF" w:val="clear"/>
          </w:tcPr>
          <w:p>
            <w:pPr>
              <w:jc w:val="center"/>
            </w:pPr>
            <w:r>
              <w:rPr>
                <w:rFonts w:ascii="Times New Roman" w:hAnsi="Times New Roman"/>
                <w:b w:val="0"/>
                <w:i w:val="0"/>
                <w:sz w:val="18"/>
                <w:u w:val="none"/>
              </w:rPr>
              <w:t>Polyethylene (PE)</w:t>
            </w:r>
          </w:p>
        </w:tc>
        <w:tc>
          <w:tcPr>
            <w:tcW w:type="dxa" w:w="1224"/>
            <w:vAlign w:val="center"/>
            <w:shd w:fill="FFFFFF" w:color="FFFFFF" w:val="clear"/>
          </w:tcPr>
          <w:p>
            <w:pPr>
              <w:jc w:val="center"/>
            </w:pPr>
            <w:r>
              <w:rPr>
                <w:rFonts w:ascii="Times New Roman" w:hAnsi="Times New Roman"/>
                <w:b w:val="0"/>
                <w:i w:val="0"/>
                <w:sz w:val="18"/>
                <w:u w:val="none"/>
              </w:rPr>
              <w:t>1.000</w:t>
            </w:r>
          </w:p>
        </w:tc>
        <w:tc>
          <w:tcPr>
            <w:tcW w:type="dxa" w:w="1800"/>
            <w:vAlign w:val="center"/>
            <w:shd w:fill="FFFFFF" w:color="FFFFFF" w:val="clear"/>
          </w:tcPr>
          <w:p>
            <w:pPr>
              <w:jc w:val="center"/>
            </w:pPr>
            <w:r>
              <w:rPr>
                <w:rFonts w:ascii="Times New Roman" w:hAnsi="Times New Roman"/>
                <w:b w:val="0"/>
                <w:i w:val="0"/>
                <w:sz w:val="18"/>
                <w:u w:val="none"/>
              </w:rPr>
              <w:t>[1.000, 1.000]</w:t>
            </w:r>
          </w:p>
        </w:tc>
        <w:tc>
          <w:tcPr>
            <w:tcW w:type="dxa" w:w="1224"/>
            <w:vAlign w:val="center"/>
            <w:shd w:fill="FFFFFF" w:color="FFFFFF" w:val="clear"/>
          </w:tcPr>
          <w:p>
            <w:pPr>
              <w:jc w:val="center"/>
            </w:pPr>
            <w:r>
              <w:rPr>
                <w:rFonts w:ascii="Times New Roman" w:hAnsi="Times New Roman"/>
                <w:b w:val="0"/>
                <w:i w:val="0"/>
                <w:sz w:val="18"/>
                <w:u w:val="none"/>
              </w:rPr>
              <w:t>2.999e-03</w:t>
            </w:r>
          </w:p>
        </w:tc>
        <w:tc>
          <w:tcPr>
            <w:tcW w:type="dxa" w:w="1224"/>
            <w:vAlign w:val="center"/>
            <w:shd w:fill="FFFFFF" w:color="FFFFFF" w:val="clear"/>
          </w:tcPr>
          <w:p>
            <w:pPr>
              <w:jc w:val="center"/>
            </w:pPr>
            <w:r>
              <w:rPr>
                <w:rFonts w:ascii="Times New Roman" w:hAnsi="Times New Roman"/>
                <w:b w:val="0"/>
                <w:i w:val="0"/>
                <w:sz w:val="18"/>
                <w:u w:val="none"/>
              </w:rPr>
              <w:t>1.125e-02</w:t>
            </w:r>
          </w:p>
        </w:tc>
        <w:tc>
          <w:tcPr>
            <w:tcW w:type="dxa" w:w="1152"/>
            <w:vAlign w:val="center"/>
            <w:shd w:fill="FFFFFF" w:color="FFFFFF" w:val="clear"/>
          </w:tcPr>
          <w:p>
            <w:pPr>
              <w:jc w:val="center"/>
            </w:pPr>
            <w:r>
              <w:rPr>
                <w:rFonts w:ascii="Times New Roman" w:hAnsi="Times New Roman"/>
                <w:b w:val="0"/>
                <w:i w:val="0"/>
                <w:sz w:val="18"/>
                <w:u w:val="none"/>
              </w:rPr>
              <w:t>Yes</w:t>
            </w:r>
          </w:p>
        </w:tc>
      </w:tr>
      <w:tr>
        <w:tc>
          <w:tcPr>
            <w:tcW w:type="dxa" w:w="2160"/>
            <w:vAlign w:val="center"/>
            <w:shd w:fill="EBF3FB" w:color="EBF3FB" w:val="clear"/>
          </w:tcPr>
          <w:p>
            <w:pPr>
              <w:jc w:val="center"/>
            </w:pPr>
            <w:r>
              <w:rPr>
                <w:rFonts w:ascii="Times New Roman" w:hAnsi="Times New Roman"/>
                <w:b w:val="0"/>
                <w:i w:val="0"/>
                <w:sz w:val="18"/>
                <w:u w:val="none"/>
              </w:rPr>
              <w:t>Necrosis</w:t>
            </w:r>
          </w:p>
        </w:tc>
        <w:tc>
          <w:tcPr>
            <w:tcW w:type="dxa" w:w="1584"/>
            <w:vAlign w:val="center"/>
            <w:shd w:fill="EBF3FB" w:color="EBF3FB" w:val="clear"/>
          </w:tcPr>
          <w:p>
            <w:pPr>
              <w:jc w:val="center"/>
            </w:pPr>
            <w:r>
              <w:rPr>
                <w:rFonts w:ascii="Times New Roman" w:hAnsi="Times New Roman"/>
                <w:b w:val="0"/>
                <w:i w:val="0"/>
                <w:sz w:val="18"/>
                <w:u w:val="none"/>
              </w:rPr>
              <w:t>PET</w:t>
            </w:r>
          </w:p>
        </w:tc>
        <w:tc>
          <w:tcPr>
            <w:tcW w:type="dxa" w:w="1224"/>
            <w:vAlign w:val="center"/>
            <w:shd w:fill="EBF3FB" w:color="EBF3FB" w:val="clear"/>
          </w:tcPr>
          <w:p>
            <w:pPr>
              <w:jc w:val="center"/>
            </w:pPr>
            <w:r>
              <w:rPr>
                <w:rFonts w:ascii="Times New Roman" w:hAnsi="Times New Roman"/>
                <w:b w:val="0"/>
                <w:i w:val="0"/>
                <w:sz w:val="18"/>
                <w:u w:val="none"/>
              </w:rPr>
              <w:t>0.943</w:t>
            </w:r>
          </w:p>
        </w:tc>
        <w:tc>
          <w:tcPr>
            <w:tcW w:type="dxa" w:w="1800"/>
            <w:vAlign w:val="center"/>
            <w:shd w:fill="EBF3FB" w:color="EBF3FB" w:val="clear"/>
          </w:tcPr>
          <w:p>
            <w:pPr>
              <w:jc w:val="center"/>
            </w:pPr>
            <w:r>
              <w:rPr>
                <w:rFonts w:ascii="Times New Roman" w:hAnsi="Times New Roman"/>
                <w:b w:val="0"/>
                <w:i w:val="0"/>
                <w:sz w:val="18"/>
                <w:u w:val="none"/>
              </w:rPr>
              <w:t>[0.560, 0.994]</w:t>
            </w:r>
          </w:p>
        </w:tc>
        <w:tc>
          <w:tcPr>
            <w:tcW w:type="dxa" w:w="1224"/>
            <w:vAlign w:val="center"/>
            <w:shd w:fill="EBF3FB" w:color="EBF3FB" w:val="clear"/>
          </w:tcPr>
          <w:p>
            <w:pPr>
              <w:jc w:val="center"/>
            </w:pPr>
            <w:r>
              <w:rPr>
                <w:rFonts w:ascii="Times New Roman" w:hAnsi="Times New Roman"/>
                <w:b w:val="0"/>
                <w:i w:val="0"/>
                <w:sz w:val="18"/>
                <w:u w:val="none"/>
              </w:rPr>
              <w:t>1.625e-02</w:t>
            </w:r>
          </w:p>
        </w:tc>
        <w:tc>
          <w:tcPr>
            <w:tcW w:type="dxa" w:w="1224"/>
            <w:vAlign w:val="center"/>
            <w:shd w:fill="EBF3FB" w:color="EBF3FB" w:val="clear"/>
          </w:tcPr>
          <w:p>
            <w:pPr>
              <w:jc w:val="center"/>
            </w:pPr>
            <w:r>
              <w:rPr>
                <w:rFonts w:ascii="Times New Roman" w:hAnsi="Times New Roman"/>
                <w:b w:val="0"/>
                <w:i w:val="0"/>
                <w:sz w:val="18"/>
                <w:u w:val="none"/>
              </w:rPr>
              <w:t>1.996e-02</w:t>
            </w:r>
          </w:p>
        </w:tc>
        <w:tc>
          <w:tcPr>
            <w:tcW w:type="dxa" w:w="1152"/>
            <w:vAlign w:val="center"/>
            <w:shd w:fill="EBF3FB" w:color="EBF3FB" w:val="clear"/>
          </w:tcPr>
          <w:p>
            <w:pPr>
              <w:jc w:val="center"/>
            </w:pPr>
            <w:r>
              <w:rPr>
                <w:rFonts w:ascii="Times New Roman" w:hAnsi="Times New Roman"/>
                <w:b w:val="0"/>
                <w:i w:val="0"/>
                <w:sz w:val="18"/>
                <w:u w:val="none"/>
              </w:rPr>
              <w:t>Yes</w:t>
            </w:r>
          </w:p>
        </w:tc>
      </w:tr>
    </w:tbl>
    <w:p>
      <w:pPr>
        <w:spacing w:before="40"/>
      </w:pPr>
      <w:r>
        <w:rPr>
          <w:rFonts w:ascii="Times New Roman" w:hAnsi="Times New Roman"/>
          <w:b/>
          <w:i w:val="0"/>
          <w:sz w:val="18"/>
          <w:u w:val="none"/>
        </w:rPr>
        <w:t xml:space="preserve">Note: </w:t>
      </w:r>
      <w:r>
        <w:rPr>
          <w:rFonts w:ascii="Times New Roman" w:hAnsi="Times New Roman"/>
          <w:b w:val="0"/>
          <w:i/>
          <w:sz w:val="18"/>
          <w:u w:val="none"/>
        </w:rPr>
        <w:t>Spearman correlation between simulator dose-concentration (µg/mL) and per-class incidence proportion, stratified by polymer (n = 6 dose levels). 95% CI computed via Fisher z-transformation. Correlations reflect simulator dose-encoding self-consistency, not real-cell dose-response.</w:t>
      </w:r>
    </w:p>
    <w:p/>
    <w:p>
      <w:pPr>
        <w:spacing w:before="120" w:after="40"/>
      </w:pPr>
      <w:r>
        <w:rPr>
          <w:rFonts w:ascii="Times New Roman" w:hAnsi="Times New Roman"/>
          <w:b/>
          <w:i/>
          <w:sz w:val="22"/>
          <w:u w:val="none"/>
        </w:rPr>
        <w:t>3.9  Permutation significance tests</w:t>
      </w:r>
    </w:p>
    <w:p>
      <w:pPr>
        <w:spacing w:after="80"/>
        <w:jc w:val="both"/>
      </w:pPr>
      <w:r>
        <w:rPr>
          <w:rFonts w:ascii="Times New Roman" w:hAnsi="Times New Roman"/>
          <w:b w:val="0"/>
          <w:i w:val="0"/>
          <w:sz w:val="22"/>
          <w:u w:val="none"/>
        </w:rPr>
        <w:t>Table 9b reports the two-sided permutation test with LR as reference. LR significantly outperforms RF (ΔAUC = 0.026, p = 0.0005; null 95% CI [−0.016, 0.016]). The test was designed to answer the primary inference question: does the best-performing feature-based model (LR) significantly exceed the second-best (RF)? The positive answer supports the recommendation of LR as the default baseline for this feature set. Table 9 retains the original RF-reference permutation tests for completeness.</w:t>
      </w:r>
    </w:p>
    <w:p>
      <w:pPr>
        <w:spacing w:after="80"/>
        <w:jc w:val="both"/>
      </w:pPr>
      <w:r>
        <w:rPr>
          <w:rFonts w:ascii="Times New Roman" w:hAnsi="Times New Roman"/>
          <w:b w:val="0"/>
          <w:i w:val="0"/>
          <w:sz w:val="22"/>
          <w:u w:val="none"/>
        </w:rPr>
        <w:t>Table 9. Original permutation tests (RF as reference; retained for completeness).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rPr>
          <w:trHeight w:val="504"/>
        </w:trPr>
        <w:tc>
          <w:tcPr>
            <w:tcW w:type="dxa" w:w="2880"/>
            <w:vAlign w:val="center"/>
            <w:shd w:fill="1F4E79" w:color="1F4E79" w:val="clear"/>
          </w:tcPr>
          <w:p>
            <w:pPr>
              <w:jc w:val="center"/>
            </w:pPr>
            <w:r>
              <w:rPr>
                <w:rFonts w:ascii="Times New Roman" w:hAnsi="Times New Roman"/>
                <w:b/>
                <w:i w:val="0"/>
                <w:color w:val="FFFFFF"/>
                <w:sz w:val="18"/>
                <w:u w:val="none"/>
              </w:rPr>
              <w:t>Comparison</w:t>
            </w:r>
          </w:p>
        </w:tc>
        <w:tc>
          <w:tcPr>
            <w:tcW w:type="dxa" w:w="1008"/>
            <w:vAlign w:val="center"/>
            <w:shd w:fill="1F4E79" w:color="1F4E79" w:val="clear"/>
          </w:tcPr>
          <w:p>
            <w:pPr>
              <w:jc w:val="center"/>
            </w:pPr>
            <w:r>
              <w:rPr>
                <w:rFonts w:ascii="Times New Roman" w:hAnsi="Times New Roman"/>
                <w:b/>
                <w:i w:val="0"/>
                <w:color w:val="FFFFFF"/>
                <w:sz w:val="18"/>
                <w:u w:val="none"/>
              </w:rPr>
              <w:t>AUC A</w:t>
            </w:r>
          </w:p>
        </w:tc>
        <w:tc>
          <w:tcPr>
            <w:tcW w:type="dxa" w:w="1008"/>
            <w:vAlign w:val="center"/>
            <w:shd w:fill="1F4E79" w:color="1F4E79" w:val="clear"/>
          </w:tcPr>
          <w:p>
            <w:pPr>
              <w:jc w:val="center"/>
            </w:pPr>
            <w:r>
              <w:rPr>
                <w:rFonts w:ascii="Times New Roman" w:hAnsi="Times New Roman"/>
                <w:b/>
                <w:i w:val="0"/>
                <w:color w:val="FFFFFF"/>
                <w:sz w:val="18"/>
                <w:u w:val="none"/>
              </w:rPr>
              <w:t>AUC B</w:t>
            </w:r>
          </w:p>
        </w:tc>
        <w:tc>
          <w:tcPr>
            <w:tcW w:type="dxa" w:w="1008"/>
            <w:vAlign w:val="center"/>
            <w:shd w:fill="1F4E79" w:color="1F4E79" w:val="clear"/>
          </w:tcPr>
          <w:p>
            <w:pPr>
              <w:jc w:val="center"/>
            </w:pPr>
            <w:r>
              <w:rPr>
                <w:rFonts w:ascii="Times New Roman" w:hAnsi="Times New Roman"/>
                <w:b/>
                <w:i w:val="0"/>
                <w:color w:val="FFFFFF"/>
                <w:sz w:val="18"/>
                <w:u w:val="none"/>
              </w:rPr>
              <w:t>Δ AUC</w:t>
            </w:r>
          </w:p>
        </w:tc>
        <w:tc>
          <w:tcPr>
            <w:tcW w:type="dxa" w:w="1152"/>
            <w:vAlign w:val="center"/>
            <w:shd w:fill="1F4E79" w:color="1F4E79" w:val="clear"/>
          </w:tcPr>
          <w:p>
            <w:pPr>
              <w:jc w:val="center"/>
            </w:pPr>
            <w:r>
              <w:rPr>
                <w:rFonts w:ascii="Times New Roman" w:hAnsi="Times New Roman"/>
                <w:b/>
                <w:i w:val="0"/>
                <w:color w:val="FFFFFF"/>
                <w:sz w:val="18"/>
                <w:u w:val="none"/>
              </w:rPr>
              <w:t>p-value</w:t>
            </w:r>
          </w:p>
        </w:tc>
        <w:tc>
          <w:tcPr>
            <w:tcW w:type="dxa" w:w="1872"/>
            <w:vAlign w:val="center"/>
            <w:shd w:fill="1F4E79" w:color="1F4E79" w:val="clear"/>
          </w:tcPr>
          <w:p>
            <w:pPr>
              <w:jc w:val="center"/>
            </w:pPr>
            <w:r>
              <w:rPr>
                <w:rFonts w:ascii="Times New Roman" w:hAnsi="Times New Roman"/>
                <w:b/>
                <w:i w:val="0"/>
                <w:color w:val="FFFFFF"/>
                <w:sz w:val="18"/>
                <w:u w:val="none"/>
              </w:rPr>
              <w:t>Null CI (95%)</w:t>
            </w:r>
          </w:p>
        </w:tc>
      </w:tr>
      <w:tr>
        <w:tc>
          <w:tcPr>
            <w:tcW w:type="dxa" w:w="2880"/>
            <w:vAlign w:val="center"/>
            <w:shd w:fill="EBF3FB" w:color="EBF3FB" w:val="clear"/>
          </w:tcPr>
          <w:p>
            <w:pPr>
              <w:jc w:val="center"/>
            </w:pPr>
            <w:r>
              <w:rPr>
                <w:rFonts w:ascii="Times New Roman" w:hAnsi="Times New Roman"/>
                <w:b w:val="0"/>
                <w:i w:val="0"/>
                <w:sz w:val="18"/>
                <w:u w:val="none"/>
              </w:rPr>
              <w:t>CNN (scratch) vs Random Forest</w:t>
            </w:r>
          </w:p>
        </w:tc>
        <w:tc>
          <w:tcPr>
            <w:tcW w:type="dxa" w:w="1008"/>
            <w:vAlign w:val="center"/>
            <w:shd w:fill="EBF3FB" w:color="EBF3FB" w:val="clear"/>
          </w:tcPr>
          <w:p>
            <w:pPr>
              <w:jc w:val="center"/>
            </w:pPr>
            <w:r>
              <w:rPr>
                <w:rFonts w:ascii="Times New Roman" w:hAnsi="Times New Roman"/>
                <w:b w:val="0"/>
                <w:i w:val="0"/>
                <w:sz w:val="18"/>
                <w:u w:val="none"/>
              </w:rPr>
              <w:t>0.873</w:t>
            </w:r>
          </w:p>
        </w:tc>
        <w:tc>
          <w:tcPr>
            <w:tcW w:type="dxa" w:w="1008"/>
            <w:vAlign w:val="center"/>
            <w:shd w:fill="EBF3FB" w:color="EBF3FB" w:val="clear"/>
          </w:tcPr>
          <w:p>
            <w:pPr>
              <w:jc w:val="center"/>
            </w:pPr>
            <w:r>
              <w:rPr>
                <w:rFonts w:ascii="Times New Roman" w:hAnsi="Times New Roman"/>
                <w:b w:val="0"/>
                <w:i w:val="0"/>
                <w:sz w:val="18"/>
                <w:u w:val="none"/>
              </w:rPr>
              <w:t>0.955</w:t>
            </w:r>
          </w:p>
        </w:tc>
        <w:tc>
          <w:tcPr>
            <w:tcW w:type="dxa" w:w="1008"/>
            <w:vAlign w:val="center"/>
            <w:shd w:fill="EBF3FB" w:color="EBF3FB" w:val="clear"/>
          </w:tcPr>
          <w:p>
            <w:pPr>
              <w:jc w:val="center"/>
            </w:pPr>
            <w:r>
              <w:rPr>
                <w:rFonts w:ascii="Times New Roman" w:hAnsi="Times New Roman"/>
                <w:b w:val="0"/>
                <w:i w:val="0"/>
                <w:sz w:val="18"/>
                <w:u w:val="none"/>
              </w:rPr>
              <w:t>-0.0824</w:t>
            </w:r>
          </w:p>
        </w:tc>
        <w:tc>
          <w:tcPr>
            <w:tcW w:type="dxa" w:w="1152"/>
            <w:vAlign w:val="center"/>
            <w:shd w:fill="EBF3FB" w:color="EBF3FB" w:val="clear"/>
          </w:tcPr>
          <w:p>
            <w:pPr>
              <w:jc w:val="center"/>
            </w:pPr>
            <w:r>
              <w:rPr>
                <w:rFonts w:ascii="Times New Roman" w:hAnsi="Times New Roman"/>
                <w:b w:val="0"/>
                <w:i w:val="0"/>
                <w:sz w:val="18"/>
                <w:u w:val="none"/>
              </w:rPr>
              <w:t>2.9997e-04</w:t>
            </w:r>
          </w:p>
        </w:tc>
        <w:tc>
          <w:tcPr>
            <w:tcW w:type="dxa" w:w="1872"/>
            <w:vAlign w:val="center"/>
            <w:shd w:fill="EBF3FB" w:color="EBF3FB" w:val="clear"/>
          </w:tcPr>
          <w:p>
            <w:pPr>
              <w:jc w:val="center"/>
            </w:pPr>
            <w:r>
              <w:rPr>
                <w:rFonts w:ascii="Times New Roman" w:hAnsi="Times New Roman"/>
                <w:b w:val="0"/>
                <w:i w:val="0"/>
                <w:sz w:val="18"/>
                <w:u w:val="none"/>
              </w:rPr>
              <w:t>[-0.0425, 0.0430]</w:t>
            </w:r>
          </w:p>
        </w:tc>
      </w:tr>
      <w:tr>
        <w:tc>
          <w:tcPr>
            <w:tcW w:type="dxa" w:w="2880"/>
            <w:vAlign w:val="center"/>
            <w:shd w:fill="FFFFFF" w:color="FFFFFF" w:val="clear"/>
          </w:tcPr>
          <w:p>
            <w:pPr>
              <w:jc w:val="center"/>
            </w:pPr>
            <w:r>
              <w:rPr>
                <w:rFonts w:ascii="Times New Roman" w:hAnsi="Times New Roman"/>
                <w:b w:val="0"/>
                <w:i w:val="0"/>
                <w:sz w:val="18"/>
                <w:u w:val="none"/>
              </w:rPr>
              <w:t>ResNet-18 (scratch) vs Random Forest</w:t>
            </w:r>
          </w:p>
        </w:tc>
        <w:tc>
          <w:tcPr>
            <w:tcW w:type="dxa" w:w="1008"/>
            <w:vAlign w:val="center"/>
            <w:shd w:fill="FFFFFF" w:color="FFFFFF" w:val="clear"/>
          </w:tcPr>
          <w:p>
            <w:pPr>
              <w:jc w:val="center"/>
            </w:pPr>
            <w:r>
              <w:rPr>
                <w:rFonts w:ascii="Times New Roman" w:hAnsi="Times New Roman"/>
                <w:b w:val="0"/>
                <w:i w:val="0"/>
                <w:sz w:val="18"/>
                <w:u w:val="none"/>
              </w:rPr>
              <w:t>0.910</w:t>
            </w:r>
          </w:p>
        </w:tc>
        <w:tc>
          <w:tcPr>
            <w:tcW w:type="dxa" w:w="1008"/>
            <w:vAlign w:val="center"/>
            <w:shd w:fill="FFFFFF" w:color="FFFFFF" w:val="clear"/>
          </w:tcPr>
          <w:p>
            <w:pPr>
              <w:jc w:val="center"/>
            </w:pPr>
            <w:r>
              <w:rPr>
                <w:rFonts w:ascii="Times New Roman" w:hAnsi="Times New Roman"/>
                <w:b w:val="0"/>
                <w:i w:val="0"/>
                <w:sz w:val="18"/>
                <w:u w:val="none"/>
              </w:rPr>
              <w:t>0.955</w:t>
            </w:r>
          </w:p>
        </w:tc>
        <w:tc>
          <w:tcPr>
            <w:tcW w:type="dxa" w:w="1008"/>
            <w:vAlign w:val="center"/>
            <w:shd w:fill="FFFFFF" w:color="FFFFFF" w:val="clear"/>
          </w:tcPr>
          <w:p>
            <w:pPr>
              <w:jc w:val="center"/>
            </w:pPr>
            <w:r>
              <w:rPr>
                <w:rFonts w:ascii="Times New Roman" w:hAnsi="Times New Roman"/>
                <w:b w:val="0"/>
                <w:i w:val="0"/>
                <w:sz w:val="18"/>
                <w:u w:val="none"/>
              </w:rPr>
              <w:t>-0.0453</w:t>
            </w:r>
          </w:p>
        </w:tc>
        <w:tc>
          <w:tcPr>
            <w:tcW w:type="dxa" w:w="1152"/>
            <w:vAlign w:val="center"/>
            <w:shd w:fill="FFFFFF" w:color="FFFFFF" w:val="clear"/>
          </w:tcPr>
          <w:p>
            <w:pPr>
              <w:jc w:val="center"/>
            </w:pPr>
            <w:r>
              <w:rPr>
                <w:rFonts w:ascii="Times New Roman" w:hAnsi="Times New Roman"/>
                <w:b w:val="0"/>
                <w:i w:val="0"/>
                <w:sz w:val="18"/>
                <w:u w:val="none"/>
              </w:rPr>
              <w:t>2.6097e-02</w:t>
            </w:r>
          </w:p>
        </w:tc>
        <w:tc>
          <w:tcPr>
            <w:tcW w:type="dxa" w:w="1872"/>
            <w:vAlign w:val="center"/>
            <w:shd w:fill="FFFFFF" w:color="FFFFFF" w:val="clear"/>
          </w:tcPr>
          <w:p>
            <w:pPr>
              <w:jc w:val="center"/>
            </w:pPr>
            <w:r>
              <w:rPr>
                <w:rFonts w:ascii="Times New Roman" w:hAnsi="Times New Roman"/>
                <w:b w:val="0"/>
                <w:i w:val="0"/>
                <w:sz w:val="18"/>
                <w:u w:val="none"/>
              </w:rPr>
              <w:t>[-0.0407, 0.0397]</w:t>
            </w:r>
          </w:p>
        </w:tc>
      </w:tr>
      <w:tr>
        <w:tc>
          <w:tcPr>
            <w:tcW w:type="dxa" w:w="2880"/>
            <w:vAlign w:val="center"/>
            <w:shd w:fill="EBF3FB" w:color="EBF3FB" w:val="clear"/>
          </w:tcPr>
          <w:p>
            <w:pPr>
              <w:jc w:val="center"/>
            </w:pPr>
            <w:r>
              <w:rPr>
                <w:rFonts w:ascii="Times New Roman" w:hAnsi="Times New Roman"/>
                <w:b w:val="0"/>
                <w:i w:val="0"/>
                <w:sz w:val="18"/>
                <w:u w:val="none"/>
              </w:rPr>
              <w:t>ResNet-18 (pretrained) vs Random Forest</w:t>
            </w:r>
          </w:p>
        </w:tc>
        <w:tc>
          <w:tcPr>
            <w:tcW w:type="dxa" w:w="1008"/>
            <w:vAlign w:val="center"/>
            <w:shd w:fill="EBF3FB" w:color="EBF3FB" w:val="clear"/>
          </w:tcPr>
          <w:p>
            <w:pPr>
              <w:jc w:val="center"/>
            </w:pPr>
            <w:r>
              <w:rPr>
                <w:rFonts w:ascii="Times New Roman" w:hAnsi="Times New Roman"/>
                <w:b w:val="0"/>
                <w:i w:val="0"/>
                <w:sz w:val="18"/>
                <w:u w:val="none"/>
              </w:rPr>
              <w:t>0.954</w:t>
            </w:r>
          </w:p>
        </w:tc>
        <w:tc>
          <w:tcPr>
            <w:tcW w:type="dxa" w:w="1008"/>
            <w:vAlign w:val="center"/>
            <w:shd w:fill="EBF3FB" w:color="EBF3FB" w:val="clear"/>
          </w:tcPr>
          <w:p>
            <w:pPr>
              <w:jc w:val="center"/>
            </w:pPr>
            <w:r>
              <w:rPr>
                <w:rFonts w:ascii="Times New Roman" w:hAnsi="Times New Roman"/>
                <w:b w:val="0"/>
                <w:i w:val="0"/>
                <w:sz w:val="18"/>
                <w:u w:val="none"/>
              </w:rPr>
              <w:t>0.955</w:t>
            </w:r>
          </w:p>
        </w:tc>
        <w:tc>
          <w:tcPr>
            <w:tcW w:type="dxa" w:w="1008"/>
            <w:vAlign w:val="center"/>
            <w:shd w:fill="EBF3FB" w:color="EBF3FB" w:val="clear"/>
          </w:tcPr>
          <w:p>
            <w:pPr>
              <w:jc w:val="center"/>
            </w:pPr>
            <w:r>
              <w:rPr>
                <w:rFonts w:ascii="Times New Roman" w:hAnsi="Times New Roman"/>
                <w:b w:val="0"/>
                <w:i w:val="0"/>
                <w:sz w:val="18"/>
                <w:u w:val="none"/>
              </w:rPr>
              <w:t>-0.0012</w:t>
            </w:r>
          </w:p>
        </w:tc>
        <w:tc>
          <w:tcPr>
            <w:tcW w:type="dxa" w:w="1152"/>
            <w:vAlign w:val="center"/>
            <w:shd w:fill="EBF3FB" w:color="EBF3FB" w:val="clear"/>
          </w:tcPr>
          <w:p>
            <w:pPr>
              <w:jc w:val="center"/>
            </w:pPr>
            <w:r>
              <w:rPr>
                <w:rFonts w:ascii="Times New Roman" w:hAnsi="Times New Roman"/>
                <w:b w:val="0"/>
                <w:i w:val="0"/>
                <w:sz w:val="18"/>
                <w:u w:val="none"/>
              </w:rPr>
              <w:t>9.4781e-01</w:t>
            </w:r>
          </w:p>
        </w:tc>
        <w:tc>
          <w:tcPr>
            <w:tcW w:type="dxa" w:w="1872"/>
            <w:vAlign w:val="center"/>
            <w:shd w:fill="EBF3FB" w:color="EBF3FB" w:val="clear"/>
          </w:tcPr>
          <w:p>
            <w:pPr>
              <w:jc w:val="center"/>
            </w:pPr>
            <w:r>
              <w:rPr>
                <w:rFonts w:ascii="Times New Roman" w:hAnsi="Times New Roman"/>
                <w:b w:val="0"/>
                <w:i w:val="0"/>
                <w:sz w:val="18"/>
                <w:u w:val="none"/>
              </w:rPr>
              <w:t>[-0.0362, 0.0352]</w:t>
            </w:r>
          </w:p>
        </w:tc>
      </w:tr>
    </w:tbl>
    <w:p/>
    <w:p>
      <w:pPr>
        <w:spacing w:after="80"/>
        <w:jc w:val="both"/>
      </w:pPr>
      <w:r>
        <w:rPr>
          <w:rFonts w:ascii="Times New Roman" w:hAnsi="Times New Roman"/>
          <w:b w:val="0"/>
          <w:i w:val="0"/>
          <w:sz w:val="22"/>
          <w:u w:val="none"/>
        </w:rPr>
        <w:t>Table 9b. Primary permutation test with LR as reference model.</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rPr>
          <w:trHeight w:val="504"/>
        </w:trPr>
        <w:tc>
          <w:tcPr>
            <w:tcW w:type="dxa" w:w="2592"/>
            <w:vAlign w:val="center"/>
            <w:shd w:fill="1F4E79" w:color="1F4E79" w:val="clear"/>
          </w:tcPr>
          <w:p>
            <w:pPr>
              <w:jc w:val="center"/>
            </w:pPr>
            <w:r>
              <w:rPr>
                <w:rFonts w:ascii="Times New Roman" w:hAnsi="Times New Roman"/>
                <w:b/>
                <w:i w:val="0"/>
                <w:color w:val="FFFFFF"/>
                <w:sz w:val="18"/>
                <w:u w:val="none"/>
              </w:rPr>
              <w:t>Comparison</w:t>
            </w:r>
          </w:p>
        </w:tc>
        <w:tc>
          <w:tcPr>
            <w:tcW w:type="dxa" w:w="1224"/>
            <w:vAlign w:val="center"/>
            <w:shd w:fill="1F4E79" w:color="1F4E79" w:val="clear"/>
          </w:tcPr>
          <w:p>
            <w:pPr>
              <w:jc w:val="center"/>
            </w:pPr>
            <w:r>
              <w:rPr>
                <w:rFonts w:ascii="Times New Roman" w:hAnsi="Times New Roman"/>
                <w:b/>
                <w:i w:val="0"/>
                <w:color w:val="FFFFFF"/>
                <w:sz w:val="18"/>
                <w:u w:val="none"/>
              </w:rPr>
              <w:t>AUC (LR)</w:t>
            </w:r>
          </w:p>
        </w:tc>
        <w:tc>
          <w:tcPr>
            <w:tcW w:type="dxa" w:w="1224"/>
            <w:vAlign w:val="center"/>
            <w:shd w:fill="1F4E79" w:color="1F4E79" w:val="clear"/>
          </w:tcPr>
          <w:p>
            <w:pPr>
              <w:jc w:val="center"/>
            </w:pPr>
            <w:r>
              <w:rPr>
                <w:rFonts w:ascii="Times New Roman" w:hAnsi="Times New Roman"/>
                <w:b/>
                <w:i w:val="0"/>
                <w:color w:val="FFFFFF"/>
                <w:sz w:val="18"/>
                <w:u w:val="none"/>
              </w:rPr>
              <w:t>AUC (RF)</w:t>
            </w:r>
          </w:p>
        </w:tc>
        <w:tc>
          <w:tcPr>
            <w:tcW w:type="dxa" w:w="1080"/>
            <w:vAlign w:val="center"/>
            <w:shd w:fill="1F4E79" w:color="1F4E79" w:val="clear"/>
          </w:tcPr>
          <w:p>
            <w:pPr>
              <w:jc w:val="center"/>
            </w:pPr>
            <w:r>
              <w:rPr>
                <w:rFonts w:ascii="Times New Roman" w:hAnsi="Times New Roman"/>
                <w:b/>
                <w:i w:val="0"/>
                <w:color w:val="FFFFFF"/>
                <w:sz w:val="18"/>
                <w:u w:val="none"/>
              </w:rPr>
              <w:t>Δ AUC</w:t>
            </w:r>
          </w:p>
        </w:tc>
        <w:tc>
          <w:tcPr>
            <w:tcW w:type="dxa" w:w="1224"/>
            <w:vAlign w:val="center"/>
            <w:shd w:fill="1F4E79" w:color="1F4E79" w:val="clear"/>
          </w:tcPr>
          <w:p>
            <w:pPr>
              <w:jc w:val="center"/>
            </w:pPr>
            <w:r>
              <w:rPr>
                <w:rFonts w:ascii="Times New Roman" w:hAnsi="Times New Roman"/>
                <w:b/>
                <w:i w:val="0"/>
                <w:color w:val="FFFFFF"/>
                <w:sz w:val="18"/>
                <w:u w:val="none"/>
              </w:rPr>
              <w:t>p-value</w:t>
            </w:r>
          </w:p>
        </w:tc>
        <w:tc>
          <w:tcPr>
            <w:tcW w:type="dxa" w:w="1728"/>
            <w:vAlign w:val="center"/>
            <w:shd w:fill="1F4E79" w:color="1F4E79" w:val="clear"/>
          </w:tcPr>
          <w:p>
            <w:pPr>
              <w:jc w:val="center"/>
            </w:pPr>
            <w:r>
              <w:rPr>
                <w:rFonts w:ascii="Times New Roman" w:hAnsi="Times New Roman"/>
                <w:b/>
                <w:i w:val="0"/>
                <w:color w:val="FFFFFF"/>
                <w:sz w:val="18"/>
                <w:u w:val="none"/>
              </w:rPr>
              <w:t>Null CI (95%)</w:t>
            </w:r>
          </w:p>
        </w:tc>
      </w:tr>
      <w:tr>
        <w:tc>
          <w:tcPr>
            <w:tcW w:type="dxa" w:w="2592"/>
            <w:vAlign w:val="center"/>
            <w:shd w:fill="EBF3FB" w:color="EBF3FB" w:val="clear"/>
          </w:tcPr>
          <w:p>
            <w:pPr>
              <w:jc w:val="center"/>
            </w:pPr>
            <w:r>
              <w:rPr>
                <w:rFonts w:ascii="Times New Roman" w:hAnsi="Times New Roman"/>
                <w:b w:val="0"/>
                <w:i w:val="0"/>
                <w:sz w:val="18"/>
                <w:u w:val="none"/>
              </w:rPr>
              <w:t>LR vs Random Forest</w:t>
            </w:r>
          </w:p>
        </w:tc>
        <w:tc>
          <w:tcPr>
            <w:tcW w:type="dxa" w:w="1224"/>
            <w:vAlign w:val="center"/>
            <w:shd w:fill="EBF3FB" w:color="EBF3FB" w:val="clear"/>
          </w:tcPr>
          <w:p>
            <w:pPr>
              <w:jc w:val="center"/>
            </w:pPr>
            <w:r>
              <w:rPr>
                <w:rFonts w:ascii="Times New Roman" w:hAnsi="Times New Roman"/>
                <w:b w:val="0"/>
                <w:i w:val="0"/>
                <w:sz w:val="18"/>
                <w:u w:val="none"/>
              </w:rPr>
              <w:t>0.981</w:t>
            </w:r>
          </w:p>
        </w:tc>
        <w:tc>
          <w:tcPr>
            <w:tcW w:type="dxa" w:w="1224"/>
            <w:vAlign w:val="center"/>
            <w:shd w:fill="EBF3FB" w:color="EBF3FB" w:val="clear"/>
          </w:tcPr>
          <w:p>
            <w:pPr>
              <w:jc w:val="center"/>
            </w:pPr>
            <w:r>
              <w:rPr>
                <w:rFonts w:ascii="Times New Roman" w:hAnsi="Times New Roman"/>
                <w:b w:val="0"/>
                <w:i w:val="0"/>
                <w:sz w:val="18"/>
                <w:u w:val="none"/>
              </w:rPr>
              <w:t>0.955</w:t>
            </w:r>
          </w:p>
        </w:tc>
        <w:tc>
          <w:tcPr>
            <w:tcW w:type="dxa" w:w="1080"/>
            <w:vAlign w:val="center"/>
            <w:shd w:fill="EBF3FB" w:color="EBF3FB" w:val="clear"/>
          </w:tcPr>
          <w:p>
            <w:pPr>
              <w:jc w:val="center"/>
            </w:pPr>
            <w:r>
              <w:rPr>
                <w:rFonts w:ascii="Times New Roman" w:hAnsi="Times New Roman"/>
                <w:b w:val="0"/>
                <w:i w:val="0"/>
                <w:sz w:val="18"/>
                <w:u w:val="none"/>
              </w:rPr>
              <w:t>0.0259</w:t>
            </w:r>
          </w:p>
        </w:tc>
        <w:tc>
          <w:tcPr>
            <w:tcW w:type="dxa" w:w="1224"/>
            <w:vAlign w:val="center"/>
            <w:shd w:fill="EBF3FB" w:color="EBF3FB" w:val="clear"/>
          </w:tcPr>
          <w:p>
            <w:pPr>
              <w:jc w:val="center"/>
            </w:pPr>
            <w:r>
              <w:rPr>
                <w:rFonts w:ascii="Times New Roman" w:hAnsi="Times New Roman"/>
                <w:b w:val="0"/>
                <w:i w:val="0"/>
                <w:sz w:val="18"/>
                <w:u w:val="none"/>
              </w:rPr>
              <w:t>4.9995e-04</w:t>
            </w:r>
          </w:p>
        </w:tc>
        <w:tc>
          <w:tcPr>
            <w:tcW w:type="dxa" w:w="1728"/>
            <w:vAlign w:val="center"/>
            <w:shd w:fill="EBF3FB" w:color="EBF3FB" w:val="clear"/>
          </w:tcPr>
          <w:p>
            <w:pPr>
              <w:jc w:val="center"/>
            </w:pPr>
            <w:r>
              <w:rPr>
                <w:rFonts w:ascii="Times New Roman" w:hAnsi="Times New Roman"/>
                <w:b w:val="0"/>
                <w:i w:val="0"/>
                <w:sz w:val="18"/>
                <w:u w:val="none"/>
              </w:rPr>
              <w:t>[-0.0159, 0.0160]</w:t>
            </w:r>
          </w:p>
        </w:tc>
      </w:tr>
    </w:tbl>
    <w:p>
      <w:pPr>
        <w:spacing w:before="40"/>
      </w:pPr>
      <w:r>
        <w:rPr>
          <w:rFonts w:ascii="Times New Roman" w:hAnsi="Times New Roman"/>
          <w:b/>
          <w:i w:val="0"/>
          <w:sz w:val="18"/>
          <w:u w:val="none"/>
        </w:rPr>
        <w:t xml:space="preserve">Note: </w:t>
      </w:r>
      <w:r>
        <w:rPr>
          <w:rFonts w:ascii="Times New Roman" w:hAnsi="Times New Roman"/>
          <w:b w:val="0"/>
          <w:i/>
          <w:sz w:val="18"/>
          <w:u w:val="none"/>
        </w:rPr>
        <w:t>Two-sided permutation test, 10,000 permutations. LR is the reference (AUC = 0.981). p &lt; 0.05 indicates LR significantly exceeds RF.</w:t>
      </w:r>
    </w:p>
    <w:p/>
    <w:p>
      <w:r>
        <w:br w:type="page"/>
      </w:r>
    </w:p>
    <w:p>
      <w:pPr>
        <w:spacing w:before="240" w:after="80"/>
      </w:pPr>
      <w:r>
        <w:rPr>
          <w:rFonts w:ascii="Times New Roman" w:hAnsi="Times New Roman"/>
          <w:b/>
          <w:i w:val="0"/>
          <w:color w:val="1F4E79"/>
          <w:sz w:val="26"/>
          <w:u w:val="none"/>
        </w:rPr>
        <w:t>4. Discussion</w:t>
      </w:r>
    </w:p>
    <w:p>
      <w:pPr>
        <w:spacing w:before="120" w:after="40"/>
      </w:pPr>
      <w:r>
        <w:rPr>
          <w:rFonts w:ascii="Times New Roman" w:hAnsi="Times New Roman"/>
          <w:b/>
          <w:i/>
          <w:sz w:val="22"/>
          <w:u w:val="none"/>
        </w:rPr>
        <w:t>4.1  Feature-based models outperform DL at simulation scale</w:t>
      </w:r>
    </w:p>
    <w:p>
      <w:pPr>
        <w:spacing w:after="80"/>
        <w:jc w:val="both"/>
      </w:pPr>
      <w:r>
        <w:rPr>
          <w:rFonts w:ascii="Times New Roman" w:hAnsi="Times New Roman"/>
          <w:b w:val="0"/>
          <w:i w:val="0"/>
          <w:sz w:val="22"/>
          <w:u w:val="none"/>
        </w:rPr>
        <w:t>Both feature-based classifiers outperform the deep-learning models on the simulation-derived descriptors. LR achieves the highest cross-validated macro-AUC (0.981 ± 0.004, GroupKFold k = 5), with RF a close second (0.977 ± 0.005); the difference is statistically significant by two-sided permutation test (ΔAUC = 0.026, p = 5 × 10⁻⁴, Table 9b). On the single 200-sample held-out split the ranking partially inverts (RF = 0.966, R18p = 0.954, LR = 0.901): LR's lower split-time score is driven almost entirely by a depressed per-class AUC for early-apoptosis on this particular split (0.665 vs. 0.939 for RF; Table 2), an effect consistent with the higher between-split variance expected from a single 200-sample held-out evaluation and resolved by the GroupKFold estimate. We therefore interpret RF's single-split advantage as a test-split sampling artefact rather than a stable performance gap. These results align with the empirical finding that in low-to-moderate feature-dimensionality regimes (here: 17 descriptors, 800 training samples), linear classifiers frequently match or exceed ensemble methods and DL, particularly when features are standardised and class boundaries are approximately linear in feature space [8]. The DL models are additionally disadvantaged by the data-starvation context: 640 training images distributed across four classes provides only 160 examples per class, well below the thousands typically needed to train or fine-tune a ResNet-18 effectively for a novel domain [12]. R18p (pretrained) achieves 0.954 macro-AUC, closely approaching RF (0.966), suggesting that ImageNet pretraining offers meaningful regularisation even at this dataset size; however, the comparison remains limited by the single-split evaluation for DL vs. the GroupKFold evaluation for LR/RF.</w:t>
      </w:r>
    </w:p>
    <w:p>
      <w:pPr>
        <w:spacing w:before="120" w:after="40"/>
      </w:pPr>
      <w:r>
        <w:rPr>
          <w:rFonts w:ascii="Times New Roman" w:hAnsi="Times New Roman"/>
          <w:b/>
          <w:i/>
          <w:sz w:val="22"/>
          <w:u w:val="none"/>
        </w:rPr>
        <w:t>4.2  Dominant feature dependency and the degenerate regime</w:t>
      </w:r>
    </w:p>
    <w:p>
      <w:pPr>
        <w:spacing w:after="80"/>
        <w:jc w:val="both"/>
      </w:pPr>
      <w:r>
        <w:rPr>
          <w:rFonts w:ascii="Times New Roman" w:hAnsi="Times New Roman"/>
          <w:b w:val="0"/>
          <w:i w:val="0"/>
          <w:sz w:val="22"/>
          <w:u w:val="none"/>
        </w:rPr>
        <w:t>The most important finding from a scientific-rigor standpoint is the dominant-feature dependency (Section 3.2). Removing one simulator-encoded descriptor reduces aggregate AUC by 10-12 percentage points for both classifiers. This confirms that the headline performance figure (0.981) is achieved by exploiting a feature whose class-conditional distribution was directly specified by the simulator, rather than from a distributed morphological signal. We term this the degenerate regime: a regime in which one descriptor carries information equivalent to the class label for a majority of observations. In a real HCS experiment, no single morphological descriptor is expected to carry this degree of class specificity, and AUC in the non-degenerate regime (0.861-0.872) is likely a more realistic upper bound for initial deployment on real data. Researchers adapting this pipeline to real HCS data should inspect feature distributions and VIF/SHAP profiles before trusting aggregate AUC as a performance indicator.</w:t>
      </w:r>
    </w:p>
    <w:p>
      <w:pPr>
        <w:spacing w:before="120" w:after="40"/>
      </w:pPr>
      <w:r>
        <w:rPr>
          <w:rFonts w:ascii="Times New Roman" w:hAnsi="Times New Roman"/>
          <w:b/>
          <w:i/>
          <w:sz w:val="22"/>
          <w:u w:val="none"/>
        </w:rPr>
        <w:t>4.3  Calibration: LR as the best-calibrated model</w:t>
      </w:r>
    </w:p>
    <w:p>
      <w:pPr>
        <w:spacing w:after="80"/>
        <w:jc w:val="both"/>
      </w:pPr>
      <w:r>
        <w:rPr>
          <w:rFonts w:ascii="Times New Roman" w:hAnsi="Times New Roman"/>
          <w:b w:val="0"/>
          <w:i w:val="0"/>
          <w:sz w:val="22"/>
          <w:u w:val="none"/>
        </w:rPr>
        <w:t>LR achieved the lowest pre-calibration ECE (0.042), substantially below RF (0.091) and far below the deep-learning models (0.267-0.448). This is consistent with the theoretical property of logistic regression as a maximum-likelihood probabilistic classifier that minimises cross-entropy and is therefore natively calibrated when regularisation is mild [13,16]. Post-hoc Platt scaling improved RF slightly (0.066) but marginally worsened LR (0.055), confirming that applying Platt scaling to an already-calibrated LR model on a small calibration set introduces unnecessary variance. For practical deployment, LR probabilities can be used directly as risk scores without additional calibration on simulation-scale data.</w:t>
      </w:r>
    </w:p>
    <w:p>
      <w:pPr>
        <w:spacing w:before="120" w:after="40"/>
      </w:pPr>
      <w:r>
        <w:rPr>
          <w:rFonts w:ascii="Times New Roman" w:hAnsi="Times New Roman"/>
          <w:b/>
          <w:i/>
          <w:sz w:val="22"/>
          <w:u w:val="none"/>
        </w:rPr>
        <w:t>4.4  Biological plausibility of simulator-derived features</w:t>
      </w:r>
    </w:p>
    <w:p>
      <w:pPr>
        <w:spacing w:after="80"/>
        <w:jc w:val="both"/>
      </w:pPr>
      <w:r>
        <w:rPr>
          <w:rFonts w:ascii="Times New Roman" w:hAnsi="Times New Roman"/>
          <w:b w:val="0"/>
          <w:i w:val="0"/>
          <w:sz w:val="22"/>
          <w:u w:val="none"/>
        </w:rPr>
        <w:t>Despite the artificial nature of the dataset, the rank ordering of Kruskal-Wallis H-statistics in Table 5 is broadly consistent with expected biology: membrane_permeability_proxy and chromatin_condensation_proxy are among the most strongly class-stratified features, mirroring the established role of membrane integrity loss in necrosis and nuclear condensation in apoptosis [3]. The monotonic dose-response relationship (Table 8) is a simulator artifact but follows the sigmoidal toxicity relationship assumed for microplastic particle-size-dependent cytotoxicity [4]. These consistencies increase confidence that the simulator represents a biologically plausible feature space, even if it cannot substitute for empirically acquired data.</w:t>
      </w:r>
    </w:p>
    <w:p>
      <w:pPr>
        <w:spacing w:before="120" w:after="40"/>
      </w:pPr>
      <w:r>
        <w:rPr>
          <w:rFonts w:ascii="Times New Roman" w:hAnsi="Times New Roman"/>
          <w:b/>
          <w:i/>
          <w:sz w:val="22"/>
          <w:u w:val="none"/>
        </w:rPr>
        <w:t>4.5  Comparison with existing HCS literature</w:t>
      </w:r>
    </w:p>
    <w:p>
      <w:pPr>
        <w:spacing w:after="80"/>
        <w:jc w:val="both"/>
      </w:pPr>
      <w:r>
        <w:rPr>
          <w:rFonts w:ascii="Times New Roman" w:hAnsi="Times New Roman"/>
          <w:b w:val="0"/>
          <w:i w:val="0"/>
          <w:sz w:val="22"/>
          <w:u w:val="none"/>
        </w:rPr>
        <w:t>CellProfiler [5] and related tools extract overlapping morphological descriptors from real HCS images. Caicedo et al. [9] demonstrated that feature-based ML classifiers applied to CellProfiler profiles achieve state-of-the-art performance on annotated HCS benchmarks (BBBC sets [18]), with macro-AUC typically in the 0.85-0.97 range depending on assay complexity. The 0.861 AUC achieved in the non-degenerate regime of our benchmark falls within this range, providing a sanity check that the simulator generates a feature space of realistic difficulty. Deep-learning methods trained on raw images in data-rich settings (&gt;10,000 labeled images) consistently outperform feature-based methods on complex phenotypes [8,9]; however, at HCS scale with limited labelled examples, LR on handcrafted features remains a competitive baseline, as also demonstrated in drug-discovery screening contexts [19].</w:t>
      </w:r>
    </w:p>
    <w:p>
      <w:pPr>
        <w:spacing w:before="120" w:after="40"/>
      </w:pPr>
      <w:r>
        <w:rPr>
          <w:rFonts w:ascii="Times New Roman" w:hAnsi="Times New Roman"/>
          <w:b/>
          <w:i/>
          <w:sz w:val="22"/>
          <w:u w:val="none"/>
        </w:rPr>
        <w:t>4.6  Limitations and future directions</w:t>
      </w:r>
    </w:p>
    <w:p>
      <w:pPr>
        <w:spacing w:after="80"/>
        <w:jc w:val="both"/>
      </w:pPr>
      <w:r>
        <w:rPr>
          <w:rFonts w:ascii="Times New Roman" w:hAnsi="Times New Roman"/>
          <w:b w:val="0"/>
          <w:i w:val="0"/>
          <w:sz w:val="22"/>
          <w:u w:val="none"/>
        </w:rPr>
        <w:t>Several limitations must be acknowledged before this pipeline is applied to real HCS data. (i) Simulation circularity. All performance figures derive from evaluating on data generated by the same simulator used to define the feature distributions. The classifier has access, through the feature distributions, to the same probability model used to assign class labels. This is a self-consistency check, not an independent validation; external validity cannot be claimed without wet-laboratory confirmation. (ii) Dominant-feature dependency. As shown in Table 10, removing one descriptor drops AUC by 10-12 pp. Real HCS feature sets are unlikely to contain a single descriptor with ρ = −0.89 with the class label. (iii) Evaluation protocol asymmetry. LR and RF were evaluated by GroupKFold CV; deep-learning models received only a single-split evaluation due to computational constraints. Direct uncertainty comparison between LR/RF CV intervals and DL point estimates is not statistically valid. (iv) Deep learning data starvation. With 640 effective training images, DL model AUC estimates carry high variance; multi-run ensembling and 10-fold CV would be required to produce stable DL estimates. (v) Calibration asymmetry pre-patch. Prior to the Platt scaling experiments in Section 2.7 (this version), LR and RF had no post-hoc calibration applied while DL models used temperature scaling; updated results in Table 3 now apply calibration uniformly. (vi) Absence of wet-laboratory validation. The microplastic particle-type annotations are simulation parameters, not experimentally characterised materials. No fluorescence images of real microplastic-exposed cells were acquired or analysed in this study. Future work should: apply the pipeline to real fluorescence HCS images of microplastic-exposed cell lines; replace GroupKFold simulation evaluation with nested CV on real data; acquire sufficient labeled images (&gt;2,000 per class) to enable credible DL comparison; and prospectively validate the classifier with held-out experiments.</w:t>
      </w:r>
    </w:p>
    <w:p>
      <w:r>
        <w:br w:type="page"/>
      </w:r>
    </w:p>
    <w:p>
      <w:pPr>
        <w:spacing w:before="240" w:after="80"/>
      </w:pPr>
      <w:r>
        <w:rPr>
          <w:rFonts w:ascii="Times New Roman" w:hAnsi="Times New Roman"/>
          <w:b/>
          <w:i w:val="0"/>
          <w:color w:val="1F4E79"/>
          <w:sz w:val="26"/>
          <w:u w:val="none"/>
        </w:rPr>
        <w:t>5. Conclusions</w:t>
      </w:r>
    </w:p>
    <w:p>
      <w:pPr>
        <w:spacing w:after="80"/>
        <w:jc w:val="both"/>
      </w:pPr>
      <w:r>
        <w:rPr>
          <w:rFonts w:ascii="Times New Roman" w:hAnsi="Times New Roman"/>
          <w:b w:val="0"/>
          <w:i w:val="0"/>
          <w:sz w:val="22"/>
          <w:u w:val="none"/>
        </w:rPr>
        <w:t>We present a simulation self-consistency benchmark for multi-class cell-death phenotype classification in high-content screening. Logistic regression achieves the highest cross-validated macro-AUC (0.981 ± 0.004) and the best native calibration (ECE = 0.042) of five evaluated models, significantly exceeding random forest (CV macro-AUC 0.977 ± 0.005, permutation p = 5 × 10⁻⁴), CNN (held-out macro-AUC 0.873), and ResNet-18 variants (0.910-0.954). However, 11-12 percentage points of this advantage are attributable to a single simulator-encoded dominant feature; in the non-degenerate 16-feature regime, AUC falls to 0.861-0.872, which we consider the more realistic performance estimate for real HCS deployment. The benchmark pipeline, including feature extraction, plate-aware cross-validation, calibration, and BH-corrected statistical tests, is fully open-source and ready for adaptation to real fluorescence micrograph data. All code and results are available at https://github.com/SID-6921/Microplastic_HCS_Pipeline. As a practical recommendation, Platt sigmoid scaling should not be applied to logistic regression on simulation-scale calibration splits: it marginally increased LR ECE in our experiments (0.042 → 0.055) and adds avoidable variance to an already well-calibrated probabilistic classifier.</w:t>
      </w:r>
    </w:p>
    <w:p>
      <w:r>
        <w:br w:type="page"/>
      </w:r>
    </w:p>
    <w:p>
      <w:pPr>
        <w:spacing w:before="240" w:after="80"/>
      </w:pPr>
      <w:r>
        <w:rPr>
          <w:rFonts w:ascii="Times New Roman" w:hAnsi="Times New Roman"/>
          <w:b/>
          <w:i w:val="0"/>
          <w:color w:val="1F4E79"/>
          <w:sz w:val="26"/>
          <w:u w:val="none"/>
        </w:rPr>
        <w:t>Declarations</w:t>
      </w:r>
    </w:p>
    <w:p>
      <w:pPr>
        <w:spacing w:before="120" w:after="40"/>
      </w:pPr>
      <w:r>
        <w:rPr>
          <w:rFonts w:ascii="Times New Roman" w:hAnsi="Times New Roman"/>
          <w:b/>
          <w:i/>
          <w:sz w:val="22"/>
          <w:u w:val="none"/>
        </w:rPr>
        <w:t>Ethics Statement</w:t>
      </w:r>
    </w:p>
    <w:p>
      <w:pPr>
        <w:spacing w:after="80"/>
        <w:jc w:val="both"/>
      </w:pPr>
      <w:r>
        <w:rPr>
          <w:rFonts w:ascii="Times New Roman" w:hAnsi="Times New Roman"/>
          <w:b w:val="0"/>
          <w:i w:val="0"/>
          <w:sz w:val="22"/>
          <w:u w:val="none"/>
        </w:rPr>
        <w:t>This study is entirely computational and uses only synthetic simulation data; no human participants, patient data, animal experiments, or biological samples were involved. Ethics committee approval was not required.</w:t>
      </w:r>
    </w:p>
    <w:p>
      <w:pPr>
        <w:spacing w:before="120" w:after="40"/>
      </w:pPr>
      <w:r>
        <w:rPr>
          <w:rFonts w:ascii="Times New Roman" w:hAnsi="Times New Roman"/>
          <w:b/>
          <w:i/>
          <w:sz w:val="22"/>
          <w:u w:val="none"/>
        </w:rPr>
        <w:t>Funding</w:t>
      </w:r>
    </w:p>
    <w:p>
      <w:pPr>
        <w:spacing w:after="80"/>
        <w:jc w:val="both"/>
      </w:pPr>
      <w:r>
        <w:rPr>
          <w:rFonts w:ascii="Times New Roman" w:hAnsi="Times New Roman"/>
          <w:b w:val="0"/>
          <w:i w:val="0"/>
          <w:sz w:val="22"/>
          <w:u w:val="none"/>
        </w:rPr>
        <w:t>This research received no specific funding from public, commercial, or not-for-profit funding agencies.</w:t>
      </w:r>
    </w:p>
    <w:p>
      <w:pPr>
        <w:spacing w:before="120" w:after="40"/>
      </w:pPr>
      <w:r>
        <w:rPr>
          <w:rFonts w:ascii="Times New Roman" w:hAnsi="Times New Roman"/>
          <w:b/>
          <w:i/>
          <w:sz w:val="22"/>
          <w:u w:val="none"/>
        </w:rPr>
        <w:t>Competing Interests</w:t>
      </w:r>
    </w:p>
    <w:p>
      <w:pPr>
        <w:spacing w:after="80"/>
        <w:jc w:val="both"/>
      </w:pPr>
      <w:r>
        <w:rPr>
          <w:rFonts w:ascii="Times New Roman" w:hAnsi="Times New Roman"/>
          <w:b w:val="0"/>
          <w:i w:val="0"/>
          <w:sz w:val="22"/>
          <w:u w:val="none"/>
        </w:rPr>
        <w:t>The authors declare no competing financial or non-financial interests.</w:t>
      </w:r>
    </w:p>
    <w:p>
      <w:pPr>
        <w:spacing w:before="120" w:after="40"/>
      </w:pPr>
      <w:r>
        <w:rPr>
          <w:rFonts w:ascii="Times New Roman" w:hAnsi="Times New Roman"/>
          <w:b/>
          <w:i/>
          <w:sz w:val="22"/>
          <w:u w:val="none"/>
        </w:rPr>
        <w:t>Code and Data Availability</w:t>
      </w:r>
    </w:p>
    <w:p>
      <w:pPr>
        <w:spacing w:after="80"/>
        <w:jc w:val="both"/>
      </w:pPr>
      <w:r>
        <w:rPr>
          <w:rFonts w:ascii="Times New Roman" w:hAnsi="Times New Roman"/>
          <w:b w:val="0"/>
          <w:i w:val="0"/>
          <w:sz w:val="22"/>
          <w:u w:val="none"/>
        </w:rPr>
        <w:t>The full source code, simulation scripts, trained model checkpoints, and all result tables and figures are available at https://github.com/SID-6921/Microplastic_HCS_Pipeline (MIT Licence). The synthetic dataset (features.csv, 1,000 rows, 17 descriptors) is included in the repository under results/. No proprietary or restricted data were used.</w:t>
      </w:r>
    </w:p>
    <w:p>
      <w:pPr>
        <w:spacing w:before="120" w:after="40"/>
      </w:pPr>
      <w:r>
        <w:rPr>
          <w:rFonts w:ascii="Times New Roman" w:hAnsi="Times New Roman"/>
          <w:b/>
          <w:i/>
          <w:sz w:val="22"/>
          <w:u w:val="none"/>
        </w:rPr>
        <w:t>Related Manuscripts</w:t>
      </w:r>
    </w:p>
    <w:p>
      <w:pPr>
        <w:spacing w:after="80"/>
        <w:jc w:val="both"/>
      </w:pPr>
      <w:r>
        <w:rPr>
          <w:rFonts w:ascii="Times New Roman" w:hAnsi="Times New Roman"/>
          <w:b w:val="0"/>
          <w:i w:val="0"/>
          <w:sz w:val="22"/>
          <w:u w:val="none"/>
        </w:rPr>
        <w:t>This manuscript is an independent benchmarking study. A companion manuscript applying the same simulation-self-consistency benchmarking framework to the publicly available BBBC021 morphological profiling dataset has been submitted separately to SLAS Discovery and is currently under peer review; the two manuscripts share methodology and authorship but report on disjoint datasets and address non-overlapping scientific questions, and so do not constitute duplicate publication. No prior version of the present paper has been published or is currently under review elsewhere.</w:t>
      </w:r>
    </w:p>
    <w:p>
      <w:pPr>
        <w:spacing w:before="120" w:after="40"/>
      </w:pPr>
      <w:r>
        <w:rPr>
          <w:rFonts w:ascii="Times New Roman" w:hAnsi="Times New Roman"/>
          <w:b/>
          <w:i/>
          <w:sz w:val="22"/>
          <w:u w:val="none"/>
        </w:rPr>
        <w:t>Acknowledgements</w:t>
      </w:r>
    </w:p>
    <w:p>
      <w:pPr>
        <w:spacing w:after="80"/>
        <w:jc w:val="both"/>
      </w:pPr>
      <w:r>
        <w:rPr>
          <w:rFonts w:ascii="Times New Roman" w:hAnsi="Times New Roman"/>
          <w:b w:val="0"/>
          <w:i w:val="0"/>
          <w:sz w:val="22"/>
          <w:u w:val="none"/>
        </w:rPr>
        <w:t>Not applicable.</w:t>
      </w:r>
    </w:p>
    <w:p>
      <w:r>
        <w:br w:type="page"/>
      </w:r>
    </w:p>
    <w:p>
      <w:pPr>
        <w:spacing w:before="240" w:after="80"/>
      </w:pPr>
      <w:r>
        <w:rPr>
          <w:rFonts w:ascii="Times New Roman" w:hAnsi="Times New Roman"/>
          <w:b/>
          <w:i w:val="0"/>
          <w:color w:val="1F4E79"/>
          <w:sz w:val="26"/>
          <w:u w:val="none"/>
        </w:rPr>
        <w:t>References</w:t>
      </w:r>
    </w:p>
    <w:p>
      <w:pPr>
        <w:spacing w:after="60"/>
        <w:ind w:left="576" w:hanging="576"/>
      </w:pPr>
      <w:r>
        <w:rPr>
          <w:rFonts w:ascii="Times New Roman" w:hAnsi="Times New Roman"/>
          <w:b/>
          <w:i w:val="0"/>
          <w:sz w:val="20"/>
          <w:u w:val="none"/>
        </w:rPr>
        <w:t xml:space="preserve">[1] </w:t>
      </w:r>
      <w:r>
        <w:rPr>
          <w:rFonts w:ascii="Times New Roman" w:hAnsi="Times New Roman"/>
          <w:b w:val="0"/>
          <w:i w:val="0"/>
          <w:sz w:val="20"/>
          <w:u w:val="none"/>
        </w:rPr>
        <w:t>Thompson, R.C. et al. (2004) Lost at sea: where is all the plastic? Science, 304(5672), p. 838. https://doi.org/10.1126/science.1094559</w:t>
      </w:r>
    </w:p>
    <w:p>
      <w:pPr>
        <w:spacing w:after="60"/>
        <w:ind w:left="576" w:hanging="576"/>
      </w:pPr>
      <w:r>
        <w:rPr>
          <w:rFonts w:ascii="Times New Roman" w:hAnsi="Times New Roman"/>
          <w:b/>
          <w:i w:val="0"/>
          <w:sz w:val="20"/>
          <w:u w:val="none"/>
        </w:rPr>
        <w:t xml:space="preserve">[2] </w:t>
      </w:r>
      <w:r>
        <w:rPr>
          <w:rFonts w:ascii="Times New Roman" w:hAnsi="Times New Roman"/>
          <w:b w:val="0"/>
          <w:i w:val="0"/>
          <w:sz w:val="20"/>
          <w:u w:val="none"/>
        </w:rPr>
        <w:t>Galloway, T.S., Cole, M. &amp; Lewis, C. (2017) Interactions of microplastic debris throughout the marine ecosystem. Nature Ecology &amp; Evolution, 1, p. 0116. https://doi.org/10.1038/s41559-017-0116</w:t>
      </w:r>
    </w:p>
    <w:p>
      <w:pPr>
        <w:spacing w:after="60"/>
        <w:ind w:left="576" w:hanging="576"/>
      </w:pPr>
      <w:r>
        <w:rPr>
          <w:rFonts w:ascii="Times New Roman" w:hAnsi="Times New Roman"/>
          <w:b/>
          <w:i w:val="0"/>
          <w:sz w:val="20"/>
          <w:u w:val="none"/>
        </w:rPr>
        <w:t xml:space="preserve">[3] </w:t>
      </w:r>
      <w:r>
        <w:rPr>
          <w:rFonts w:ascii="Times New Roman" w:hAnsi="Times New Roman"/>
          <w:b w:val="0"/>
          <w:i w:val="0"/>
          <w:sz w:val="20"/>
          <w:u w:val="none"/>
        </w:rPr>
        <w:t>Jeong, C.B. et al. (2016) Microplastic (polystyrene) is a potential risk factor for the marine amphipod Hyalella azteca. Environmental Science &amp; Technology Letters, 3(1), pp. 45-50. https://doi.org/10.1021/acs.estlett.5b00329</w:t>
      </w:r>
    </w:p>
    <w:p>
      <w:pPr>
        <w:spacing w:after="60"/>
        <w:ind w:left="576" w:hanging="576"/>
      </w:pPr>
      <w:r>
        <w:rPr>
          <w:rFonts w:ascii="Times New Roman" w:hAnsi="Times New Roman"/>
          <w:b/>
          <w:i w:val="0"/>
          <w:sz w:val="20"/>
          <w:u w:val="none"/>
        </w:rPr>
        <w:t xml:space="preserve">[4] </w:t>
      </w:r>
      <w:r>
        <w:rPr>
          <w:rFonts w:ascii="Times New Roman" w:hAnsi="Times New Roman"/>
          <w:b w:val="0"/>
          <w:i w:val="0"/>
          <w:sz w:val="20"/>
          <w:u w:val="none"/>
        </w:rPr>
        <w:t>Schirinzi, G.F. et al. (2017) Cytotoxic effects of commonly used nanomaterials and microplastics on cerebral and epithelial human cells. Environmental Research, 159, pp. 579-587. https://doi.org/10.1016/j.envres.2017.08.043</w:t>
      </w:r>
    </w:p>
    <w:p>
      <w:pPr>
        <w:spacing w:after="60"/>
        <w:ind w:left="576" w:hanging="576"/>
      </w:pPr>
      <w:r>
        <w:rPr>
          <w:rFonts w:ascii="Times New Roman" w:hAnsi="Times New Roman"/>
          <w:b/>
          <w:i w:val="0"/>
          <w:sz w:val="20"/>
          <w:u w:val="none"/>
        </w:rPr>
        <w:t xml:space="preserve">[5] </w:t>
      </w:r>
      <w:r>
        <w:rPr>
          <w:rFonts w:ascii="Times New Roman" w:hAnsi="Times New Roman"/>
          <w:b w:val="0"/>
          <w:i w:val="0"/>
          <w:sz w:val="20"/>
          <w:u w:val="none"/>
        </w:rPr>
        <w:t>Carpenter, A.E. et al. (2006) CellProfiler: image analysis software for identifying and quantifying cell phenotypes. Genome Biology, 7(10), p. R100. https://doi.org/10.1186/gb-2006-7-10-r100</w:t>
      </w:r>
    </w:p>
    <w:p>
      <w:pPr>
        <w:spacing w:after="60"/>
        <w:ind w:left="576" w:hanging="576"/>
      </w:pPr>
      <w:r>
        <w:rPr>
          <w:rFonts w:ascii="Times New Roman" w:hAnsi="Times New Roman"/>
          <w:b/>
          <w:i w:val="0"/>
          <w:sz w:val="20"/>
          <w:u w:val="none"/>
        </w:rPr>
        <w:t xml:space="preserve">[6] </w:t>
      </w:r>
      <w:r>
        <w:rPr>
          <w:rFonts w:ascii="Times New Roman" w:hAnsi="Times New Roman"/>
          <w:b w:val="0"/>
          <w:i w:val="0"/>
          <w:sz w:val="20"/>
          <w:u w:val="none"/>
        </w:rPr>
        <w:t>Stringer, C. et al. (2021) Cellpose: a generalist algorithm for cellular segmentation. Nature Methods, 18(1), pp. 100-106. https://doi.org/10.1038/s41592-020-01018-x</w:t>
      </w:r>
    </w:p>
    <w:p>
      <w:pPr>
        <w:spacing w:after="60"/>
        <w:ind w:left="576" w:hanging="576"/>
      </w:pPr>
      <w:r>
        <w:rPr>
          <w:rFonts w:ascii="Times New Roman" w:hAnsi="Times New Roman"/>
          <w:b/>
          <w:i w:val="0"/>
          <w:sz w:val="20"/>
          <w:u w:val="none"/>
        </w:rPr>
        <w:t xml:space="preserve">[7] </w:t>
      </w:r>
      <w:r>
        <w:rPr>
          <w:rFonts w:ascii="Times New Roman" w:hAnsi="Times New Roman"/>
          <w:b w:val="0"/>
          <w:i w:val="0"/>
          <w:sz w:val="20"/>
          <w:u w:val="none"/>
        </w:rPr>
        <w:t>Schmidt, U. et al. (2018) Cell detection with star-convex polygons. MICCAI 2018, Lecture Notes in Computer Science, vol 11071. https://doi.org/10.1007/978-3-030-00934-2_30</w:t>
      </w:r>
    </w:p>
    <w:p>
      <w:pPr>
        <w:spacing w:after="60"/>
        <w:ind w:left="576" w:hanging="576"/>
      </w:pPr>
      <w:r>
        <w:rPr>
          <w:rFonts w:ascii="Times New Roman" w:hAnsi="Times New Roman"/>
          <w:b/>
          <w:i w:val="0"/>
          <w:sz w:val="20"/>
          <w:u w:val="none"/>
        </w:rPr>
        <w:t xml:space="preserve">[8] </w:t>
      </w:r>
      <w:r>
        <w:rPr>
          <w:rFonts w:ascii="Times New Roman" w:hAnsi="Times New Roman"/>
          <w:b w:val="0"/>
          <w:i w:val="0"/>
          <w:sz w:val="20"/>
          <w:u w:val="none"/>
        </w:rPr>
        <w:t>Moen, E. et al. (2019) Deep learning for cellular image analysis. Nature Methods, 16(12), pp. 1233-1246. https://doi.org/10.1038/s41592-019-0403-1</w:t>
      </w:r>
    </w:p>
    <w:p>
      <w:pPr>
        <w:spacing w:after="60"/>
        <w:ind w:left="576" w:hanging="576"/>
      </w:pPr>
      <w:r>
        <w:rPr>
          <w:rFonts w:ascii="Times New Roman" w:hAnsi="Times New Roman"/>
          <w:b/>
          <w:i w:val="0"/>
          <w:sz w:val="20"/>
          <w:u w:val="none"/>
        </w:rPr>
        <w:t xml:space="preserve">[9] </w:t>
      </w:r>
      <w:r>
        <w:rPr>
          <w:rFonts w:ascii="Times New Roman" w:hAnsi="Times New Roman"/>
          <w:b w:val="0"/>
          <w:i w:val="0"/>
          <w:sz w:val="20"/>
          <w:u w:val="none"/>
        </w:rPr>
        <w:t>Caicedo, J.C. et al. (2017) Data-analysis strategies for image-based cell profiling. Nature Methods, 14(9), pp. 849-863. https://doi.org/10.1038/nmeth.4397</w:t>
      </w:r>
    </w:p>
    <w:p>
      <w:pPr>
        <w:spacing w:after="60"/>
        <w:ind w:left="576" w:hanging="576"/>
      </w:pPr>
      <w:r>
        <w:rPr>
          <w:rFonts w:ascii="Times New Roman" w:hAnsi="Times New Roman"/>
          <w:b/>
          <w:i w:val="0"/>
          <w:sz w:val="20"/>
          <w:u w:val="none"/>
        </w:rPr>
        <w:t xml:space="preserve">[10] </w:t>
      </w:r>
      <w:r>
        <w:rPr>
          <w:rFonts w:ascii="Times New Roman" w:hAnsi="Times New Roman"/>
          <w:b w:val="0"/>
          <w:i w:val="0"/>
          <w:sz w:val="20"/>
          <w:u w:val="none"/>
        </w:rPr>
        <w:t>Pedregosa, F. et al. (2011) Scikit-learn: Machine Learning in Python. Journal of Machine Learning Research, 12, pp. 2825-2830. https://jmlr.org/papers/v12/pedregosa11a.html</w:t>
      </w:r>
    </w:p>
    <w:p>
      <w:pPr>
        <w:spacing w:after="60"/>
        <w:ind w:left="576" w:hanging="576"/>
      </w:pPr>
      <w:r>
        <w:rPr>
          <w:rFonts w:ascii="Times New Roman" w:hAnsi="Times New Roman"/>
          <w:b/>
          <w:i w:val="0"/>
          <w:sz w:val="20"/>
          <w:u w:val="none"/>
        </w:rPr>
        <w:t xml:space="preserve">[11] </w:t>
      </w:r>
      <w:r>
        <w:rPr>
          <w:rFonts w:ascii="Times New Roman" w:hAnsi="Times New Roman"/>
          <w:b w:val="0"/>
          <w:i w:val="0"/>
          <w:sz w:val="20"/>
          <w:u w:val="none"/>
        </w:rPr>
        <w:t>Breiman, L. (2001) Random Forests. Machine Learning, 45(1), pp. 5-32. https://doi.org/10.1023/A:1010933404324</w:t>
      </w:r>
    </w:p>
    <w:p>
      <w:pPr>
        <w:spacing w:after="60"/>
        <w:ind w:left="576" w:hanging="576"/>
      </w:pPr>
      <w:r>
        <w:rPr>
          <w:rFonts w:ascii="Times New Roman" w:hAnsi="Times New Roman"/>
          <w:b/>
          <w:i w:val="0"/>
          <w:sz w:val="20"/>
          <w:u w:val="none"/>
        </w:rPr>
        <w:t xml:space="preserve">[12] </w:t>
      </w:r>
      <w:r>
        <w:rPr>
          <w:rFonts w:ascii="Times New Roman" w:hAnsi="Times New Roman"/>
          <w:b w:val="0"/>
          <w:i w:val="0"/>
          <w:sz w:val="20"/>
          <w:u w:val="none"/>
        </w:rPr>
        <w:t>He, K. et al. (2016) Deep Residual Learning for Image Recognition. Proceedings of CVPR 2016, pp. 770-778. https://doi.org/10.1109/CVPR.2016.90</w:t>
      </w:r>
    </w:p>
    <w:p>
      <w:pPr>
        <w:spacing w:after="60"/>
        <w:ind w:left="576" w:hanging="576"/>
      </w:pPr>
      <w:r>
        <w:rPr>
          <w:rFonts w:ascii="Times New Roman" w:hAnsi="Times New Roman"/>
          <w:b/>
          <w:i w:val="0"/>
          <w:sz w:val="20"/>
          <w:u w:val="none"/>
        </w:rPr>
        <w:t xml:space="preserve">[13] </w:t>
      </w:r>
      <w:r>
        <w:rPr>
          <w:rFonts w:ascii="Times New Roman" w:hAnsi="Times New Roman"/>
          <w:b w:val="0"/>
          <w:i w:val="0"/>
          <w:sz w:val="20"/>
          <w:u w:val="none"/>
        </w:rPr>
        <w:t>Platt, J. (1999) Probabilistic outputs for support vector machines and comparisons to regularized likelihood methods. Advances in Large Margin Classifiers, 10(3), pp. 61-74.</w:t>
      </w:r>
    </w:p>
    <w:p>
      <w:pPr>
        <w:spacing w:after="60"/>
        <w:ind w:left="576" w:hanging="576"/>
      </w:pPr>
      <w:r>
        <w:rPr>
          <w:rFonts w:ascii="Times New Roman" w:hAnsi="Times New Roman"/>
          <w:b/>
          <w:i w:val="0"/>
          <w:sz w:val="20"/>
          <w:u w:val="none"/>
        </w:rPr>
        <w:t xml:space="preserve">[14] </w:t>
      </w:r>
      <w:r>
        <w:rPr>
          <w:rFonts w:ascii="Times New Roman" w:hAnsi="Times New Roman"/>
          <w:b w:val="0"/>
          <w:i w:val="0"/>
          <w:sz w:val="20"/>
          <w:u w:val="none"/>
        </w:rPr>
        <w:t>Guo, C. et al. (2017) On calibration of modern neural networks. Proceedings of ICML 2017, pp. 1321-1330. https://proceedings.mlr.press/v70/guo17a.html</w:t>
      </w:r>
    </w:p>
    <w:p>
      <w:pPr>
        <w:spacing w:after="60"/>
        <w:ind w:left="576" w:hanging="576"/>
      </w:pPr>
      <w:r>
        <w:rPr>
          <w:rFonts w:ascii="Times New Roman" w:hAnsi="Times New Roman"/>
          <w:b/>
          <w:i w:val="0"/>
          <w:sz w:val="20"/>
          <w:u w:val="none"/>
        </w:rPr>
        <w:t xml:space="preserve">[15] </w:t>
      </w:r>
      <w:r>
        <w:rPr>
          <w:rFonts w:ascii="Times New Roman" w:hAnsi="Times New Roman"/>
          <w:b w:val="0"/>
          <w:i w:val="0"/>
          <w:sz w:val="20"/>
          <w:u w:val="none"/>
        </w:rPr>
        <w:t>Benjamini, Y. &amp; Hochberg, Y. (1995) Controlling the false discovery rate: a practical and powerful approach to multiple testing. Journal of the Royal Statistical Society: Series B, 57(1), pp. 289-300. https://doi.org/10.1111/j.2517-6161.1995.tb02031.x</w:t>
      </w:r>
    </w:p>
    <w:p>
      <w:pPr>
        <w:spacing w:after="60"/>
        <w:ind w:left="576" w:hanging="576"/>
      </w:pPr>
      <w:r>
        <w:rPr>
          <w:rFonts w:ascii="Times New Roman" w:hAnsi="Times New Roman"/>
          <w:b/>
          <w:i w:val="0"/>
          <w:sz w:val="20"/>
          <w:u w:val="none"/>
        </w:rPr>
        <w:t xml:space="preserve">[16] </w:t>
      </w:r>
      <w:r>
        <w:rPr>
          <w:rFonts w:ascii="Times New Roman" w:hAnsi="Times New Roman"/>
          <w:b w:val="0"/>
          <w:i w:val="0"/>
          <w:sz w:val="20"/>
          <w:u w:val="none"/>
        </w:rPr>
        <w:t>Niculescu-Mizil, A. &amp; Caruana, R. (2005) Predicting good probabilities with supervised learning. Proceedings of ICML 2005, pp. 625-632. https://doi.org/10.1145/1102351.1102430</w:t>
      </w:r>
    </w:p>
    <w:p>
      <w:pPr>
        <w:spacing w:after="60"/>
        <w:ind w:left="576" w:hanging="576"/>
      </w:pPr>
      <w:r>
        <w:rPr>
          <w:rFonts w:ascii="Times New Roman" w:hAnsi="Times New Roman"/>
          <w:b/>
          <w:i w:val="0"/>
          <w:sz w:val="20"/>
          <w:u w:val="none"/>
        </w:rPr>
        <w:t xml:space="preserve">[17] </w:t>
      </w:r>
      <w:r>
        <w:rPr>
          <w:rFonts w:ascii="Times New Roman" w:hAnsi="Times New Roman"/>
          <w:b w:val="0"/>
          <w:i w:val="0"/>
          <w:sz w:val="20"/>
          <w:u w:val="none"/>
        </w:rPr>
        <w:t>Caicedo, J.C. et al. (2022) Nucleus segmentation across imaging experiments: the 2018 Data Science Bowl. Nature Methods, 16(12), pp. 1247-1253. https://doi.org/10.1038/s41592-019-0612-7</w:t>
      </w:r>
    </w:p>
    <w:p>
      <w:pPr>
        <w:spacing w:after="60"/>
        <w:ind w:left="576" w:hanging="576"/>
      </w:pPr>
      <w:r>
        <w:rPr>
          <w:rFonts w:ascii="Times New Roman" w:hAnsi="Times New Roman"/>
          <w:b/>
          <w:i w:val="0"/>
          <w:sz w:val="20"/>
          <w:u w:val="none"/>
        </w:rPr>
        <w:t xml:space="preserve">[18] </w:t>
      </w:r>
      <w:r>
        <w:rPr>
          <w:rFonts w:ascii="Times New Roman" w:hAnsi="Times New Roman"/>
          <w:b w:val="0"/>
          <w:i w:val="0"/>
          <w:sz w:val="20"/>
          <w:u w:val="none"/>
        </w:rPr>
        <w:t>Ljosa, V., Sokolnicki, K.L. &amp; Carpenter, A.E. (2012) Annotated high-throughput microscopy image sets for validation. Nature Methods, 9(7), p. 637. https://doi.org/10.1038/nmeth.2083</w:t>
      </w:r>
    </w:p>
    <w:p>
      <w:pPr>
        <w:spacing w:after="60"/>
        <w:ind w:left="576" w:hanging="576"/>
      </w:pPr>
      <w:r>
        <w:rPr>
          <w:rFonts w:ascii="Times New Roman" w:hAnsi="Times New Roman"/>
          <w:b/>
          <w:i w:val="0"/>
          <w:sz w:val="20"/>
          <w:u w:val="none"/>
        </w:rPr>
        <w:t xml:space="preserve">[19] </w:t>
      </w:r>
      <w:r>
        <w:rPr>
          <w:rFonts w:ascii="Times New Roman" w:hAnsi="Times New Roman"/>
          <w:b w:val="0"/>
          <w:i w:val="0"/>
          <w:sz w:val="20"/>
          <w:u w:val="none"/>
        </w:rPr>
        <w:t>Moffat, J.G. et al. (2017) Opportunities and challenges in phenotypic drug discovery: an industry perspective. Nature Reviews Drug Discovery, 16(8), pp. 531-543. https://doi.org/10.1038/nrd.2017.111</w:t>
      </w:r>
    </w:p>
    <w:p>
      <w:pPr>
        <w:spacing w:after="60"/>
        <w:ind w:left="576" w:hanging="576"/>
      </w:pPr>
      <w:r>
        <w:rPr>
          <w:rFonts w:ascii="Times New Roman" w:hAnsi="Times New Roman"/>
          <w:b/>
          <w:i w:val="0"/>
          <w:sz w:val="20"/>
          <w:u w:val="none"/>
        </w:rPr>
        <w:t xml:space="preserve">[20] </w:t>
      </w:r>
      <w:r>
        <w:rPr>
          <w:rFonts w:ascii="Times New Roman" w:hAnsi="Times New Roman"/>
          <w:b w:val="0"/>
          <w:i w:val="0"/>
          <w:sz w:val="20"/>
          <w:u w:val="none"/>
        </w:rPr>
        <w:t>Good, P.I. (2000) Permutation Tests: A Practical Guide to Resampling Methods for Testing Hypotheses. Springer, New York. https://doi.org/10.1007/978-1-4757-3235-1</w:t>
      </w:r>
    </w:p>
    <w:p>
      <w:pPr>
        <w:spacing w:after="60"/>
        <w:ind w:left="576" w:hanging="576"/>
      </w:pPr>
      <w:r>
        <w:rPr>
          <w:rFonts w:ascii="Times New Roman" w:hAnsi="Times New Roman"/>
          <w:b/>
          <w:i w:val="0"/>
          <w:sz w:val="20"/>
          <w:u w:val="none"/>
        </w:rPr>
        <w:t xml:space="preserve">[21] </w:t>
      </w:r>
      <w:r>
        <w:rPr>
          <w:rFonts w:ascii="Times New Roman" w:hAnsi="Times New Roman"/>
          <w:b w:val="0"/>
          <w:i w:val="0"/>
          <w:sz w:val="20"/>
          <w:u w:val="none"/>
        </w:rPr>
        <w:t>Leslie, H.A. et al. (2022) Discovery and quantification of plastic particle pollution in human blood. Environment International, 163, p. 107199. https://doi.org/10.1016/j.envint.2022.107199</w:t>
      </w:r>
    </w:p>
    <w:p>
      <w:pPr>
        <w:spacing w:after="60"/>
        <w:ind w:left="576" w:hanging="576"/>
      </w:pPr>
      <w:r>
        <w:rPr>
          <w:rFonts w:ascii="Times New Roman" w:hAnsi="Times New Roman"/>
          <w:b/>
          <w:i w:val="0"/>
          <w:sz w:val="20"/>
          <w:u w:val="none"/>
        </w:rPr>
        <w:t xml:space="preserve">[22] </w:t>
      </w:r>
      <w:r>
        <w:rPr>
          <w:rFonts w:ascii="Times New Roman" w:hAnsi="Times New Roman"/>
          <w:b w:val="0"/>
          <w:i w:val="0"/>
          <w:sz w:val="20"/>
          <w:u w:val="none"/>
        </w:rPr>
        <w:t>Fournier, E. et al. (2020) Microplastics: what happens in the human digestive tract? First evidences in adults from the general population. Environment International, 141, p. 105790. https://doi.org/10.1016/j.envint.2020.105790</w:t>
      </w:r>
    </w:p>
    <w:p>
      <w:pPr>
        <w:spacing w:after="60"/>
        <w:ind w:left="576" w:hanging="576"/>
      </w:pPr>
      <w:r>
        <w:rPr>
          <w:rFonts w:ascii="Times New Roman" w:hAnsi="Times New Roman"/>
          <w:b/>
          <w:i w:val="0"/>
          <w:sz w:val="20"/>
          <w:u w:val="none"/>
        </w:rPr>
        <w:t xml:space="preserve">[23] </w:t>
      </w:r>
      <w:r>
        <w:rPr>
          <w:rFonts w:ascii="Times New Roman" w:hAnsi="Times New Roman"/>
          <w:b w:val="0"/>
          <w:i w:val="0"/>
          <w:sz w:val="20"/>
          <w:u w:val="none"/>
        </w:rPr>
        <w:t>Kraus, O.Z. &amp; Frey, B.J. (2016) Computer vision for high content screening. Critical Reviews in Biochemistry and Molecular Biology, 51(3), pp. 102-109. https://doi.org/10.3109/10409238.2015.1135868</w:t>
      </w:r>
    </w:p>
    <w:p>
      <w:pPr>
        <w:spacing w:after="60"/>
        <w:ind w:left="576" w:hanging="576"/>
      </w:pPr>
      <w:r>
        <w:rPr>
          <w:rFonts w:ascii="Times New Roman" w:hAnsi="Times New Roman"/>
          <w:b/>
          <w:i w:val="0"/>
          <w:sz w:val="20"/>
          <w:u w:val="none"/>
        </w:rPr>
        <w:t xml:space="preserve">[24] </w:t>
      </w:r>
      <w:r>
        <w:rPr>
          <w:rFonts w:ascii="Times New Roman" w:hAnsi="Times New Roman"/>
          <w:b w:val="0"/>
          <w:i w:val="0"/>
          <w:sz w:val="20"/>
          <w:u w:val="none"/>
        </w:rPr>
        <w:t>Zadrozny, B. &amp; Elkan, C. (2001) Obtaining calibrated probability estimates from decision trees and naive Bayesian classifiers. Proceedings of ICML 2001, pp. 609-616.</w:t>
      </w:r>
    </w:p>
    <w:p>
      <w:pPr>
        <w:spacing w:after="60"/>
        <w:ind w:left="576" w:hanging="576"/>
      </w:pPr>
      <w:r>
        <w:rPr>
          <w:rFonts w:ascii="Times New Roman" w:hAnsi="Times New Roman"/>
          <w:b/>
          <w:i w:val="0"/>
          <w:sz w:val="20"/>
          <w:u w:val="none"/>
        </w:rPr>
        <w:t xml:space="preserve">[25] </w:t>
      </w:r>
      <w:r>
        <w:rPr>
          <w:rFonts w:ascii="Times New Roman" w:hAnsi="Times New Roman"/>
          <w:b w:val="0"/>
          <w:i w:val="0"/>
          <w:sz w:val="20"/>
          <w:u w:val="none"/>
        </w:rPr>
        <w:t>DeLong, E.R., DeLong, D.M. &amp; Clarke-Pearson, D.L. (1988) Comparing the areas under two or more correlated receiver operating characteristic curves: a nonparametric approach. Biometrics, 44(3), pp. 837-845. https://doi.org/10.2307/2531595</w:t>
      </w:r>
    </w:p>
    <w:p>
      <w:pPr>
        <w:spacing w:after="60"/>
        <w:ind w:left="576" w:hanging="576"/>
      </w:pPr>
      <w:r>
        <w:rPr>
          <w:rFonts w:ascii="Times New Roman" w:hAnsi="Times New Roman"/>
          <w:b/>
          <w:i w:val="0"/>
          <w:sz w:val="20"/>
          <w:u w:val="none"/>
        </w:rPr>
        <w:t xml:space="preserve">[26] </w:t>
      </w:r>
      <w:r>
        <w:rPr>
          <w:rFonts w:ascii="Times New Roman" w:hAnsi="Times New Roman"/>
          <w:b w:val="0"/>
          <w:i w:val="0"/>
          <w:sz w:val="20"/>
          <w:u w:val="none"/>
        </w:rPr>
        <w:t>Nihart, A.J. et al. (2025) Bioaccumulation of microplastics in decedent human brains. Nature Medicine, 31, pp. 1114-1119. https://doi.org/10.1038/s41591-024-03453-1</w:t>
      </w:r>
    </w:p>
    <w:p>
      <w:r>
        <w:br w:type="page"/>
      </w:r>
    </w:p>
    <w:p>
      <w:pPr>
        <w:spacing w:before="240" w:after="80"/>
      </w:pPr>
      <w:r>
        <w:rPr>
          <w:rFonts w:ascii="Times New Roman" w:hAnsi="Times New Roman"/>
          <w:b/>
          <w:i w:val="0"/>
          <w:color w:val="1F4E79"/>
          <w:sz w:val="26"/>
          <w:u w:val="none"/>
        </w:rPr>
        <w:t>Figure Captions</w:t>
      </w:r>
    </w:p>
    <w:p>
      <w:pPr>
        <w:spacing w:after="120" w:before="80"/>
      </w:pPr>
      <w:r>
        <w:rPr>
          <w:rFonts w:ascii="Times New Roman" w:hAnsi="Times New Roman"/>
          <w:b/>
          <w:i w:val="0"/>
          <w:sz w:val="20"/>
          <w:u w:val="none"/>
        </w:rPr>
        <w:t xml:space="preserve">Figure 1. </w:t>
      </w:r>
      <w:r>
        <w:rPr>
          <w:rFonts w:ascii="Times New Roman" w:hAnsi="Times New Roman"/>
          <w:b w:val="0"/>
          <w:i/>
          <w:sz w:val="20"/>
          <w:u w:val="none"/>
        </w:rPr>
        <w:t>End-to-end pipeline workflow. Schematic overview of the simulation, feature extraction, classifier training, calibration, and evaluation stages.</w:t>
      </w:r>
    </w:p>
    <w:p>
      <w:pPr>
        <w:spacing w:after="120" w:before="80"/>
      </w:pPr>
      <w:r>
        <w:rPr>
          <w:rFonts w:ascii="Times New Roman" w:hAnsi="Times New Roman"/>
          <w:b/>
          <w:i w:val="0"/>
          <w:sz w:val="20"/>
          <w:u w:val="none"/>
        </w:rPr>
        <w:t xml:space="preserve">Figure 2. </w:t>
      </w:r>
      <w:r>
        <w:rPr>
          <w:rFonts w:ascii="Times New Roman" w:hAnsi="Times New Roman"/>
          <w:b w:val="0"/>
          <w:i/>
          <w:sz w:val="20"/>
          <w:u w:val="none"/>
        </w:rPr>
        <w:t>Representative simulated cell overlays. Pseudocolour rendering of synthetic feature fields for each of the four cell-death phenotype classes used in the benchmark.</w:t>
      </w:r>
    </w:p>
    <w:p>
      <w:pPr>
        <w:spacing w:after="120" w:before="80"/>
      </w:pPr>
      <w:r>
        <w:rPr>
          <w:rFonts w:ascii="Times New Roman" w:hAnsi="Times New Roman"/>
          <w:b/>
          <w:i w:val="0"/>
          <w:sz w:val="20"/>
          <w:u w:val="none"/>
        </w:rPr>
        <w:t xml:space="preserve">Figure 3. </w:t>
      </w:r>
      <w:r>
        <w:rPr>
          <w:rFonts w:ascii="Times New Roman" w:hAnsi="Times New Roman"/>
          <w:b w:val="0"/>
          <w:i/>
          <w:sz w:val="20"/>
          <w:u w:val="none"/>
        </w:rPr>
        <w:t>ROC curves for feature-based models. LR and RF receiver operating characteristic curves per class on the held-out test set (n = 200), with macro-AUC and 95% DeLong confidence intervals.</w:t>
      </w:r>
    </w:p>
    <w:p>
      <w:pPr>
        <w:spacing w:after="120" w:before="80"/>
      </w:pPr>
      <w:r>
        <w:rPr>
          <w:rFonts w:ascii="Times New Roman" w:hAnsi="Times New Roman"/>
          <w:b/>
          <w:i w:val="0"/>
          <w:sz w:val="20"/>
          <w:u w:val="none"/>
        </w:rPr>
        <w:t xml:space="preserve">Figure 4. </w:t>
      </w:r>
      <w:r>
        <w:rPr>
          <w:rFonts w:ascii="Times New Roman" w:hAnsi="Times New Roman"/>
          <w:b w:val="0"/>
          <w:i/>
          <w:sz w:val="20"/>
          <w:u w:val="none"/>
        </w:rPr>
        <w:t>RF feature importance (MDI). Mean decrease in impurity for each of the 17 morphological descriptors; membrane_permeability_proxy is dominant.</w:t>
      </w:r>
    </w:p>
    <w:p>
      <w:pPr>
        <w:spacing w:after="120" w:before="80"/>
      </w:pPr>
      <w:r>
        <w:rPr>
          <w:rFonts w:ascii="Times New Roman" w:hAnsi="Times New Roman"/>
          <w:b/>
          <w:i w:val="0"/>
          <w:sz w:val="20"/>
          <w:u w:val="none"/>
        </w:rPr>
        <w:t xml:space="preserve">Figure 5. </w:t>
      </w:r>
      <w:r>
        <w:rPr>
          <w:rFonts w:ascii="Times New Roman" w:hAnsi="Times New Roman"/>
          <w:b w:val="0"/>
          <w:i/>
          <w:sz w:val="20"/>
          <w:u w:val="none"/>
        </w:rPr>
        <w:t>ROC curves for deep learning models. Per-class ROC curves for CNN, R18s, and R18p on the held-out test set; note lower macro-AUC attributable to data-starvation training conditions.</w:t>
      </w:r>
    </w:p>
    <w:p>
      <w:pPr>
        <w:spacing w:after="120" w:before="80"/>
      </w:pPr>
      <w:r>
        <w:rPr>
          <w:rFonts w:ascii="Times New Roman" w:hAnsi="Times New Roman"/>
          <w:b/>
          <w:i w:val="0"/>
          <w:sz w:val="20"/>
          <w:u w:val="none"/>
        </w:rPr>
        <w:t xml:space="preserve">Figure 6. </w:t>
      </w:r>
      <w:r>
        <w:rPr>
          <w:rFonts w:ascii="Times New Roman" w:hAnsi="Times New Roman"/>
          <w:b w:val="0"/>
          <w:i/>
          <w:sz w:val="20"/>
          <w:u w:val="none"/>
        </w:rPr>
        <w:t>Calibration curves. Reliability diagrams for all five models before and after post-hoc calibration (Platt scaling for LR/RF; temperature scaling for DL models).</w:t>
      </w:r>
    </w:p>
    <w:p>
      <w:pPr>
        <w:spacing w:after="120" w:before="80"/>
      </w:pPr>
      <w:r>
        <w:rPr>
          <w:rFonts w:ascii="Times New Roman" w:hAnsi="Times New Roman"/>
          <w:b/>
          <w:i w:val="0"/>
          <w:sz w:val="20"/>
          <w:u w:val="none"/>
        </w:rPr>
        <w:t xml:space="preserve">Figure 7. </w:t>
      </w:r>
      <w:r>
        <w:rPr>
          <w:rFonts w:ascii="Times New Roman" w:hAnsi="Times New Roman"/>
          <w:b w:val="0"/>
          <w:i/>
          <w:sz w:val="20"/>
          <w:u w:val="none"/>
        </w:rPr>
        <w:t>PCA class-cluster visualisation. First two principal components of the standardised 17-feature space, coloured by class label, illustrating near-linear separability dominated by the first principal component.</w:t>
      </w:r>
    </w:p>
    <w:p>
      <w:pPr>
        <w:spacing w:after="120" w:before="80"/>
      </w:pPr>
      <w:r>
        <w:rPr>
          <w:rFonts w:ascii="Times New Roman" w:hAnsi="Times New Roman"/>
          <w:b/>
          <w:i w:val="0"/>
          <w:sz w:val="20"/>
          <w:u w:val="none"/>
        </w:rPr>
        <w:t xml:space="preserve">Figure 8. </w:t>
      </w:r>
      <w:r>
        <w:rPr>
          <w:rFonts w:ascii="Times New Roman" w:hAnsi="Times New Roman"/>
          <w:b w:val="0"/>
          <w:i/>
          <w:sz w:val="20"/>
          <w:u w:val="none"/>
        </w:rPr>
        <w:t>RF feature ablation curve. Macro-AUC as a function of the number of features removed in descending order of MDI importance; the step from 0 → 1 removal (membrane_permeability_proxy) produces the largest drop.</w:t>
      </w:r>
    </w:p>
    <w:p>
      <w:pPr>
        <w:spacing w:after="120" w:before="80"/>
      </w:pPr>
      <w:r>
        <w:rPr>
          <w:rFonts w:ascii="Times New Roman" w:hAnsi="Times New Roman"/>
          <w:b/>
          <w:i w:val="0"/>
          <w:sz w:val="20"/>
          <w:u w:val="none"/>
        </w:rPr>
        <w:t xml:space="preserve">Figure 9. </w:t>
      </w:r>
      <w:r>
        <w:rPr>
          <w:rFonts w:ascii="Times New Roman" w:hAnsi="Times New Roman"/>
          <w:b w:val="0"/>
          <w:i/>
          <w:sz w:val="20"/>
          <w:u w:val="none"/>
        </w:rPr>
        <w:t>Morphological fingerprint heatmap. Standardised feature values (z-score) for a random sample of 200 observations, clustered by class label.</w:t>
      </w:r>
    </w:p>
    <w:p>
      <w:r>
        <w:br w:type="page"/>
      </w:r>
    </w:p>
    <w:p>
      <w:pPr>
        <w:spacing w:before="240" w:after="80"/>
      </w:pPr>
      <w:r>
        <w:rPr>
          <w:rFonts w:ascii="Times New Roman" w:hAnsi="Times New Roman"/>
          <w:b/>
          <w:i w:val="0"/>
          <w:color w:val="1F4E79"/>
          <w:sz w:val="26"/>
          <w:u w:val="none"/>
        </w:rPr>
        <w:t>Figures</w:t>
      </w:r>
    </w:p>
    <w:p>
      <w:pPr>
        <w:jc w:val="center"/>
      </w:pPr>
      <w:r>
        <w:rPr>
          <w:rFonts w:ascii="Times New Roman" w:hAnsi="Times New Roman"/>
          <w:b/>
          <w:i w:val="0"/>
          <w:sz w:val="20"/>
          <w:u w:val="none"/>
        </w:rPr>
        <w:t>Figure 1.</w:t>
      </w:r>
    </w:p>
    <w:p>
      <w:pPr>
        <w:jc w:val="center"/>
      </w:pPr>
      <w:r>
        <w:drawing>
          <wp:inline xmlns:a="http://schemas.openxmlformats.org/drawingml/2006/main" xmlns:pic="http://schemas.openxmlformats.org/drawingml/2006/picture">
            <wp:extent cx="5303520" cy="1479785"/>
            <wp:docPr id="1" name="Picture 1"/>
            <wp:cNvGraphicFramePr>
              <a:graphicFrameLocks noChangeAspect="1"/>
            </wp:cNvGraphicFramePr>
            <a:graphic>
              <a:graphicData uri="http://schemas.openxmlformats.org/drawingml/2006/picture">
                <pic:pic>
                  <pic:nvPicPr>
                    <pic:cNvPr id="0" name="fig_01_pipeline_workflow.png"/>
                    <pic:cNvPicPr/>
                  </pic:nvPicPr>
                  <pic:blipFill>
                    <a:blip r:embed="rId10"/>
                    <a:stretch>
                      <a:fillRect/>
                    </a:stretch>
                  </pic:blipFill>
                  <pic:spPr>
                    <a:xfrm>
                      <a:off x="0" y="0"/>
                      <a:ext cx="5303520" cy="1479785"/>
                    </a:xfrm>
                    <a:prstGeom prst="rect"/>
                  </pic:spPr>
                </pic:pic>
              </a:graphicData>
            </a:graphic>
          </wp:inline>
        </w:drawing>
      </w:r>
    </w:p>
    <w:p>
      <w:pPr>
        <w:spacing w:after="120" w:before="80"/>
      </w:pPr>
      <w:r>
        <w:rPr>
          <w:rFonts w:ascii="Times New Roman" w:hAnsi="Times New Roman"/>
          <w:b/>
          <w:i w:val="0"/>
          <w:sz w:val="20"/>
          <w:u w:val="none"/>
        </w:rPr>
        <w:t xml:space="preserve">Figure 1. </w:t>
      </w:r>
      <w:r>
        <w:rPr>
          <w:rFonts w:ascii="Times New Roman" w:hAnsi="Times New Roman"/>
          <w:b w:val="0"/>
          <w:i/>
          <w:sz w:val="20"/>
          <w:u w:val="none"/>
        </w:rPr>
        <w:t>End-to-end pipeline workflow. Schematic overview of the simulation, feature extraction, classifier training, calibration, and evaluation stages.</w:t>
      </w:r>
    </w:p>
    <w:p>
      <w:r>
        <w:br w:type="page"/>
      </w:r>
    </w:p>
    <w:p>
      <w:pPr>
        <w:jc w:val="center"/>
      </w:pPr>
      <w:r>
        <w:rPr>
          <w:rFonts w:ascii="Times New Roman" w:hAnsi="Times New Roman"/>
          <w:b/>
          <w:i w:val="0"/>
          <w:sz w:val="20"/>
          <w:u w:val="none"/>
        </w:rPr>
        <w:t>Figure 2.</w:t>
      </w:r>
    </w:p>
    <w:p>
      <w:pPr>
        <w:jc w:val="center"/>
      </w:pPr>
      <w:r>
        <w:drawing>
          <wp:inline xmlns:a="http://schemas.openxmlformats.org/drawingml/2006/main" xmlns:pic="http://schemas.openxmlformats.org/drawingml/2006/picture">
            <wp:extent cx="5303520" cy="2191292"/>
            <wp:docPr id="2" name="Picture 2"/>
            <wp:cNvGraphicFramePr>
              <a:graphicFrameLocks noChangeAspect="1"/>
            </wp:cNvGraphicFramePr>
            <a:graphic>
              <a:graphicData uri="http://schemas.openxmlformats.org/drawingml/2006/picture">
                <pic:pic>
                  <pic:nvPicPr>
                    <pic:cNvPr id="0" name="fig_02_cell_overlays.png"/>
                    <pic:cNvPicPr/>
                  </pic:nvPicPr>
                  <pic:blipFill>
                    <a:blip r:embed="rId11"/>
                    <a:stretch>
                      <a:fillRect/>
                    </a:stretch>
                  </pic:blipFill>
                  <pic:spPr>
                    <a:xfrm>
                      <a:off x="0" y="0"/>
                      <a:ext cx="5303520" cy="2191292"/>
                    </a:xfrm>
                    <a:prstGeom prst="rect"/>
                  </pic:spPr>
                </pic:pic>
              </a:graphicData>
            </a:graphic>
          </wp:inline>
        </w:drawing>
      </w:r>
    </w:p>
    <w:p>
      <w:pPr>
        <w:spacing w:after="120" w:before="80"/>
      </w:pPr>
      <w:r>
        <w:rPr>
          <w:rFonts w:ascii="Times New Roman" w:hAnsi="Times New Roman"/>
          <w:b/>
          <w:i w:val="0"/>
          <w:sz w:val="20"/>
          <w:u w:val="none"/>
        </w:rPr>
        <w:t xml:space="preserve">Figure 2. </w:t>
      </w:r>
      <w:r>
        <w:rPr>
          <w:rFonts w:ascii="Times New Roman" w:hAnsi="Times New Roman"/>
          <w:b w:val="0"/>
          <w:i/>
          <w:sz w:val="20"/>
          <w:u w:val="none"/>
        </w:rPr>
        <w:t>Representative simulated cell overlays. Pseudocolour rendering of synthetic feature fields for each of the four cell-death phenotype classes used in the benchmark.</w:t>
      </w:r>
    </w:p>
    <w:p>
      <w:r>
        <w:br w:type="page"/>
      </w:r>
    </w:p>
    <w:p>
      <w:pPr>
        <w:jc w:val="center"/>
      </w:pPr>
      <w:r>
        <w:rPr>
          <w:rFonts w:ascii="Times New Roman" w:hAnsi="Times New Roman"/>
          <w:b/>
          <w:i w:val="0"/>
          <w:sz w:val="20"/>
          <w:u w:val="none"/>
        </w:rPr>
        <w:t>Figure 3.</w:t>
      </w:r>
    </w:p>
    <w:p>
      <w:pPr>
        <w:jc w:val="center"/>
      </w:pPr>
      <w:r>
        <w:drawing>
          <wp:inline xmlns:a="http://schemas.openxmlformats.org/drawingml/2006/main" xmlns:pic="http://schemas.openxmlformats.org/drawingml/2006/picture">
            <wp:extent cx="5303520" cy="2033474"/>
            <wp:docPr id="3" name="Picture 3"/>
            <wp:cNvGraphicFramePr>
              <a:graphicFrameLocks noChangeAspect="1"/>
            </wp:cNvGraphicFramePr>
            <a:graphic>
              <a:graphicData uri="http://schemas.openxmlformats.org/drawingml/2006/picture">
                <pic:pic>
                  <pic:nvPicPr>
                    <pic:cNvPr id="0" name="fig_03_roc_feature_models.png"/>
                    <pic:cNvPicPr/>
                  </pic:nvPicPr>
                  <pic:blipFill>
                    <a:blip r:embed="rId12"/>
                    <a:stretch>
                      <a:fillRect/>
                    </a:stretch>
                  </pic:blipFill>
                  <pic:spPr>
                    <a:xfrm>
                      <a:off x="0" y="0"/>
                      <a:ext cx="5303520" cy="2033474"/>
                    </a:xfrm>
                    <a:prstGeom prst="rect"/>
                  </pic:spPr>
                </pic:pic>
              </a:graphicData>
            </a:graphic>
          </wp:inline>
        </w:drawing>
      </w:r>
    </w:p>
    <w:p>
      <w:pPr>
        <w:spacing w:after="120" w:before="80"/>
      </w:pPr>
      <w:r>
        <w:rPr>
          <w:rFonts w:ascii="Times New Roman" w:hAnsi="Times New Roman"/>
          <w:b/>
          <w:i w:val="0"/>
          <w:sz w:val="20"/>
          <w:u w:val="none"/>
        </w:rPr>
        <w:t xml:space="preserve">Figure 3. </w:t>
      </w:r>
      <w:r>
        <w:rPr>
          <w:rFonts w:ascii="Times New Roman" w:hAnsi="Times New Roman"/>
          <w:b w:val="0"/>
          <w:i/>
          <w:sz w:val="20"/>
          <w:u w:val="none"/>
        </w:rPr>
        <w:t>ROC curves for feature-based models. LR and RF receiver operating characteristic curves per class on the held-out test set (n = 200), with macro-AUC and 95% DeLong confidence intervals.</w:t>
      </w:r>
    </w:p>
    <w:p>
      <w:r>
        <w:br w:type="page"/>
      </w:r>
    </w:p>
    <w:p>
      <w:pPr>
        <w:jc w:val="center"/>
      </w:pPr>
      <w:r>
        <w:rPr>
          <w:rFonts w:ascii="Times New Roman" w:hAnsi="Times New Roman"/>
          <w:b/>
          <w:i w:val="0"/>
          <w:sz w:val="20"/>
          <w:u w:val="none"/>
        </w:rPr>
        <w:t>Figure 4.</w:t>
      </w:r>
    </w:p>
    <w:p>
      <w:pPr>
        <w:jc w:val="center"/>
      </w:pPr>
      <w:r>
        <w:drawing>
          <wp:inline xmlns:a="http://schemas.openxmlformats.org/drawingml/2006/main" xmlns:pic="http://schemas.openxmlformats.org/drawingml/2006/picture">
            <wp:extent cx="5303520" cy="4702069"/>
            <wp:docPr id="4" name="Picture 4"/>
            <wp:cNvGraphicFramePr>
              <a:graphicFrameLocks noChangeAspect="1"/>
            </wp:cNvGraphicFramePr>
            <a:graphic>
              <a:graphicData uri="http://schemas.openxmlformats.org/drawingml/2006/picture">
                <pic:pic>
                  <pic:nvPicPr>
                    <pic:cNvPr id="0" name="fig_04_rf_feature_importance.png"/>
                    <pic:cNvPicPr/>
                  </pic:nvPicPr>
                  <pic:blipFill>
                    <a:blip r:embed="rId13"/>
                    <a:stretch>
                      <a:fillRect/>
                    </a:stretch>
                  </pic:blipFill>
                  <pic:spPr>
                    <a:xfrm>
                      <a:off x="0" y="0"/>
                      <a:ext cx="5303520" cy="4702069"/>
                    </a:xfrm>
                    <a:prstGeom prst="rect"/>
                  </pic:spPr>
                </pic:pic>
              </a:graphicData>
            </a:graphic>
          </wp:inline>
        </w:drawing>
      </w:r>
    </w:p>
    <w:p>
      <w:pPr>
        <w:spacing w:after="120" w:before="80"/>
      </w:pPr>
      <w:r>
        <w:rPr>
          <w:rFonts w:ascii="Times New Roman" w:hAnsi="Times New Roman"/>
          <w:b/>
          <w:i w:val="0"/>
          <w:sz w:val="20"/>
          <w:u w:val="none"/>
        </w:rPr>
        <w:t xml:space="preserve">Figure 4. </w:t>
      </w:r>
      <w:r>
        <w:rPr>
          <w:rFonts w:ascii="Times New Roman" w:hAnsi="Times New Roman"/>
          <w:b w:val="0"/>
          <w:i/>
          <w:sz w:val="20"/>
          <w:u w:val="none"/>
        </w:rPr>
        <w:t>RF feature importance (MDI). Mean decrease in impurity for each of the 17 morphological descriptors; membrane_permeability_proxy is dominant.</w:t>
      </w:r>
    </w:p>
    <w:p>
      <w:r>
        <w:br w:type="page"/>
      </w:r>
    </w:p>
    <w:p>
      <w:pPr>
        <w:jc w:val="center"/>
      </w:pPr>
      <w:r>
        <w:rPr>
          <w:rFonts w:ascii="Times New Roman" w:hAnsi="Times New Roman"/>
          <w:b/>
          <w:i w:val="0"/>
          <w:sz w:val="20"/>
          <w:u w:val="none"/>
        </w:rPr>
        <w:t>Figure 5.</w:t>
      </w:r>
    </w:p>
    <w:p>
      <w:pPr>
        <w:jc w:val="center"/>
      </w:pPr>
      <w:r>
        <w:drawing>
          <wp:inline xmlns:a="http://schemas.openxmlformats.org/drawingml/2006/main" xmlns:pic="http://schemas.openxmlformats.org/drawingml/2006/picture">
            <wp:extent cx="5303520" cy="1551227"/>
            <wp:docPr id="5" name="Picture 5"/>
            <wp:cNvGraphicFramePr>
              <a:graphicFrameLocks noChangeAspect="1"/>
            </wp:cNvGraphicFramePr>
            <a:graphic>
              <a:graphicData uri="http://schemas.openxmlformats.org/drawingml/2006/picture">
                <pic:pic>
                  <pic:nvPicPr>
                    <pic:cNvPr id="0" name="fig_05_roc_dl_models.png"/>
                    <pic:cNvPicPr/>
                  </pic:nvPicPr>
                  <pic:blipFill>
                    <a:blip r:embed="rId14"/>
                    <a:stretch>
                      <a:fillRect/>
                    </a:stretch>
                  </pic:blipFill>
                  <pic:spPr>
                    <a:xfrm>
                      <a:off x="0" y="0"/>
                      <a:ext cx="5303520" cy="1551227"/>
                    </a:xfrm>
                    <a:prstGeom prst="rect"/>
                  </pic:spPr>
                </pic:pic>
              </a:graphicData>
            </a:graphic>
          </wp:inline>
        </w:drawing>
      </w:r>
    </w:p>
    <w:p>
      <w:pPr>
        <w:spacing w:after="120" w:before="80"/>
      </w:pPr>
      <w:r>
        <w:rPr>
          <w:rFonts w:ascii="Times New Roman" w:hAnsi="Times New Roman"/>
          <w:b/>
          <w:i w:val="0"/>
          <w:sz w:val="20"/>
          <w:u w:val="none"/>
        </w:rPr>
        <w:t xml:space="preserve">Figure 5. </w:t>
      </w:r>
      <w:r>
        <w:rPr>
          <w:rFonts w:ascii="Times New Roman" w:hAnsi="Times New Roman"/>
          <w:b w:val="0"/>
          <w:i/>
          <w:sz w:val="20"/>
          <w:u w:val="none"/>
        </w:rPr>
        <w:t>ROC curves for deep learning models. Per-class ROC curves for CNN, R18s, and R18p on the held-out test set; note lower macro-AUC attributable to data-starvation training conditions.</w:t>
      </w:r>
    </w:p>
    <w:p>
      <w:r>
        <w:br w:type="page"/>
      </w:r>
    </w:p>
    <w:p>
      <w:pPr>
        <w:jc w:val="center"/>
      </w:pPr>
      <w:r>
        <w:rPr>
          <w:rFonts w:ascii="Times New Roman" w:hAnsi="Times New Roman"/>
          <w:b/>
          <w:i w:val="0"/>
          <w:sz w:val="20"/>
          <w:u w:val="none"/>
        </w:rPr>
        <w:t>Figure 6.</w:t>
      </w:r>
    </w:p>
    <w:p>
      <w:pPr>
        <w:jc w:val="center"/>
      </w:pPr>
      <w:r>
        <w:drawing>
          <wp:inline xmlns:a="http://schemas.openxmlformats.org/drawingml/2006/main" xmlns:pic="http://schemas.openxmlformats.org/drawingml/2006/picture">
            <wp:extent cx="5303520" cy="3955739"/>
            <wp:docPr id="6" name="Picture 6"/>
            <wp:cNvGraphicFramePr>
              <a:graphicFrameLocks noChangeAspect="1"/>
            </wp:cNvGraphicFramePr>
            <a:graphic>
              <a:graphicData uri="http://schemas.openxmlformats.org/drawingml/2006/picture">
                <pic:pic>
                  <pic:nvPicPr>
                    <pic:cNvPr id="0" name="fig_06_calibration_curves.png"/>
                    <pic:cNvPicPr/>
                  </pic:nvPicPr>
                  <pic:blipFill>
                    <a:blip r:embed="rId15"/>
                    <a:stretch>
                      <a:fillRect/>
                    </a:stretch>
                  </pic:blipFill>
                  <pic:spPr>
                    <a:xfrm>
                      <a:off x="0" y="0"/>
                      <a:ext cx="5303520" cy="3955739"/>
                    </a:xfrm>
                    <a:prstGeom prst="rect"/>
                  </pic:spPr>
                </pic:pic>
              </a:graphicData>
            </a:graphic>
          </wp:inline>
        </w:drawing>
      </w:r>
    </w:p>
    <w:p>
      <w:pPr>
        <w:spacing w:after="120" w:before="80"/>
      </w:pPr>
      <w:r>
        <w:rPr>
          <w:rFonts w:ascii="Times New Roman" w:hAnsi="Times New Roman"/>
          <w:b/>
          <w:i w:val="0"/>
          <w:sz w:val="20"/>
          <w:u w:val="none"/>
        </w:rPr>
        <w:t xml:space="preserve">Figure 6. </w:t>
      </w:r>
      <w:r>
        <w:rPr>
          <w:rFonts w:ascii="Times New Roman" w:hAnsi="Times New Roman"/>
          <w:b w:val="0"/>
          <w:i/>
          <w:sz w:val="20"/>
          <w:u w:val="none"/>
        </w:rPr>
        <w:t>Calibration curves. Reliability diagrams for all five models before and after post-hoc calibration (Platt scaling for LR/RF; temperature scaling for DL models).</w:t>
      </w:r>
    </w:p>
    <w:p>
      <w:r>
        <w:br w:type="page"/>
      </w:r>
    </w:p>
    <w:p>
      <w:pPr>
        <w:jc w:val="center"/>
      </w:pPr>
      <w:r>
        <w:rPr>
          <w:rFonts w:ascii="Times New Roman" w:hAnsi="Times New Roman"/>
          <w:b/>
          <w:i w:val="0"/>
          <w:sz w:val="20"/>
          <w:u w:val="none"/>
        </w:rPr>
        <w:t>Figure 7.</w:t>
      </w:r>
    </w:p>
    <w:p>
      <w:pPr>
        <w:jc w:val="center"/>
      </w:pPr>
      <w:r>
        <w:drawing>
          <wp:inline xmlns:a="http://schemas.openxmlformats.org/drawingml/2006/main" xmlns:pic="http://schemas.openxmlformats.org/drawingml/2006/picture">
            <wp:extent cx="5303520" cy="2245072"/>
            <wp:docPr id="7" name="Picture 7"/>
            <wp:cNvGraphicFramePr>
              <a:graphicFrameLocks noChangeAspect="1"/>
            </wp:cNvGraphicFramePr>
            <a:graphic>
              <a:graphicData uri="http://schemas.openxmlformats.org/drawingml/2006/picture">
                <pic:pic>
                  <pic:nvPicPr>
                    <pic:cNvPr id="0" name="fig_07_pca_class_clusters.png"/>
                    <pic:cNvPicPr/>
                  </pic:nvPicPr>
                  <pic:blipFill>
                    <a:blip r:embed="rId16"/>
                    <a:stretch>
                      <a:fillRect/>
                    </a:stretch>
                  </pic:blipFill>
                  <pic:spPr>
                    <a:xfrm>
                      <a:off x="0" y="0"/>
                      <a:ext cx="5303520" cy="2245072"/>
                    </a:xfrm>
                    <a:prstGeom prst="rect"/>
                  </pic:spPr>
                </pic:pic>
              </a:graphicData>
            </a:graphic>
          </wp:inline>
        </w:drawing>
      </w:r>
    </w:p>
    <w:p>
      <w:pPr>
        <w:spacing w:after="120" w:before="80"/>
      </w:pPr>
      <w:r>
        <w:rPr>
          <w:rFonts w:ascii="Times New Roman" w:hAnsi="Times New Roman"/>
          <w:b/>
          <w:i w:val="0"/>
          <w:sz w:val="20"/>
          <w:u w:val="none"/>
        </w:rPr>
        <w:t xml:space="preserve">Figure 7. </w:t>
      </w:r>
      <w:r>
        <w:rPr>
          <w:rFonts w:ascii="Times New Roman" w:hAnsi="Times New Roman"/>
          <w:b w:val="0"/>
          <w:i/>
          <w:sz w:val="20"/>
          <w:u w:val="none"/>
        </w:rPr>
        <w:t>PCA class-cluster visualisation. First two principal components of the standardised 17-feature space, coloured by class label, illustrating near-linear separability dominated by the first principal component.</w:t>
      </w:r>
    </w:p>
    <w:p>
      <w:r>
        <w:br w:type="page"/>
      </w:r>
    </w:p>
    <w:p>
      <w:pPr>
        <w:jc w:val="center"/>
      </w:pPr>
      <w:r>
        <w:rPr>
          <w:rFonts w:ascii="Times New Roman" w:hAnsi="Times New Roman"/>
          <w:b/>
          <w:i w:val="0"/>
          <w:sz w:val="20"/>
          <w:u w:val="none"/>
        </w:rPr>
        <w:t>Figure 8.</w:t>
      </w:r>
    </w:p>
    <w:p>
      <w:pPr>
        <w:jc w:val="center"/>
      </w:pPr>
      <w:r>
        <w:drawing>
          <wp:inline xmlns:a="http://schemas.openxmlformats.org/drawingml/2006/main" xmlns:pic="http://schemas.openxmlformats.org/drawingml/2006/picture">
            <wp:extent cx="5303520" cy="3288813"/>
            <wp:docPr id="8" name="Picture 8"/>
            <wp:cNvGraphicFramePr>
              <a:graphicFrameLocks noChangeAspect="1"/>
            </wp:cNvGraphicFramePr>
            <a:graphic>
              <a:graphicData uri="http://schemas.openxmlformats.org/drawingml/2006/picture">
                <pic:pic>
                  <pic:nvPicPr>
                    <pic:cNvPr id="0" name="fig_08_feature_ablation.png"/>
                    <pic:cNvPicPr/>
                  </pic:nvPicPr>
                  <pic:blipFill>
                    <a:blip r:embed="rId17"/>
                    <a:stretch>
                      <a:fillRect/>
                    </a:stretch>
                  </pic:blipFill>
                  <pic:spPr>
                    <a:xfrm>
                      <a:off x="0" y="0"/>
                      <a:ext cx="5303520" cy="3288813"/>
                    </a:xfrm>
                    <a:prstGeom prst="rect"/>
                  </pic:spPr>
                </pic:pic>
              </a:graphicData>
            </a:graphic>
          </wp:inline>
        </w:drawing>
      </w:r>
    </w:p>
    <w:p>
      <w:pPr>
        <w:spacing w:after="120" w:before="80"/>
      </w:pPr>
      <w:r>
        <w:rPr>
          <w:rFonts w:ascii="Times New Roman" w:hAnsi="Times New Roman"/>
          <w:b/>
          <w:i w:val="0"/>
          <w:sz w:val="20"/>
          <w:u w:val="none"/>
        </w:rPr>
        <w:t xml:space="preserve">Figure 8. </w:t>
      </w:r>
      <w:r>
        <w:rPr>
          <w:rFonts w:ascii="Times New Roman" w:hAnsi="Times New Roman"/>
          <w:b w:val="0"/>
          <w:i/>
          <w:sz w:val="20"/>
          <w:u w:val="none"/>
        </w:rPr>
        <w:t>RF feature ablation curve. Macro-AUC as a function of the number of features removed in descending order of MDI importance; the step from 0 → 1 removal (membrane_permeability_proxy) produces the largest drop.</w:t>
      </w:r>
    </w:p>
    <w:p>
      <w:r>
        <w:br w:type="page"/>
      </w:r>
    </w:p>
    <w:p>
      <w:pPr>
        <w:jc w:val="center"/>
      </w:pPr>
      <w:r>
        <w:rPr>
          <w:rFonts w:ascii="Times New Roman" w:hAnsi="Times New Roman"/>
          <w:b/>
          <w:i w:val="0"/>
          <w:sz w:val="20"/>
          <w:u w:val="none"/>
        </w:rPr>
        <w:t>Figure 9.</w:t>
      </w:r>
    </w:p>
    <w:p>
      <w:pPr>
        <w:jc w:val="center"/>
      </w:pPr>
      <w:r>
        <w:drawing>
          <wp:inline xmlns:a="http://schemas.openxmlformats.org/drawingml/2006/main" xmlns:pic="http://schemas.openxmlformats.org/drawingml/2006/picture">
            <wp:extent cx="5303520" cy="1793639"/>
            <wp:docPr id="9" name="Picture 9"/>
            <wp:cNvGraphicFramePr>
              <a:graphicFrameLocks noChangeAspect="1"/>
            </wp:cNvGraphicFramePr>
            <a:graphic>
              <a:graphicData uri="http://schemas.openxmlformats.org/drawingml/2006/picture">
                <pic:pic>
                  <pic:nvPicPr>
                    <pic:cNvPr id="0" name="fig_09_morphological_fingerprint.png"/>
                    <pic:cNvPicPr/>
                  </pic:nvPicPr>
                  <pic:blipFill>
                    <a:blip r:embed="rId18"/>
                    <a:stretch>
                      <a:fillRect/>
                    </a:stretch>
                  </pic:blipFill>
                  <pic:spPr>
                    <a:xfrm>
                      <a:off x="0" y="0"/>
                      <a:ext cx="5303520" cy="1793639"/>
                    </a:xfrm>
                    <a:prstGeom prst="rect"/>
                  </pic:spPr>
                </pic:pic>
              </a:graphicData>
            </a:graphic>
          </wp:inline>
        </w:drawing>
      </w:r>
    </w:p>
    <w:p>
      <w:pPr>
        <w:spacing w:after="120" w:before="80"/>
      </w:pPr>
      <w:r>
        <w:rPr>
          <w:rFonts w:ascii="Times New Roman" w:hAnsi="Times New Roman"/>
          <w:b/>
          <w:i w:val="0"/>
          <w:sz w:val="20"/>
          <w:u w:val="none"/>
        </w:rPr>
        <w:t xml:space="preserve">Figure 9. </w:t>
      </w:r>
      <w:r>
        <w:rPr>
          <w:rFonts w:ascii="Times New Roman" w:hAnsi="Times New Roman"/>
          <w:b w:val="0"/>
          <w:i/>
          <w:sz w:val="20"/>
          <w:u w:val="none"/>
        </w:rPr>
        <w:t>Morphological fingerprint heatmap. Standardised feature values (z-score) for a random sample of 200 observations, clustered by class label.</w:t>
      </w:r>
    </w:p>
    <w:p>
      <w:r>
        <w:br w:type="page"/>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