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2359F" w14:textId="77777777" w:rsidR="00A93577" w:rsidRDefault="00000000">
      <w:pPr>
        <w:spacing w:after="80"/>
      </w:pPr>
      <w:r>
        <w:rPr>
          <w:rFonts w:ascii="Arial" w:eastAsia="Arial" w:hAnsi="Arial" w:cs="Arial"/>
          <w:b/>
          <w:bCs/>
          <w:sz w:val="22"/>
          <w:szCs w:val="22"/>
        </w:rPr>
        <w:t>SPECIFIC AIMS</w:t>
      </w:r>
    </w:p>
    <w:p w14:paraId="2C7FD1FB" w14:textId="0A2433E6" w:rsidR="00A93577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 xml:space="preserve">Micro- and </w:t>
      </w:r>
      <w:proofErr w:type="spellStart"/>
      <w:r>
        <w:rPr>
          <w:rFonts w:ascii="Arial" w:eastAsia="Arial" w:hAnsi="Arial" w:cs="Arial"/>
          <w:sz w:val="22"/>
          <w:szCs w:val="22"/>
        </w:rPr>
        <w:t>nanoplastics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have been recovered from human bronchoalveolar lavage fluid, sputum, and lung parenchyma; pulmonary inflammatory response depends on </w:t>
      </w:r>
      <w:r>
        <w:rPr>
          <w:rFonts w:ascii="Arial" w:eastAsia="Arial" w:hAnsi="Arial" w:cs="Arial"/>
          <w:b/>
          <w:bCs/>
          <w:sz w:val="22"/>
          <w:szCs w:val="22"/>
        </w:rPr>
        <w:t>polymer identity</w:t>
      </w:r>
      <w:r>
        <w:rPr>
          <w:rFonts w:ascii="Arial" w:eastAsia="Arial" w:hAnsi="Arial" w:cs="Arial"/>
          <w:sz w:val="22"/>
          <w:szCs w:val="22"/>
        </w:rPr>
        <w:t xml:space="preserve">: polystyrene, polypropylene, and polyvinyl chloride produce distinguishable cytokine and histopathologic profiles following intratracheal exposure </w:t>
      </w:r>
      <w:r>
        <w:rPr>
          <w:rFonts w:ascii="Arial" w:eastAsia="Arial" w:hAnsi="Arial" w:cs="Arial"/>
          <w:i/>
          <w:iCs/>
          <w:sz w:val="22"/>
          <w:szCs w:val="22"/>
        </w:rPr>
        <w:t>(Danso 2022; Balkrishna 2025)</w:t>
      </w:r>
      <w:r>
        <w:rPr>
          <w:rFonts w:ascii="Arial" w:eastAsia="Arial" w:hAnsi="Arial" w:cs="Arial"/>
          <w:sz w:val="22"/>
          <w:szCs w:val="22"/>
        </w:rPr>
        <w:t xml:space="preserve">. Two enabling technologies are missing. First, </w:t>
      </w:r>
      <w:r>
        <w:rPr>
          <w:rFonts w:ascii="Arial" w:eastAsia="Arial" w:hAnsi="Arial" w:cs="Arial"/>
          <w:b/>
          <w:bCs/>
          <w:sz w:val="22"/>
          <w:szCs w:val="22"/>
        </w:rPr>
        <w:t>no validated, scalable tool resolves polymer identity</w:t>
      </w:r>
      <w:r>
        <w:rPr>
          <w:rFonts w:ascii="Arial" w:eastAsia="Arial" w:hAnsi="Arial" w:cs="Arial"/>
          <w:sz w:val="22"/>
          <w:szCs w:val="22"/>
        </w:rPr>
        <w:t xml:space="preserve"> from environmental or biological samples: FTIR/Raman are accurate but throughput-limited, and ML classifiers have never been benchmarked against independent chemical </w:t>
      </w:r>
      <w:proofErr w:type="gramStart"/>
      <w:r>
        <w:rPr>
          <w:rFonts w:ascii="Arial" w:eastAsia="Arial" w:hAnsi="Arial" w:cs="Arial"/>
          <w:sz w:val="22"/>
          <w:szCs w:val="22"/>
        </w:rPr>
        <w:t>confirmation  open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datasets are so small (</w:t>
      </w:r>
      <w:proofErr w:type="spellStart"/>
      <w:r>
        <w:rPr>
          <w:rFonts w:ascii="Arial" w:eastAsia="Arial" w:hAnsi="Arial" w:cs="Arial"/>
          <w:sz w:val="22"/>
          <w:szCs w:val="22"/>
        </w:rPr>
        <w:t>MiNa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: 105 annotated SEM images) that no field-deployable model has been validated. Second, </w:t>
      </w:r>
      <w:r>
        <w:rPr>
          <w:rFonts w:ascii="Arial" w:eastAsia="Arial" w:hAnsi="Arial" w:cs="Arial"/>
          <w:b/>
          <w:bCs/>
          <w:sz w:val="22"/>
          <w:szCs w:val="22"/>
        </w:rPr>
        <w:t>no decision-support tool exists</w:t>
      </w:r>
      <w:r>
        <w:rPr>
          <w:rFonts w:ascii="Arial" w:eastAsia="Arial" w:hAnsi="Arial" w:cs="Arial"/>
          <w:sz w:val="22"/>
          <w:szCs w:val="22"/>
        </w:rPr>
        <w:t xml:space="preserve"> converting heterogeneous, single-polymer toxicology literature into a source-traceable comparative hazard metric.</w:t>
      </w:r>
    </w:p>
    <w:p w14:paraId="3EA74D05" w14:textId="77777777" w:rsidR="00A93577" w:rsidRDefault="00000000">
      <w:pPr>
        <w:spacing w:after="8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Critical need and objective. </w:t>
      </w:r>
      <w:r>
        <w:rPr>
          <w:rFonts w:ascii="Arial" w:eastAsia="Arial" w:hAnsi="Arial" w:cs="Arial"/>
          <w:sz w:val="22"/>
          <w:szCs w:val="22"/>
        </w:rPr>
        <w:t xml:space="preserve">Environmental health practitioners, regulators, and industry need two </w:t>
      </w:r>
      <w:r>
        <w:rPr>
          <w:rFonts w:ascii="Arial" w:eastAsia="Arial" w:hAnsi="Arial" w:cs="Arial"/>
          <w:b/>
          <w:bCs/>
          <w:sz w:val="22"/>
          <w:szCs w:val="22"/>
        </w:rPr>
        <w:t>commercially deployable</w:t>
      </w:r>
      <w:r>
        <w:rPr>
          <w:rFonts w:ascii="Arial" w:eastAsia="Arial" w:hAnsi="Arial" w:cs="Arial"/>
          <w:sz w:val="22"/>
          <w:szCs w:val="22"/>
        </w:rPr>
        <w:t xml:space="preserve"> technologies: (1) a validated tool for identifying which polymers are present in a sample, and (2) a </w:t>
      </w:r>
      <w:proofErr w:type="spellStart"/>
      <w:r>
        <w:rPr>
          <w:rFonts w:ascii="Arial" w:eastAsia="Arial" w:hAnsi="Arial" w:cs="Arial"/>
          <w:sz w:val="22"/>
          <w:szCs w:val="22"/>
        </w:rPr>
        <w:t>queryable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hazard-scoring platform converting scattered toxicology literature into an actionable, evidence-graded output. We propose to build and validate both through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PolyLung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Bridge AI</w:t>
      </w:r>
      <w:r>
        <w:rPr>
          <w:rFonts w:ascii="Arial" w:eastAsia="Arial" w:hAnsi="Arial" w:cs="Arial"/>
          <w:sz w:val="22"/>
          <w:szCs w:val="22"/>
        </w:rPr>
        <w:t xml:space="preserve">, executed as two aims with pre-specified milestones and Go/No-Go points, targeting licensable, API-accessible products for testing labs, polymer manufacturers, and regulators. </w:t>
      </w:r>
      <w:r>
        <w:rPr>
          <w:rFonts w:ascii="Arial" w:eastAsia="Arial" w:hAnsi="Arial" w:cs="Arial"/>
          <w:b/>
          <w:bCs/>
          <w:i/>
          <w:iCs/>
          <w:sz w:val="22"/>
          <w:szCs w:val="22"/>
        </w:rPr>
        <w:t>We scope the technology precisely: it delivers hazard characterization, not risk.</w:t>
      </w:r>
      <w:r>
        <w:rPr>
          <w:rFonts w:ascii="Arial" w:eastAsia="Arial" w:hAnsi="Arial" w:cs="Arial"/>
          <w:i/>
          <w:iCs/>
          <w:sz w:val="22"/>
          <w:szCs w:val="22"/>
        </w:rPr>
        <w:t xml:space="preserve"> Hazard is a property of the polymer; risk requires a quantified exposure pathway not yet established in the literature. No population risk estimate, community score, or public-facing advisory is produced.</w:t>
      </w:r>
    </w:p>
    <w:p w14:paraId="3342938E" w14:textId="77777777" w:rsidR="00A93577" w:rsidRDefault="00000000">
      <w:pPr>
        <w:spacing w:after="80"/>
      </w:pPr>
      <w:r>
        <w:rPr>
          <w:rFonts w:ascii="Arial" w:eastAsia="Arial" w:hAnsi="Arial" w:cs="Arial"/>
          <w:b/>
          <w:bCs/>
          <w:sz w:val="22"/>
          <w:szCs w:val="22"/>
        </w:rPr>
        <w:t>Aim 1. Build and validate an automated polymer-identification tool, benchmarked against independent chemical ground truth.</w:t>
      </w:r>
    </w:p>
    <w:p w14:paraId="1C238727" w14:textId="1AC1714C" w:rsidR="00A93577" w:rsidRDefault="00000000">
      <w:pPr>
        <w:spacing w:after="80"/>
      </w:pPr>
      <w:r>
        <w:rPr>
          <w:rFonts w:ascii="Arial" w:eastAsia="Arial" w:hAnsi="Arial" w:cs="Arial"/>
          <w:b/>
          <w:bCs/>
          <w:i/>
          <w:iCs/>
          <w:sz w:val="22"/>
          <w:szCs w:val="22"/>
        </w:rPr>
        <w:t xml:space="preserve">Technical Objective. </w:t>
      </w:r>
      <w:r>
        <w:rPr>
          <w:rFonts w:ascii="Arial" w:eastAsia="Arial" w:hAnsi="Arial" w:cs="Arial"/>
          <w:sz w:val="22"/>
          <w:szCs w:val="22"/>
        </w:rPr>
        <w:t xml:space="preserve">Deliver a trained, versioned classification pipeline that assigns polymer identity (PE, PP, PS, PVC) to SEM particle images, with performance independently verified against μ-FTIR-confirmed samples rather than internal annotation labels </w:t>
      </w:r>
      <w:proofErr w:type="gramStart"/>
      <w:r>
        <w:rPr>
          <w:rFonts w:ascii="Arial" w:eastAsia="Arial" w:hAnsi="Arial" w:cs="Arial"/>
          <w:sz w:val="22"/>
          <w:szCs w:val="22"/>
        </w:rPr>
        <w:t>alone  the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validation standard the field currently lacks.</w:t>
      </w:r>
    </w:p>
    <w:p w14:paraId="1A04B178" w14:textId="77777777" w:rsidR="00A93577" w:rsidRDefault="00000000">
      <w:pPr>
        <w:spacing w:after="80"/>
      </w:pPr>
      <w:r>
        <w:rPr>
          <w:rFonts w:ascii="Arial" w:eastAsia="Arial" w:hAnsi="Arial" w:cs="Arial"/>
          <w:b/>
          <w:bCs/>
          <w:i/>
          <w:iCs/>
          <w:sz w:val="22"/>
          <w:szCs w:val="22"/>
        </w:rPr>
        <w:t xml:space="preserve">Development Plan. </w:t>
      </w:r>
      <w:r>
        <w:rPr>
          <w:rFonts w:ascii="Arial" w:eastAsia="Arial" w:hAnsi="Arial" w:cs="Arial"/>
          <w:sz w:val="22"/>
          <w:szCs w:val="22"/>
        </w:rPr>
        <w:t xml:space="preserve">Fine-tune ImageNet-pretrained backbones (EfficientNet-B0 primary; ResNet-50, </w:t>
      </w:r>
      <w:proofErr w:type="spellStart"/>
      <w:r>
        <w:rPr>
          <w:rFonts w:ascii="Arial" w:eastAsia="Arial" w:hAnsi="Arial" w:cs="Arial"/>
          <w:sz w:val="22"/>
          <w:szCs w:val="22"/>
        </w:rPr>
        <w:t>ConvNeXt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-T comparators) on a consolidated </w:t>
      </w:r>
      <w:proofErr w:type="spellStart"/>
      <w:r>
        <w:rPr>
          <w:rFonts w:ascii="Arial" w:eastAsia="Arial" w:hAnsi="Arial" w:cs="Arial"/>
          <w:sz w:val="22"/>
          <w:szCs w:val="22"/>
        </w:rPr>
        <w:t>MiNa</w:t>
      </w:r>
      <w:proofErr w:type="spellEnd"/>
      <w:r>
        <w:rPr>
          <w:rFonts w:ascii="Arial" w:eastAsia="Arial" w:hAnsi="Arial" w:cs="Arial"/>
          <w:sz w:val="22"/>
          <w:szCs w:val="22"/>
        </w:rPr>
        <w:t>/</w:t>
      </w:r>
      <w:proofErr w:type="spellStart"/>
      <w:r>
        <w:rPr>
          <w:rFonts w:ascii="Arial" w:eastAsia="Arial" w:hAnsi="Arial" w:cs="Arial"/>
          <w:sz w:val="22"/>
          <w:szCs w:val="22"/>
        </w:rPr>
        <w:t>Roboflow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corpus restricted to a four-polymer panel (PE, PP, PS, PVC). Class imbalance addressed via oversampling, augmentation, and focal loss. An independent test set of ≥120 particles confirmed by μ-FTIR, including environmentally sourced particles, quantifies lab-to-field domain shift. Stratified 5-fold cross-validation reports macro F1, balanced accuracy, and per-class recall with bootstrap CIs.</w:t>
      </w:r>
    </w:p>
    <w:p w14:paraId="41191B51" w14:textId="25AB98EA" w:rsidR="00A93577" w:rsidRDefault="00000000">
      <w:pPr>
        <w:spacing w:after="80"/>
      </w:pPr>
      <w:r>
        <w:rPr>
          <w:rFonts w:ascii="Arial" w:eastAsia="Arial" w:hAnsi="Arial" w:cs="Arial"/>
          <w:b/>
          <w:bCs/>
          <w:i/>
          <w:iCs/>
          <w:sz w:val="22"/>
          <w:szCs w:val="22"/>
        </w:rPr>
        <w:t xml:space="preserve">Milestone &amp; Go/No-Go (Month 12). </w:t>
      </w:r>
      <w:proofErr w:type="gramStart"/>
      <w:r>
        <w:rPr>
          <w:rFonts w:ascii="Arial" w:eastAsia="Arial" w:hAnsi="Arial" w:cs="Arial"/>
          <w:b/>
          <w:bCs/>
          <w:sz w:val="22"/>
          <w:szCs w:val="22"/>
        </w:rPr>
        <w:t>Go</w:t>
      </w:r>
      <w:r>
        <w:rPr>
          <w:rFonts w:ascii="Arial" w:eastAsia="Arial" w:hAnsi="Arial" w:cs="Arial"/>
          <w:sz w:val="22"/>
          <w:szCs w:val="22"/>
        </w:rPr>
        <w:t xml:space="preserve">  macro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F1 ≥ 0.70, per-class recall ≥ 0.60 on the FTIR-confirmed set; proceed to a licensable, API-accessible service. </w:t>
      </w:r>
      <w:r>
        <w:rPr>
          <w:rFonts w:ascii="Arial" w:eastAsia="Arial" w:hAnsi="Arial" w:cs="Arial"/>
          <w:b/>
          <w:bCs/>
          <w:sz w:val="22"/>
          <w:szCs w:val="22"/>
        </w:rPr>
        <w:t>No-</w:t>
      </w:r>
      <w:proofErr w:type="gramStart"/>
      <w:r>
        <w:rPr>
          <w:rFonts w:ascii="Arial" w:eastAsia="Arial" w:hAnsi="Arial" w:cs="Arial"/>
          <w:b/>
          <w:bCs/>
          <w:sz w:val="22"/>
          <w:szCs w:val="22"/>
        </w:rPr>
        <w:t>Go</w:t>
      </w:r>
      <w:r>
        <w:rPr>
          <w:rFonts w:ascii="Arial" w:eastAsia="Arial" w:hAnsi="Arial" w:cs="Arial"/>
          <w:sz w:val="22"/>
          <w:szCs w:val="22"/>
        </w:rPr>
        <w:t xml:space="preserve">  report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a characterized negative-result benchmark; redirect to a scoped active-learning sub-tool.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Preliminary evidence: </w:t>
      </w:r>
      <w:r>
        <w:rPr>
          <w:rFonts w:ascii="Arial" w:eastAsia="Arial" w:hAnsi="Arial" w:cs="Arial"/>
          <w:sz w:val="22"/>
          <w:szCs w:val="22"/>
        </w:rPr>
        <w:t xml:space="preserve">this pipeline (Swin-T, NVIDIA L40S) was already stress-tested on a proxy histopathology task, resolving a majority-class collapse to macro F1 = 0.9461 with Grad-CAM interpretability confirmed (Preliminary </w:t>
      </w:r>
      <w:proofErr w:type="gramStart"/>
      <w:r>
        <w:rPr>
          <w:rFonts w:ascii="Arial" w:eastAsia="Arial" w:hAnsi="Arial" w:cs="Arial"/>
          <w:sz w:val="22"/>
          <w:szCs w:val="22"/>
        </w:rPr>
        <w:t>Studies)  de</w:t>
      </w:r>
      <w:proofErr w:type="gramEnd"/>
      <w:r>
        <w:rPr>
          <w:rFonts w:ascii="Arial" w:eastAsia="Arial" w:hAnsi="Arial" w:cs="Arial"/>
          <w:sz w:val="22"/>
          <w:szCs w:val="22"/>
        </w:rPr>
        <w:t>-risking the transfer-learning/GPU infrastructure, not the polymer-ID validation target itself.</w:t>
      </w:r>
      <w:r>
        <w:rPr>
          <w:rFonts w:ascii="Arial" w:hAnsi="Arial"/>
          <w:b w:val="0"/>
          <w:sz w:val="22"/>
        </w:rPr>
        <w:t xml:space="preserve"> Additional preliminary evidence (Preliminary Studies, below) further de-risks the transfer-learning approach itself: a cross-dataset external validation on an independent public SEM source reached 74.2% accuracy / 0.63 macro F1 (shape classes, not yet polymer identity), and a spectral classifier on real FTIR libraries (FLOPP/FLOPP-e) reached 78.4% accuracy across 14 polymer classes – neither substitutes for the μFTIR-confirmed polymer-ID validation target itself, which remains Aim 1's deliverable.</w:t>
      </w:r>
    </w:p>
    <w:p w14:paraId="7B39BA47" w14:textId="77777777" w:rsidR="00A93577" w:rsidRDefault="00000000">
      <w:pPr>
        <w:spacing w:after="80"/>
      </w:pPr>
      <w:r>
        <w:rPr>
          <w:rFonts w:ascii="Arial" w:eastAsia="Arial" w:hAnsi="Arial" w:cs="Arial"/>
          <w:b/>
          <w:bCs/>
          <w:sz w:val="22"/>
          <w:szCs w:val="22"/>
        </w:rPr>
        <w:t>Aim 2. Build the Polymer Pulmonary Hazard Index (PPHI): a versioned, evidence-graded hazard-scoring platform.</w:t>
      </w:r>
    </w:p>
    <w:p w14:paraId="70AC3D69" w14:textId="48D092E9" w:rsidR="00A93577" w:rsidRDefault="00000000">
      <w:pPr>
        <w:spacing w:after="80"/>
      </w:pPr>
      <w:r>
        <w:rPr>
          <w:rFonts w:ascii="Arial" w:eastAsia="Arial" w:hAnsi="Arial" w:cs="Arial"/>
          <w:b/>
          <w:bCs/>
          <w:i/>
          <w:iCs/>
          <w:sz w:val="22"/>
          <w:szCs w:val="22"/>
        </w:rPr>
        <w:t xml:space="preserve">Technical Objective. </w:t>
      </w:r>
      <w:r>
        <w:rPr>
          <w:rFonts w:ascii="Arial" w:eastAsia="Arial" w:hAnsi="Arial" w:cs="Arial"/>
          <w:sz w:val="22"/>
          <w:szCs w:val="22"/>
        </w:rPr>
        <w:t xml:space="preserve">Deliver a </w:t>
      </w:r>
      <w:proofErr w:type="spellStart"/>
      <w:r>
        <w:rPr>
          <w:rFonts w:ascii="Arial" w:eastAsia="Arial" w:hAnsi="Arial" w:cs="Arial"/>
          <w:sz w:val="22"/>
          <w:szCs w:val="22"/>
        </w:rPr>
        <w:t>queryable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versioned reference database and scoring tool assigning a comparative pulmonary hazard weight to each panel polymer, with every weight traceable to source studies, heterogeneity, and certainty </w:t>
      </w:r>
      <w:proofErr w:type="gramStart"/>
      <w:r>
        <w:rPr>
          <w:rFonts w:ascii="Arial" w:eastAsia="Arial" w:hAnsi="Arial" w:cs="Arial"/>
          <w:sz w:val="22"/>
          <w:szCs w:val="22"/>
        </w:rPr>
        <w:t>grade  replacing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the ad hoc, non-comparable normalization practices currently used in the field.</w:t>
      </w:r>
    </w:p>
    <w:p w14:paraId="1ABCDCA8" w14:textId="77777777" w:rsidR="00A93577" w:rsidRDefault="00000000">
      <w:pPr>
        <w:spacing w:after="80"/>
      </w:pPr>
      <w:r>
        <w:rPr>
          <w:rFonts w:ascii="Arial" w:eastAsia="Arial" w:hAnsi="Arial" w:cs="Arial"/>
          <w:b/>
          <w:bCs/>
          <w:i/>
          <w:iCs/>
          <w:sz w:val="22"/>
          <w:szCs w:val="22"/>
        </w:rPr>
        <w:t xml:space="preserve">Development Plan. </w:t>
      </w:r>
      <w:r>
        <w:rPr>
          <w:rFonts w:ascii="Arial" w:eastAsia="Arial" w:hAnsi="Arial" w:cs="Arial"/>
          <w:sz w:val="22"/>
          <w:szCs w:val="22"/>
        </w:rPr>
        <w:t>Conduct a PROSPERO-registered systematic review and random-effects meta-analysis of inhalation/intratracheal exposure studies for the four-polymer panel, extracting BALF cytokines, immune cell influx, and histopathology as standardized mean differences (Hedges’ g) with dual independent extraction. Heterogeneity (I², τ²) quantified, dose/particle size entered as meta-regression covariates, and each pooled estimate assigned a GRADE certainty rating, populating the PPHI as a licensable, documented API.</w:t>
      </w:r>
    </w:p>
    <w:p w14:paraId="5A69E814" w14:textId="04A0BE27" w:rsidR="00A93577" w:rsidRDefault="00000000">
      <w:pPr>
        <w:spacing w:after="80"/>
      </w:pPr>
      <w:r>
        <w:rPr>
          <w:rFonts w:ascii="Arial" w:eastAsia="Arial" w:hAnsi="Arial" w:cs="Arial"/>
          <w:b/>
          <w:bCs/>
          <w:i/>
          <w:iCs/>
          <w:sz w:val="22"/>
          <w:szCs w:val="22"/>
        </w:rPr>
        <w:t xml:space="preserve">Milestone &amp; Go/No-Go (Month 18). </w:t>
      </w:r>
      <w:proofErr w:type="gramStart"/>
      <w:r>
        <w:rPr>
          <w:rFonts w:ascii="Arial" w:eastAsia="Arial" w:hAnsi="Arial" w:cs="Arial"/>
          <w:b/>
          <w:bCs/>
          <w:sz w:val="22"/>
          <w:szCs w:val="22"/>
        </w:rPr>
        <w:t>Go</w:t>
      </w:r>
      <w:r>
        <w:rPr>
          <w:rFonts w:ascii="Arial" w:eastAsia="Arial" w:hAnsi="Arial" w:cs="Arial"/>
          <w:sz w:val="22"/>
          <w:szCs w:val="22"/>
        </w:rPr>
        <w:t xml:space="preserve">  pooled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estimates for ≥3 polymers with CI/GRADE rating, robust under leave-one-out; proceed to tool packaging and interface release. </w:t>
      </w:r>
      <w:r>
        <w:rPr>
          <w:rFonts w:ascii="Arial" w:eastAsia="Arial" w:hAnsi="Arial" w:cs="Arial"/>
          <w:b/>
          <w:bCs/>
          <w:sz w:val="22"/>
          <w:szCs w:val="22"/>
        </w:rPr>
        <w:t>No-</w:t>
      </w:r>
      <w:proofErr w:type="gramStart"/>
      <w:r>
        <w:rPr>
          <w:rFonts w:ascii="Arial" w:eastAsia="Arial" w:hAnsi="Arial" w:cs="Arial"/>
          <w:b/>
          <w:bCs/>
          <w:sz w:val="22"/>
          <w:szCs w:val="22"/>
        </w:rPr>
        <w:t>Go</w:t>
      </w:r>
      <w:r>
        <w:rPr>
          <w:rFonts w:ascii="Arial" w:eastAsia="Arial" w:hAnsi="Arial" w:cs="Arial"/>
          <w:sz w:val="22"/>
          <w:szCs w:val="22"/>
        </w:rPr>
        <w:t xml:space="preserve">  deliver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an evidence-gap analysis specifying additional studies needed for a scoped Phase II data-generation plan.</w:t>
      </w:r>
    </w:p>
    <w:p w14:paraId="2BF9394F" w14:textId="4BF540BD" w:rsidR="00A93577" w:rsidRDefault="00000000">
      <w:pPr>
        <w:spacing w:after="8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Expected outcomes and impact. </w:t>
      </w:r>
      <w:r>
        <w:rPr>
          <w:rFonts w:ascii="Arial" w:eastAsia="Arial" w:hAnsi="Arial" w:cs="Arial"/>
          <w:sz w:val="22"/>
          <w:szCs w:val="22"/>
        </w:rPr>
        <w:t xml:space="preserve">Two licensable </w:t>
      </w:r>
      <w:proofErr w:type="gramStart"/>
      <w:r>
        <w:rPr>
          <w:rFonts w:ascii="Arial" w:eastAsia="Arial" w:hAnsi="Arial" w:cs="Arial"/>
          <w:sz w:val="22"/>
          <w:szCs w:val="22"/>
        </w:rPr>
        <w:t>technologies  an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API-accessible polymer-ID tool and the PPHI scoring platform (code/evidence published for </w:t>
      </w:r>
      <w:proofErr w:type="gramStart"/>
      <w:r>
        <w:rPr>
          <w:rFonts w:ascii="Arial" w:eastAsia="Arial" w:hAnsi="Arial" w:cs="Arial"/>
          <w:sz w:val="22"/>
          <w:szCs w:val="22"/>
        </w:rPr>
        <w:t>transparency)  provide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the measurement foundation for Phase II commercialization to testing labs, manufacturers, and regulators.</w:t>
      </w:r>
    </w:p>
    <w:p w14:paraId="131850B6" w14:textId="77777777" w:rsidR="00A93577" w:rsidRDefault="00000000">
      <w:r>
        <w:lastRenderedPageBreak/>
        <w:br w:type="page"/>
      </w:r>
    </w:p>
    <w:p w14:paraId="26DD14C2" w14:textId="77777777" w:rsidR="00A93577" w:rsidRDefault="00000000">
      <w:pPr>
        <w:spacing w:after="80"/>
      </w:pPr>
      <w:r>
        <w:rPr>
          <w:rFonts w:ascii="Arial" w:eastAsia="Arial" w:hAnsi="Arial" w:cs="Arial"/>
          <w:b/>
          <w:bCs/>
          <w:sz w:val="22"/>
          <w:szCs w:val="22"/>
        </w:rPr>
        <w:lastRenderedPageBreak/>
        <w:t>SUPPORTING DETAIL</w:t>
      </w:r>
    </w:p>
    <w:p w14:paraId="0A722AA0" w14:textId="77777777" w:rsidR="00A93577" w:rsidRDefault="00000000">
      <w:pPr>
        <w:spacing w:after="80"/>
      </w:pPr>
      <w:r>
        <w:rPr>
          <w:rFonts w:ascii="Arial" w:eastAsia="Arial" w:hAnsi="Arial" w:cs="Arial"/>
          <w:i/>
          <w:iCs/>
          <w:sz w:val="22"/>
          <w:szCs w:val="22"/>
        </w:rPr>
        <w:t>Not part of the one-page Specific Aims attachment. Content below belongs in Research Strategy, Preliminary Studies, and Bibliography.</w:t>
      </w:r>
    </w:p>
    <w:p w14:paraId="58D9EEED" w14:textId="77777777" w:rsidR="00A93577" w:rsidRDefault="00000000">
      <w:pPr>
        <w:spacing w:after="80"/>
      </w:pPr>
      <w:r>
        <w:rPr>
          <w:rFonts w:ascii="Arial" w:eastAsia="Arial" w:hAnsi="Arial" w:cs="Arial"/>
          <w:b/>
          <w:bCs/>
          <w:sz w:val="22"/>
          <w:szCs w:val="22"/>
        </w:rPr>
        <w:t>WHAT CHANGED IN THIS REVISION, AND WHY</w:t>
      </w:r>
    </w:p>
    <w:p w14:paraId="3BAFD9C8" w14:textId="77777777" w:rsidR="00A93577" w:rsidRDefault="00000000">
      <w:pPr>
        <w:spacing w:after="8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0. Hypothesis-driven framing </w:t>
      </w:r>
      <w:proofErr w:type="gramStart"/>
      <w:r>
        <w:rPr>
          <w:rFonts w:ascii="Arial" w:eastAsia="Arial" w:hAnsi="Arial" w:cs="Arial"/>
          <w:b/>
          <w:bCs/>
          <w:sz w:val="22"/>
          <w:szCs w:val="22"/>
        </w:rPr>
        <w:t>replaced</w:t>
      </w:r>
      <w:proofErr w:type="gramEnd"/>
      <w:r>
        <w:rPr>
          <w:rFonts w:ascii="Arial" w:eastAsia="Arial" w:hAnsi="Arial" w:cs="Arial"/>
          <w:b/>
          <w:bCs/>
          <w:sz w:val="22"/>
          <w:szCs w:val="22"/>
        </w:rPr>
        <w:t xml:space="preserve"> with technology-driven framing. </w:t>
      </w:r>
      <w:r>
        <w:rPr>
          <w:rFonts w:ascii="Arial" w:eastAsia="Arial" w:hAnsi="Arial" w:cs="Arial"/>
          <w:sz w:val="22"/>
          <w:szCs w:val="22"/>
        </w:rPr>
        <w:t>Per direct guidance from the NIEHS Program Officer, both aims are now written as technology deliverables with explicit Technical Objectives, Development Plans, and Go/No-Go milestones, rather than as questions to be answered. Each aim now produces a versioned, deployable artifact (a validated classification tool; a scored reference database) rather than a scientific finding alone.</w:t>
      </w:r>
    </w:p>
    <w:p w14:paraId="6442A5C5" w14:textId="77777777" w:rsidR="00A93577" w:rsidRDefault="00000000">
      <w:pPr>
        <w:spacing w:after="8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1. Hazard replaces risk. </w:t>
      </w:r>
      <w:r>
        <w:rPr>
          <w:rFonts w:ascii="Arial" w:eastAsia="Arial" w:hAnsi="Arial" w:cs="Arial"/>
          <w:sz w:val="22"/>
          <w:szCs w:val="22"/>
        </w:rPr>
        <w:t xml:space="preserve">The prior framing predicted community lung-disease risk from drinking-water polymer composition. That requires ingested particles to reach pulmonary tissue at inflammatory doses, a pathway the cited literature does not establish, since every quantitative source administers particles intratracheally. </w:t>
      </w:r>
      <w:proofErr w:type="gramStart"/>
      <w:r>
        <w:rPr>
          <w:rFonts w:ascii="Arial" w:eastAsia="Arial" w:hAnsi="Arial" w:cs="Arial"/>
          <w:sz w:val="22"/>
          <w:szCs w:val="22"/>
        </w:rPr>
        <w:t>The technology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now characterizes hazard only, naming the pathway as an explicit open question and the target of follow-on work.</w:t>
      </w:r>
    </w:p>
    <w:p w14:paraId="6BDE67C8" w14:textId="77777777" w:rsidR="00A93577" w:rsidRDefault="00000000">
      <w:pPr>
        <w:spacing w:after="8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2. Ground truth added. </w:t>
      </w:r>
      <w:r>
        <w:rPr>
          <w:rFonts w:ascii="Arial" w:eastAsia="Arial" w:hAnsi="Arial" w:cs="Arial"/>
          <w:sz w:val="22"/>
          <w:szCs w:val="22"/>
        </w:rPr>
        <w:t>The single largest methodological gap was that no classification target had independent chemical confirmation. μ-FTIR verification of the test set converts Aim 1 from an internal-consistency exercise into a falsifiable, benchmarkable technology claim.</w:t>
      </w:r>
    </w:p>
    <w:p w14:paraId="4E404F1A" w14:textId="77777777" w:rsidR="00A93577" w:rsidRDefault="00000000">
      <w:pPr>
        <w:spacing w:after="8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3. Meta-analysis replaces normalization. </w:t>
      </w:r>
      <w:r>
        <w:rPr>
          <w:rFonts w:ascii="Arial" w:eastAsia="Arial" w:hAnsi="Arial" w:cs="Arial"/>
          <w:sz w:val="22"/>
          <w:szCs w:val="22"/>
        </w:rPr>
        <w:t>Cross-study cytokine normalization conflates bias with noise. Standardized mean differences under a random-effects model with heterogeneity quantification and GRADE certainty is the accepted method for exactly this problem, and pre-registration removes analytic flexibility.</w:t>
      </w:r>
    </w:p>
    <w:p w14:paraId="14278492" w14:textId="77777777" w:rsidR="00A93577" w:rsidRDefault="00000000">
      <w:pPr>
        <w:spacing w:after="8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4. Deployment aim removed. </w:t>
      </w:r>
      <w:r>
        <w:rPr>
          <w:rFonts w:ascii="Arial" w:eastAsia="Arial" w:hAnsi="Arial" w:cs="Arial"/>
          <w:sz w:val="22"/>
          <w:szCs w:val="22"/>
        </w:rPr>
        <w:t xml:space="preserve">Public-facing community risk scores derived from unvalidated parameters carried real potential for harm and no feasibility value. The API and model card remain as deliverables; the </w:t>
      </w:r>
      <w:proofErr w:type="spellStart"/>
      <w:r>
        <w:rPr>
          <w:rFonts w:ascii="Arial" w:eastAsia="Arial" w:hAnsi="Arial" w:cs="Arial"/>
          <w:sz w:val="22"/>
          <w:szCs w:val="22"/>
        </w:rPr>
        <w:t>Streamlit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application, ZIP-code mapping, and community reports are deferred until the underlying measurements are validated.</w:t>
      </w:r>
    </w:p>
    <w:p w14:paraId="4B158CA3" w14:textId="77777777" w:rsidR="00A93577" w:rsidRDefault="00000000">
      <w:pPr>
        <w:spacing w:after="8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5. Scope matched to mechanism. </w:t>
      </w:r>
      <w:r>
        <w:rPr>
          <w:rFonts w:ascii="Arial" w:eastAsia="Arial" w:hAnsi="Arial" w:cs="Arial"/>
          <w:sz w:val="22"/>
          <w:szCs w:val="22"/>
        </w:rPr>
        <w:t>Two aims, executable by a small team in 24 months, with no aim dependent on external data access that is not secured.</w:t>
      </w:r>
    </w:p>
    <w:p w14:paraId="14C11A84" w14:textId="77777777" w:rsidR="00A93577" w:rsidRDefault="00000000">
      <w:pPr>
        <w:spacing w:after="8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6. Preliminary infrastructure evidence upgraded. </w:t>
      </w:r>
      <w:r>
        <w:rPr>
          <w:rFonts w:ascii="Arial" w:eastAsia="Arial" w:hAnsi="Arial" w:cs="Arial"/>
          <w:sz w:val="22"/>
          <w:szCs w:val="22"/>
        </w:rPr>
        <w:t>The single-epoch CPU pilot (macro F1 = 0.439, normal-class F1 = 0.000 — a majority-class collapse) has been superseded by an 8-epoch GPU fine-tuning run (NVIDIA L40S, USF CIRCE/Helios) that resolved the collapse: macro F1 = 0.9461, normal-class F1 = 0.9153, pathological-class F1 = 0.9770, with Grad-CAM interpretability confirmed. This is preliminary infrastructure evidence on a proxy task, not performance data for Aim 1’s actual polymer-identification target.</w:t>
      </w:r>
    </w:p>
    <w:p w14:paraId="4F22F080" w14:textId="77777777" w:rsidR="00A93577" w:rsidRDefault="00000000">
      <w:pPr>
        <w:spacing w:after="8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7. Commercialization framing and page-length compliance. </w:t>
      </w:r>
      <w:r>
        <w:rPr>
          <w:rFonts w:ascii="Arial" w:eastAsia="Arial" w:hAnsi="Arial" w:cs="Arial"/>
          <w:sz w:val="22"/>
          <w:szCs w:val="22"/>
        </w:rPr>
        <w:t xml:space="preserve">Deliverables are now framed as licensable, API-accessible products (targeting environmental testing labs, industrial polymer manufacturers, and regulators) rather than unrestricted open-source releases, consistent with STTR/SBIR commercial-potential scoring; underlying code and evidence tables remain published for scientific transparency. The one-page Specific Aims section was also tightened and a hard page break </w:t>
      </w:r>
      <w:proofErr w:type="gramStart"/>
      <w:r>
        <w:rPr>
          <w:rFonts w:ascii="Arial" w:eastAsia="Arial" w:hAnsi="Arial" w:cs="Arial"/>
          <w:sz w:val="22"/>
          <w:szCs w:val="22"/>
        </w:rPr>
        <w:t>inserted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before this Supporting Detail section to ensure NIH page-limit compliance.</w:t>
      </w:r>
    </w:p>
    <w:p w14:paraId="0A714156" w14:textId="77777777" w:rsidR="00A93577" w:rsidRDefault="00000000">
      <w:pPr>
        <w:spacing w:after="80"/>
      </w:pPr>
      <w:r>
        <w:rPr>
          <w:rFonts w:ascii="Arial" w:eastAsia="Arial" w:hAnsi="Arial" w:cs="Arial"/>
          <w:b/>
          <w:bCs/>
          <w:sz w:val="22"/>
          <w:szCs w:val="22"/>
        </w:rPr>
        <w:t>PRELIMINARY STUDIES</w:t>
      </w:r>
    </w:p>
    <w:p w14:paraId="35E423C2" w14:textId="77777777" w:rsidR="00A93577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 xml:space="preserve">All work is public and reproducible at </w:t>
      </w:r>
      <w:r>
        <w:rPr>
          <w:rFonts w:ascii="Arial" w:eastAsia="Arial" w:hAnsi="Arial" w:cs="Arial"/>
          <w:i/>
          <w:iCs/>
          <w:sz w:val="22"/>
          <w:szCs w:val="22"/>
        </w:rPr>
        <w:t>github.com/SID-6921/</w:t>
      </w:r>
      <w:proofErr w:type="spellStart"/>
      <w:r>
        <w:rPr>
          <w:rFonts w:ascii="Arial" w:eastAsia="Arial" w:hAnsi="Arial" w:cs="Arial"/>
          <w:i/>
          <w:iCs/>
          <w:sz w:val="22"/>
          <w:szCs w:val="22"/>
        </w:rPr>
        <w:t>polylung</w:t>
      </w:r>
      <w:proofErr w:type="spellEnd"/>
      <w:r>
        <w:rPr>
          <w:rFonts w:ascii="Arial" w:eastAsia="Arial" w:hAnsi="Arial" w:cs="Arial"/>
          <w:i/>
          <w:iCs/>
          <w:sz w:val="22"/>
          <w:szCs w:val="22"/>
        </w:rPr>
        <w:t>-bridge-ai</w:t>
      </w:r>
      <w:r>
        <w:rPr>
          <w:rFonts w:ascii="Arial" w:eastAsia="Arial" w:hAnsi="Arial" w:cs="Arial"/>
          <w:sz w:val="22"/>
          <w:szCs w:val="22"/>
        </w:rPr>
        <w:t>. It is reported at the level it supports: these results establish that infrastructure and derivation methods function. They are not validated model performance.</w:t>
      </w:r>
    </w:p>
    <w:p w14:paraId="0C3CA711" w14:textId="77777777" w:rsidR="00A93577" w:rsidRDefault="00000000">
      <w:pPr>
        <w:spacing w:after="80"/>
      </w:pPr>
      <w:r>
        <w:rPr>
          <w:rFonts w:ascii="Arial" w:eastAsia="Arial" w:hAnsi="Arial" w:cs="Arial"/>
          <w:b/>
          <w:bCs/>
          <w:sz w:val="22"/>
          <w:szCs w:val="22"/>
        </w:rPr>
        <w:t>Training and evaluation infrastructure</w:t>
      </w:r>
    </w:p>
    <w:p w14:paraId="0DE1E5A2" w14:textId="77777777" w:rsidR="00A93577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 xml:space="preserve">A complete, reproducible training/evaluation pipeline was implemented and executed end-to-end (ImageNet-pretrained Swin-T backbone, LungHist700 H&amp;E images, binary normal/pathological classification, n=138 held-out validation: 30 normal, 108 pathological). An initial single-epoch CPU pilot with class-balanced loss showed a </w:t>
      </w:r>
      <w:r>
        <w:rPr>
          <w:rFonts w:ascii="Arial" w:eastAsia="Arial" w:hAnsi="Arial" w:cs="Arial"/>
          <w:b/>
          <w:bCs/>
          <w:sz w:val="22"/>
          <w:szCs w:val="22"/>
        </w:rPr>
        <w:t>majority-class collapse</w:t>
      </w:r>
      <w:r>
        <w:rPr>
          <w:rFonts w:ascii="Arial" w:eastAsia="Arial" w:hAnsi="Arial" w:cs="Arial"/>
          <w:sz w:val="22"/>
          <w:szCs w:val="22"/>
        </w:rPr>
        <w:t xml:space="preserve"> (accuracy 0.7826, macro F1 0.439, weighted F1 0.687, normal-class F1 0.000). Following migration to GPU infrastructure (USF CIRCE/Helios, NVIDIA L40S, ~46 GB memory, </w:t>
      </w:r>
      <w:proofErr w:type="spellStart"/>
      <w:r>
        <w:rPr>
          <w:rFonts w:ascii="Arial" w:eastAsia="Arial" w:hAnsi="Arial" w:cs="Arial"/>
          <w:sz w:val="22"/>
          <w:szCs w:val="22"/>
        </w:rPr>
        <w:t>PyTorch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2.5.1+cu124), an 8-epoch fine-tuning run completed in 4 minutes 59 seconds (SLURM job 33654808) and </w:t>
      </w:r>
      <w:r>
        <w:rPr>
          <w:rFonts w:ascii="Arial" w:eastAsia="Arial" w:hAnsi="Arial" w:cs="Arial"/>
          <w:b/>
          <w:bCs/>
          <w:sz w:val="22"/>
          <w:szCs w:val="22"/>
        </w:rPr>
        <w:t>fully resolved the collapse</w:t>
      </w:r>
      <w:r>
        <w:rPr>
          <w:rFonts w:ascii="Arial" w:eastAsia="Arial" w:hAnsi="Arial" w:cs="Arial"/>
          <w:sz w:val="22"/>
          <w:szCs w:val="22"/>
        </w:rPr>
        <w:t xml:space="preserve">: validation accuracy 96.38%, macro F1 0.9461, weighted F1 0.9635, normal-class F1 0.9153, pathological-class F1 0.9770. The final confusion matrix correctly classified 27/30 normal and 106/108 pathological validation images. Grad-CAM visualization of representative pathological images shows </w:t>
      </w:r>
      <w:r>
        <w:rPr>
          <w:rFonts w:ascii="Arial" w:eastAsia="Arial" w:hAnsi="Arial" w:cs="Arial"/>
          <w:sz w:val="22"/>
          <w:szCs w:val="22"/>
        </w:rPr>
        <w:lastRenderedPageBreak/>
        <w:t>model attention localizing to focal tissue regions, offered as interpretability support rather than pathologist-level localization.</w:t>
      </w:r>
    </w:p>
    <w:p w14:paraId="2E334302" w14:textId="77777777" w:rsidR="00A93577" w:rsidRDefault="00000000">
      <w:pPr>
        <w:spacing w:after="80"/>
      </w:pPr>
      <w:r>
        <w:rPr>
          <w:rFonts w:ascii="Arial" w:eastAsia="Arial" w:hAnsi="Arial" w:cs="Arial"/>
          <w:b/>
          <w:bCs/>
          <w:sz w:val="22"/>
          <w:szCs w:val="22"/>
        </w:rPr>
        <w:t>This demonstrates that the fine-tuning pipeline, GPU training infrastructure, class-imbalance handling, and interpretability tooling all function correctly and can resolve a genuinely imbalanced binary classification task at high performance.</w:t>
      </w:r>
      <w:r>
        <w:rPr>
          <w:rFonts w:ascii="Arial" w:eastAsia="Arial" w:hAnsi="Arial" w:cs="Arial"/>
          <w:sz w:val="22"/>
          <w:szCs w:val="22"/>
        </w:rPr>
        <w:t xml:space="preserve"> LungHist700 is a generic lung-histology proxy task, not the polymer-identification target of Aim 1: it does not use SEM imagery, does not involve polymer classes, and is not benchmarked against μ-FTIR ground truth. Its value here is technical, not substantive — it de-risks the transfer-learning and infrastructure approach Aim 1 will apply to the actual SEM/μ-FTIR panel. These remain preliminary results from an internal validation split; independent validation and leakage checks are future work.</w:t>
      </w:r>
    </w:p>
    <w:p w14:paraId="7F9E5E51" w14:textId="77777777" w:rsidR="00A93577" w:rsidRDefault="00000000">
      <w:pPr>
        <w:spacing w:after="60"/>
      </w:pPr>
      <w:r>
        <w:rPr>
          <w:noProof/>
        </w:rPr>
        <w:drawing>
          <wp:inline distT="0" distB="0" distL="0" distR="0" wp14:anchorId="2E1B5F88" wp14:editId="6B2CC210">
            <wp:extent cx="4762500" cy="2076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54B46" w14:textId="77777777" w:rsidR="00A93577" w:rsidRDefault="00000000">
      <w:pPr>
        <w:spacing w:after="80"/>
      </w:pPr>
      <w:r>
        <w:rPr>
          <w:rFonts w:ascii="Arial" w:eastAsia="Arial" w:hAnsi="Arial" w:cs="Arial"/>
          <w:i/>
          <w:iCs/>
          <w:sz w:val="18"/>
          <w:szCs w:val="18"/>
        </w:rPr>
        <w:t>Figure. CPU pilot vs. GPU fine-tuning run, all five metrics. Proxy task (LungHist700), not Aim 1’s polymer-ID target.</w:t>
      </w:r>
    </w:p>
    <w:p w14:paraId="6F75B463" w14:textId="77777777" w:rsidR="00A93577" w:rsidRDefault="00000000">
      <w:pPr>
        <w:spacing w:after="80"/>
      </w:pPr>
      <w:r>
        <w:rPr>
          <w:rFonts w:ascii="Arial" w:eastAsia="Arial" w:hAnsi="Arial" w:cs="Arial"/>
          <w:b/>
          <w:bCs/>
          <w:sz w:val="22"/>
          <w:szCs w:val="22"/>
        </w:rPr>
        <w:t>Final validation confusion matrix (n=138: 30 normal, 108 pathological)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7"/>
        <w:gridCol w:w="2697"/>
        <w:gridCol w:w="2698"/>
        <w:gridCol w:w="2698"/>
      </w:tblGrid>
      <w:tr w:rsidR="00A93577" w14:paraId="49FAF6D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D9D9D9"/>
          </w:tcPr>
          <w:p w14:paraId="119632D4" w14:textId="77777777" w:rsidR="00A93577" w:rsidRDefault="00000000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Actual \ Predicted</w:t>
            </w:r>
          </w:p>
        </w:tc>
        <w:tc>
          <w:tcPr>
            <w:tcW w:w="2500" w:type="dxa"/>
            <w:shd w:val="clear" w:color="auto" w:fill="D9D9D9"/>
          </w:tcPr>
          <w:p w14:paraId="4A28A20B" w14:textId="77777777" w:rsidR="00A93577" w:rsidRDefault="00000000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Normal</w:t>
            </w:r>
          </w:p>
        </w:tc>
        <w:tc>
          <w:tcPr>
            <w:tcW w:w="2500" w:type="dxa"/>
            <w:shd w:val="clear" w:color="auto" w:fill="D9D9D9"/>
          </w:tcPr>
          <w:p w14:paraId="13DD4E39" w14:textId="77777777" w:rsidR="00A93577" w:rsidRDefault="00000000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Pathological</w:t>
            </w:r>
          </w:p>
        </w:tc>
        <w:tc>
          <w:tcPr>
            <w:tcW w:w="2500" w:type="dxa"/>
            <w:shd w:val="clear" w:color="auto" w:fill="D9D9D9"/>
          </w:tcPr>
          <w:p w14:paraId="2C0EAC76" w14:textId="77777777" w:rsidR="00A93577" w:rsidRDefault="00000000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Total</w:t>
            </w:r>
          </w:p>
        </w:tc>
      </w:tr>
      <w:tr w:rsidR="00A93577" w14:paraId="0853E2E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3BDC9D5A" w14:textId="77777777" w:rsidR="00A93577" w:rsidRDefault="00000000">
            <w:r>
              <w:rPr>
                <w:rFonts w:ascii="Arial" w:eastAsia="Arial" w:hAnsi="Arial" w:cs="Arial"/>
                <w:sz w:val="22"/>
                <w:szCs w:val="22"/>
              </w:rPr>
              <w:t>Normal</w:t>
            </w:r>
          </w:p>
        </w:tc>
        <w:tc>
          <w:tcPr>
            <w:tcW w:w="2500" w:type="dxa"/>
          </w:tcPr>
          <w:p w14:paraId="198D5A38" w14:textId="77777777" w:rsidR="00A93577" w:rsidRDefault="00000000">
            <w:r>
              <w:rPr>
                <w:rFonts w:ascii="Arial" w:eastAsia="Arial" w:hAnsi="Arial" w:cs="Arial"/>
                <w:sz w:val="22"/>
                <w:szCs w:val="22"/>
              </w:rPr>
              <w:t>27</w:t>
            </w:r>
          </w:p>
        </w:tc>
        <w:tc>
          <w:tcPr>
            <w:tcW w:w="2500" w:type="dxa"/>
          </w:tcPr>
          <w:p w14:paraId="5ECAC59F" w14:textId="77777777" w:rsidR="00A93577" w:rsidRDefault="00000000">
            <w:r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2500" w:type="dxa"/>
          </w:tcPr>
          <w:p w14:paraId="240C5635" w14:textId="77777777" w:rsidR="00A93577" w:rsidRDefault="00000000">
            <w:r>
              <w:rPr>
                <w:rFonts w:ascii="Arial" w:eastAsia="Arial" w:hAnsi="Arial" w:cs="Arial"/>
                <w:sz w:val="22"/>
                <w:szCs w:val="22"/>
              </w:rPr>
              <w:t>30</w:t>
            </w:r>
          </w:p>
        </w:tc>
      </w:tr>
      <w:tr w:rsidR="00A93577" w14:paraId="547275A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1533B15A" w14:textId="77777777" w:rsidR="00A93577" w:rsidRDefault="00000000">
            <w:r>
              <w:rPr>
                <w:rFonts w:ascii="Arial" w:eastAsia="Arial" w:hAnsi="Arial" w:cs="Arial"/>
                <w:sz w:val="22"/>
                <w:szCs w:val="22"/>
              </w:rPr>
              <w:t>Pathological</w:t>
            </w:r>
          </w:p>
        </w:tc>
        <w:tc>
          <w:tcPr>
            <w:tcW w:w="2500" w:type="dxa"/>
          </w:tcPr>
          <w:p w14:paraId="7B27747A" w14:textId="77777777" w:rsidR="00A93577" w:rsidRDefault="00000000">
            <w:r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2500" w:type="dxa"/>
          </w:tcPr>
          <w:p w14:paraId="33AC61A9" w14:textId="77777777" w:rsidR="00A93577" w:rsidRDefault="00000000">
            <w:r>
              <w:rPr>
                <w:rFonts w:ascii="Arial" w:eastAsia="Arial" w:hAnsi="Arial" w:cs="Arial"/>
                <w:sz w:val="22"/>
                <w:szCs w:val="22"/>
              </w:rPr>
              <w:t>106</w:t>
            </w:r>
          </w:p>
        </w:tc>
        <w:tc>
          <w:tcPr>
            <w:tcW w:w="2500" w:type="dxa"/>
          </w:tcPr>
          <w:p w14:paraId="772B5540" w14:textId="77777777" w:rsidR="00A93577" w:rsidRDefault="00000000">
            <w:r>
              <w:rPr>
                <w:rFonts w:ascii="Arial" w:eastAsia="Arial" w:hAnsi="Arial" w:cs="Arial"/>
                <w:sz w:val="22"/>
                <w:szCs w:val="22"/>
              </w:rPr>
              <w:t>108</w:t>
            </w:r>
          </w:p>
        </w:tc>
      </w:tr>
    </w:tbl>
    <w:p w14:paraId="461970BF" w14:textId="77777777" w:rsidR="00A93577" w:rsidRDefault="00000000">
      <w:pPr>
        <w:spacing w:before="80" w:after="160"/>
      </w:pPr>
      <w:r>
        <w:rPr>
          <w:rFonts w:ascii="Arial" w:eastAsia="Arial" w:hAnsi="Arial" w:cs="Arial"/>
          <w:i/>
          <w:iCs/>
          <w:sz w:val="18"/>
          <w:szCs w:val="18"/>
        </w:rPr>
        <w:t>Normal precision 0.931, recall 0.900, F1 0.9153. Pathological precision 0.9725, recall 0.9815, F1 0.9770.</w:t>
      </w:r>
    </w:p>
    <w:p w14:paraId="590735BD" w14:textId="77777777" w:rsidR="00A93577" w:rsidRDefault="00000000">
      <w:pPr>
        <w:spacing w:after="60"/>
      </w:pPr>
      <w:r>
        <w:rPr>
          <w:noProof/>
        </w:rPr>
        <w:drawing>
          <wp:inline distT="0" distB="0" distL="0" distR="0" wp14:anchorId="2F1DE1F7" wp14:editId="287287D7">
            <wp:extent cx="4762500" cy="2809875"/>
            <wp:effectExtent l="0" t="0" r="0" b="0"/>
            <wp:docPr id="1274604248" name="Picture 1274604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57226" w14:textId="77777777" w:rsidR="00A93577" w:rsidRDefault="00000000">
      <w:pPr>
        <w:spacing w:after="80"/>
      </w:pPr>
      <w:r>
        <w:rPr>
          <w:rFonts w:ascii="Arial" w:eastAsia="Arial" w:hAnsi="Arial" w:cs="Arial"/>
          <w:i/>
          <w:iCs/>
          <w:sz w:val="18"/>
          <w:szCs w:val="18"/>
        </w:rPr>
        <w:t>Figure. Representative LungHist700 H&amp;E images (normal and pathological), illustrating the proxy classification task.</w:t>
      </w:r>
    </w:p>
    <w:p w14:paraId="5A18D127" w14:textId="77777777" w:rsidR="00A93577" w:rsidRDefault="00000000">
      <w:pPr>
        <w:spacing w:after="120"/>
      </w:pPr>
      <w:r>
        <w:rPr>
          <w:noProof/>
        </w:rPr>
        <w:lastRenderedPageBreak/>
        <w:drawing>
          <wp:inline distT="0" distB="0" distL="0" distR="0" wp14:anchorId="4CD2050B" wp14:editId="30184AD8">
            <wp:extent cx="4762500" cy="1590675"/>
            <wp:effectExtent l="0" t="0" r="0" b="0"/>
            <wp:docPr id="562310949" name="Picture 5623109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CAB99" w14:textId="77777777" w:rsidR="00A93577" w:rsidRDefault="00000000">
      <w:pPr>
        <w:spacing w:after="80"/>
      </w:pPr>
      <w:r>
        <w:rPr>
          <w:rFonts w:ascii="Arial" w:eastAsia="Arial" w:hAnsi="Arial" w:cs="Arial"/>
          <w:i/>
          <w:iCs/>
          <w:sz w:val="18"/>
          <w:szCs w:val="18"/>
        </w:rPr>
        <w:t>Figure. Grad-CAM interpretability panel (original H&amp;E, heatmap, overlay) for a representative pathological image.</w:t>
      </w:r>
    </w:p>
    <w:p w14:paraId="37EFCBAC" w14:textId="77777777" w:rsidR="00A93577" w:rsidRDefault="00000000">
      <w:pPr>
        <w:spacing w:after="80"/>
      </w:pPr>
      <w:r>
        <w:rPr>
          <w:rFonts w:ascii="Arial" w:eastAsia="Arial" w:hAnsi="Arial" w:cs="Arial"/>
          <w:b/>
          <w:bCs/>
          <w:sz w:val="22"/>
          <w:szCs w:val="22"/>
        </w:rPr>
        <w:t>Hazard-weight derivation procedure</w:t>
      </w:r>
    </w:p>
    <w:p w14:paraId="05655D14" w14:textId="77777777" w:rsidR="00A93577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 xml:space="preserve">BALF cytokine values (TNF-α, IL-1β, IL-5, IL-6, MIP-2α) were extracted from a murine polystyrene exposure study </w:t>
      </w:r>
      <w:r>
        <w:rPr>
          <w:rFonts w:ascii="Arial" w:eastAsia="Arial" w:hAnsi="Arial" w:cs="Arial"/>
          <w:i/>
          <w:iCs/>
          <w:sz w:val="22"/>
          <w:szCs w:val="22"/>
        </w:rPr>
        <w:t>(Balkrishna 2025, n=8/group)</w:t>
      </w:r>
      <w:r>
        <w:rPr>
          <w:rFonts w:ascii="Arial" w:eastAsia="Arial" w:hAnsi="Arial" w:cs="Arial"/>
          <w:sz w:val="22"/>
          <w:szCs w:val="22"/>
        </w:rPr>
        <w:t xml:space="preserve"> and an automated normalization routine produced a polymer weight, establishing the extraction-to-weight toolchain end-to-end. Values were read from published figures, and single-polymer normalization carries no comparative information, which is precisely why Aim 2 replaces this procedure with formal meta-analysis rather than extending it.</w:t>
      </w:r>
    </w:p>
    <w:p w14:paraId="1CB088B5" w14:textId="77777777" w:rsidR="00A93577" w:rsidRDefault="00000000">
      <w:pPr>
        <w:spacing w:after="80"/>
      </w:pPr>
      <w:r>
        <w:rPr>
          <w:rFonts w:ascii="Arial" w:eastAsia="Arial" w:hAnsi="Arial" w:cs="Arial"/>
          <w:b/>
          <w:bCs/>
          <w:sz w:val="22"/>
          <w:szCs w:val="22"/>
        </w:rPr>
        <w:t>Interface and integration feasibility</w:t>
      </w:r>
    </w:p>
    <w:p w14:paraId="3B794353" w14:textId="77777777" w:rsidR="00A93577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 xml:space="preserve">The module interface contract was specified and verified; 100 sequential calls returned 100% success at 8.79 </w:t>
      </w:r>
      <w:proofErr w:type="spellStart"/>
      <w:r>
        <w:rPr>
          <w:rFonts w:ascii="Arial" w:eastAsia="Arial" w:hAnsi="Arial" w:cs="Arial"/>
          <w:sz w:val="22"/>
          <w:szCs w:val="22"/>
        </w:rPr>
        <w:t>ms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median, 13.11 </w:t>
      </w:r>
      <w:proofErr w:type="spellStart"/>
      <w:r>
        <w:rPr>
          <w:rFonts w:ascii="Arial" w:eastAsia="Arial" w:hAnsi="Arial" w:cs="Arial"/>
          <w:sz w:val="22"/>
          <w:szCs w:val="22"/>
        </w:rPr>
        <w:t>ms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p95. </w:t>
      </w:r>
      <w:r>
        <w:rPr>
          <w:rFonts w:ascii="Arial" w:eastAsia="Arial" w:hAnsi="Arial" w:cs="Arial"/>
          <w:b/>
          <w:bCs/>
          <w:sz w:val="22"/>
          <w:szCs w:val="22"/>
        </w:rPr>
        <w:t>These were measured against a mock endpoint</w:t>
      </w:r>
      <w:r>
        <w:rPr>
          <w:rFonts w:ascii="Arial" w:eastAsia="Arial" w:hAnsi="Arial" w:cs="Arial"/>
          <w:sz w:val="22"/>
          <w:szCs w:val="22"/>
        </w:rPr>
        <w:t xml:space="preserve"> and characterize serialization and API overhead, not model inference. They establish that the service scaffolding and schema are sound.</w:t>
      </w:r>
    </w:p>
    <w:p>
      <w:pPr/>
      <w:r>
        <w:rPr>
          <w:rFonts w:ascii="Arial" w:hAnsi="Arial"/>
          <w:b/>
          <w:sz w:val="22"/>
        </w:rPr>
        <w:t>Microplastic SEM shape-classification pipeline and cross-dataset validation</w:t>
      </w:r>
    </w:p>
    <w:p>
      <w:pPr/>
      <w:r>
        <w:rPr>
          <w:rFonts w:ascii="Arial" w:hAnsi="Arial"/>
          <w:b w:val="0"/>
          <w:sz w:val="22"/>
        </w:rPr>
        <w:t>A separate, image-based training/evaluation/explainability/robustness pipeline was built and run on a public SEM microplastic dataset (Microplastics_SEM, Univ. of Toronto; particle-shape labels only – fibre/bead/fragment, no chemical polymer confirmation). Swin-T, ResNet-50, and EfficientNet-B0 were fine-tuned and initially reached ~100% in-dataset accuracy; diagnostic testing (documented at github.com/SID-6921/polylung-bridge-ai, evidence/public/sem_shape/data_leakage_notes.md) traced this to a source-imaging-session confound in the public dataset, not genuine classification capability, and this is reported as an invalid result rather than cited as performance evidence.</w:t>
      </w:r>
    </w:p>
    <w:p>
      <w:pPr/>
      <w:r>
        <w:rPr>
          <w:rFonts w:ascii="Arial" w:hAnsi="Arial"/>
          <w:b w:val="0"/>
          <w:sz w:val="22"/>
        </w:rPr>
        <w:t>To obtain a genuine generalization estimate, the trained Swin-T model was evaluated, with no retraining or fine-tuning, on a completely independent public dataset from a different institution (CUNY biosolids μFTIR dataset, n=697 externally-labeled images). This yielded 67.4% accuracy / 0.51 macro F1, and a subsequent learning-rate sweep with early stopping on validation macro F1 (no test-set leakage) improved this to 74.2% accuracy / 0.63 macro F1, with bead-class precision improving from 2.6% to 100% (recall remains low, 28.6%, reflecting a real bead-class data-scarcity limitation that is explicitly documented). This is the strongest available preliminary evidence that the proposed transfer-learning approach generalizes, at a modest but genuine level, across independent SEM/particle-imaging sources – while making clear that shape classification is not yet polymer classification, and that Aim 1's actual validation target (μFTIR-confirmed polymer identity) remains the object of the proposed work.</w:t>
      </w:r>
    </w:p>
    <w:p>
      <w:pPr/>
      <w:r>
        <w:rPr>
          <w:rFonts w:ascii="Arial" w:hAnsi="Arial"/>
          <w:b/>
          <w:sz w:val="22"/>
        </w:rPr>
        <w:t>Spectral polymer classification pipeline (FLOPP/FLOPP-e)</w:t>
      </w:r>
    </w:p>
    <w:p>
      <w:pPr/>
      <w:r>
        <w:rPr>
          <w:rFonts w:ascii="Arial" w:hAnsi="Arial"/>
          <w:b w:val="0"/>
          <w:sz w:val="22"/>
        </w:rPr>
        <w:t>A second, non-confounded preliminary result was generated using real FTIR spectral libraries: the Rochman Lab's FLOPP (186 spectra, fresh reference material) and FLOPP-e (195 spectra, environmentally weathered) ATR-FTIR libraries spanning 14–15 polymer classes including PE, PP, PS, and PVC. A classifier trained on FLOPP and evaluated on a held-out stratified test split reached 78.4% accuracy and macro AUC 0.97 across the 14 classes. Externally validating this same model on FLOPP-e (weathered spectra, a genuine domain-shift test, not a random split) held accuracy at 72.1% but macro F1 fell to 0.44, showing that environmental weathering measurably degrades polymer identification performance on less-common classes. This is a clean, non-confounded preliminary result directly supporting feasibility of the spectral-identification component of Aim 1, and the weathering-driven degradation is itself a motivating finding for the proposed work.</w:t>
      </w:r>
    </w:p>
    <w:p>
      <w:pPr/>
      <w:r>
        <w:rPr>
          <w:rFonts w:ascii="Arial" w:hAnsi="Arial"/>
          <w:b/>
          <w:sz w:val="22"/>
        </w:rPr>
        <w:t>Public dataset landscape for Aim 1 ground truth</w:t>
      </w:r>
    </w:p>
    <w:p>
      <w:pPr/>
      <w:r>
        <w:rPr>
          <w:rFonts w:ascii="Arial" w:hAnsi="Arial"/>
          <w:b w:val="0"/>
          <w:sz w:val="22"/>
        </w:rPr>
        <w:t>A structured survey of public datasets relevant to Aim 1 was completed. Confirmed real, usable resources include Microplastics_SEM (Univ. of Toronto, Mendeley, CC BY 4.0; shape-labeled, no polymer chemistry), FLOPP/FLOPP-e (Rochman Lab; spectra only, no imaging), and – newly located, not previously indexed under an expected name – a genuine paired SEM-EDS + μFTIR dataset from Universidade Estadual de Campinas (UNICAMP), published Mendeley Data DOI 10.17632/jswcfsg96s.2. This dataset contains 50 particles with confirmed polymer identity and 15 with both a confirmed polymer label and a paired SEM-EDS image (PE, PP, PS, PA, PVC) – the closest existing public analog to the SEM+μFTIR-paired benchmark Aim 1 proposes to build at scale, and useful as a small external reference/validation set. Consistent with the survey overall, no public dataset pairs SEM images with μFTIR spectra at scale, confirming the identified gap is real and directly motivates Aim 1.</w:t>
      </w:r>
    </w:p>
    <w:p w14:paraId="36188A24" w14:textId="77777777" w:rsidR="00A93577" w:rsidRDefault="00000000">
      <w:pPr>
        <w:spacing w:after="80"/>
      </w:pPr>
      <w:r>
        <w:rPr>
          <w:rFonts w:ascii="Arial" w:eastAsia="Arial" w:hAnsi="Arial" w:cs="Arial"/>
          <w:b/>
          <w:bCs/>
          <w:sz w:val="22"/>
          <w:szCs w:val="22"/>
        </w:rPr>
        <w:t>Clinical cohort</w:t>
      </w:r>
    </w:p>
    <w:p w14:paraId="66784963" w14:textId="77777777" w:rsidR="00A93577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 xml:space="preserve">The previously proposed validation cohort is not accessible; the partner has declined sharing pending agreement. </w:t>
      </w:r>
      <w:r>
        <w:rPr>
          <w:rFonts w:ascii="Arial" w:eastAsia="Arial" w:hAnsi="Arial" w:cs="Arial"/>
          <w:b/>
          <w:bCs/>
          <w:sz w:val="22"/>
          <w:szCs w:val="22"/>
        </w:rPr>
        <w:t>No aim now depends on it.</w:t>
      </w:r>
      <w:r>
        <w:rPr>
          <w:rFonts w:ascii="Arial" w:eastAsia="Arial" w:hAnsi="Arial" w:cs="Arial"/>
          <w:sz w:val="22"/>
          <w:szCs w:val="22"/>
        </w:rPr>
        <w:t xml:space="preserve"> Ingestion, schema, preprocessing, and audit-logging components will be validated with synthetic and proxy data, and acceptance criteria pre-registered, so a clean pre-specified run is possible if access is later granted.</w:t>
      </w:r>
    </w:p>
    <w:p w14:paraId="2FA451A7" w14:textId="77777777" w:rsidR="00A93577" w:rsidRDefault="00000000">
      <w:pPr>
        <w:spacing w:after="80"/>
      </w:pPr>
      <w:r>
        <w:rPr>
          <w:rFonts w:ascii="Arial" w:eastAsia="Arial" w:hAnsi="Arial" w:cs="Arial"/>
          <w:b/>
          <w:bCs/>
          <w:sz w:val="22"/>
          <w:szCs w:val="22"/>
        </w:rPr>
        <w:t>RIGOR, LIMITATIONS, AND MITIGATION</w:t>
      </w:r>
    </w:p>
    <w:p w14:paraId="4DDD42B8" w14:textId="77777777" w:rsidR="00A93577" w:rsidRDefault="00000000">
      <w:pPr>
        <w:spacing w:after="8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Exposure pathway. </w:t>
      </w:r>
      <w:r>
        <w:rPr>
          <w:rFonts w:ascii="Arial" w:eastAsia="Arial" w:hAnsi="Arial" w:cs="Arial"/>
          <w:sz w:val="22"/>
          <w:szCs w:val="22"/>
        </w:rPr>
        <w:t xml:space="preserve">Whether polymers present in an environmental matrix reach pulmonary tissue at inflammatory doses is unresolved. Scope is therefore restricted to hazard; no risk claim is made.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Evidence maturity. </w:t>
      </w:r>
      <w:r>
        <w:rPr>
          <w:rFonts w:ascii="Arial" w:eastAsia="Arial" w:hAnsi="Arial" w:cs="Arial"/>
          <w:sz w:val="22"/>
          <w:szCs w:val="22"/>
        </w:rPr>
        <w:t xml:space="preserve">Comparative polymer dose-response data are sparse and heterogeneous; GRADE ratings and leave-one-out analysis make this visible rather than hidden, and an inconclusive synthesis is a valid outcome.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Data scarcity. </w:t>
      </w:r>
      <w:r>
        <w:rPr>
          <w:rFonts w:ascii="Arial" w:eastAsia="Arial" w:hAnsi="Arial" w:cs="Arial"/>
          <w:sz w:val="22"/>
          <w:szCs w:val="22"/>
        </w:rPr>
        <w:t xml:space="preserve">Open SEM corpora are small; hence the four-polymer scope, cross-validation, precision analysis, and pre-committed negative-result reporting.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Domain shift. </w:t>
      </w:r>
      <w:r>
        <w:rPr>
          <w:rFonts w:ascii="Arial" w:eastAsia="Arial" w:hAnsi="Arial" w:cs="Arial"/>
          <w:sz w:val="22"/>
          <w:szCs w:val="22"/>
        </w:rPr>
        <w:t xml:space="preserve">Training imagery is largely laboratory-prepared; environmental particles are included in the FTIR-confirmed test set so degradation is measured, not assumed.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Not a clinical or regulatory instrument. </w:t>
      </w:r>
      <w:r>
        <w:rPr>
          <w:rFonts w:ascii="Arial" w:eastAsia="Arial" w:hAnsi="Arial" w:cs="Arial"/>
          <w:sz w:val="22"/>
          <w:szCs w:val="22"/>
        </w:rPr>
        <w:t>Outputs are research measurements for investigators.</w:t>
      </w:r>
    </w:p>
    <w:p w14:paraId="3C555886" w14:textId="77777777" w:rsidR="00A93577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 xml:space="preserve">All </w:t>
      </w:r>
      <w:proofErr w:type="gramStart"/>
      <w:r>
        <w:rPr>
          <w:rFonts w:ascii="Arial" w:eastAsia="Arial" w:hAnsi="Arial" w:cs="Arial"/>
          <w:sz w:val="22"/>
          <w:szCs w:val="22"/>
        </w:rPr>
        <w:t>code,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extraction sheets, derived weights, and evaluation artifacts are version-controlled and public; reported metrics are emitted directly from logged artifacts rather than transcribed.</w:t>
      </w:r>
    </w:p>
    <w:p w14:paraId="3131D1B1" w14:textId="77777777" w:rsidR="00A93577" w:rsidRDefault="00000000">
      <w:pPr>
        <w:spacing w:after="80"/>
      </w:pPr>
      <w:r>
        <w:rPr>
          <w:rFonts w:ascii="Arial" w:eastAsia="Arial" w:hAnsi="Arial" w:cs="Arial"/>
          <w:b/>
          <w:bCs/>
          <w:sz w:val="22"/>
          <w:szCs w:val="22"/>
        </w:rPr>
        <w:t>ITEMS REQUIRING ACTION BEFORE SUBMISSION</w:t>
      </w:r>
    </w:p>
    <w:p w14:paraId="5F4631F0" w14:textId="77777777" w:rsidR="00A93577" w:rsidRDefault="00000000">
      <w:pPr>
        <w:spacing w:after="80"/>
      </w:pPr>
      <w:r>
        <w:rPr>
          <w:rFonts w:ascii="Arial" w:eastAsia="Arial" w:hAnsi="Arial" w:cs="Arial"/>
          <w:b/>
          <w:bCs/>
          <w:sz w:val="22"/>
          <w:szCs w:val="22"/>
        </w:rPr>
        <w:t>Confirm the mechanism (R21 vs. STTR/SBIR) with the Program Officer and align budget/timeline structure accordingly, given the technology-driven reframing above.</w:t>
      </w:r>
    </w:p>
    <w:p w14:paraId="22F6BEB3" w14:textId="77777777" w:rsidR="00A93577" w:rsidRDefault="00000000">
      <w:pPr>
        <w:spacing w:after="80"/>
      </w:pPr>
      <w:r>
        <w:rPr>
          <w:rFonts w:ascii="Arial" w:hAnsi="Arial"/>
          <w:b/>
          <w:sz w:val="22"/>
        </w:rPr>
        <w:t>RESOLVED. CPU-pilot metric discrepancy reconciled: this draft uses Selina's verified spreadsheet figures (macro F1 = 0.439, normal F1 = 0.000) throughout; no remaining instances of the earlier 0.69 figure were found.</w:t>
      </w:r>
    </w:p>
    <w:p w14:paraId="6EFE8BD4" w14:textId="77777777" w:rsidR="00A93577" w:rsidRDefault="00000000">
      <w:pPr>
        <w:spacing w:after="80"/>
      </w:pPr>
      <w:r>
        <w:rPr>
          <w:rFonts w:ascii="Arial" w:hAnsi="Arial"/>
          <w:sz w:val="22"/>
        </w:rPr>
        <w:t>RESOLVED. EMBO Molecular Medicine author list confirmed: Emmanouela Epeslidou, Julia S. Scott, Bim de Klein, Jeremy Tan Cudia, Barbro Melgert, and Stefan Prekovic (doi:10.1038/s44321-025-00353-w, published 11 Dec 2025). Key References updated accordingly.</w:t>
      </w:r>
    </w:p>
    <w:p w14:paraId="364723B3" w14:textId="77777777" w:rsidR="00A93577" w:rsidRDefault="00000000">
      <w:pPr>
        <w:spacing w:after="80"/>
      </w:pPr>
      <w:r>
        <w:rPr>
          <w:rFonts w:ascii="Arial" w:hAnsi="Arial"/>
          <w:sz w:val="22"/>
        </w:rPr>
        <w:t>Secure μ-FTIR access (institutional core or collaborator) with a letter of support, because Aim 1’s ground-truth claim depends on it. Note: the UNICAMP contributor identified above (Dataset.xlsx contact, p118405@dac.unicamp.br) has already produced paired SEM-EDS+μFTIR data and may be worth approaching as a potential collaborator or access lead, in addition to institutional core facility options.</w:t>
      </w:r>
    </w:p>
    <w:p w14:paraId="62316237" w14:textId="77777777" w:rsidR="00A93577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>Register the systematic review protocol on PROSPERO prior to submission and cite the registration number in Aim 2.</w:t>
      </w:r>
    </w:p>
    <w:p w14:paraId="1B91D02B" w14:textId="77777777" w:rsidR="00A93577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lastRenderedPageBreak/>
        <w:t>Obtain a letter of support from any collaborating institution referenced in the application.</w:t>
      </w:r>
    </w:p>
    <w:p w14:paraId="43EBC296" w14:textId="77777777" w:rsidR="00A93577" w:rsidRDefault="00000000">
      <w:pPr>
        <w:spacing w:after="80"/>
      </w:pPr>
      <w:proofErr w:type="gramStart"/>
      <w:proofErr w:type="gramEnd"/>
      <w:r>
        <w:rPr>
          <w:rFonts w:ascii="Arial" w:hAnsi="Arial"/>
          <w:sz w:val="22"/>
        </w:rPr>
        <w:t>RESOLVED (remove both). "Thapa 2026, Food Bioscience" could not be located under this author/journal/year in PubMed or general search – no such paper was found. PMC11728634 is a different, unrelated article (Zhang et al., "Integrative Analysis of Pharmacology and Transcriptomics Predicts Resveratrol Will Ameliorate Microplastics-Induced Lung Damage," Toxics 12(12):910, 2024) – not the intended citation. Both references should be removed from the application rather than cited.</w:t>
      </w:r>
    </w:p>
    <w:p w14:paraId="4694BA7A" w14:textId="77777777" w:rsidR="00A93577" w:rsidRDefault="00000000">
      <w:pPr>
        <w:spacing w:after="80"/>
      </w:pPr>
      <w:r>
        <w:rPr>
          <w:rFonts w:ascii="Arial" w:hAnsi="Arial"/>
          <w:sz w:val="22"/>
        </w:rPr>
        <w:t>RESOLVED. Verified programmatically: document font is Arial 11pt throughout, meeting the NIH requirement (Arial, Georgia, Helvetica, or Palatino Linotype, ≥11pt, ≥0.5" margins).</w:t>
      </w:r>
    </w:p>
    <w:p w14:paraId="52C2A6D2" w14:textId="77777777" w:rsidR="00A93577" w:rsidRDefault="00000000">
      <w:pPr>
        <w:spacing w:after="80"/>
      </w:pPr>
      <w:r>
        <w:rPr>
          <w:rFonts w:ascii="Arial" w:eastAsia="Arial" w:hAnsi="Arial" w:cs="Arial"/>
          <w:b/>
          <w:bCs/>
          <w:sz w:val="22"/>
          <w:szCs w:val="22"/>
        </w:rPr>
        <w:t>KEY REFERENCES</w:t>
      </w:r>
    </w:p>
    <w:p w14:paraId="1086B197" w14:textId="77777777" w:rsidR="00A93577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>Danso IK, Woo JH, Lee K (2022). Pulmonary Toxicity of Polystyrene, Polypropylene, and Polyvinyl Chloride Microplastics in Mice. Molecules 27(22):7926. doi:10.3390/molecules27227926.</w:t>
      </w:r>
    </w:p>
    <w:p w14:paraId="1A57A588" w14:textId="77777777" w:rsidR="00A93577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 xml:space="preserve">Balkrishna A, Tiwari A, Sinha S, Kumari A, Gohel V, Dev R, Bhattacharya K, Varshney A (2025). Polystyrene microplastic induced airway hyper-responsiveness and pulmonary inflammation are mitigated by </w:t>
      </w:r>
      <w:proofErr w:type="spellStart"/>
      <w:r>
        <w:rPr>
          <w:rFonts w:ascii="Arial" w:eastAsia="Arial" w:hAnsi="Arial" w:cs="Arial"/>
          <w:sz w:val="22"/>
          <w:szCs w:val="22"/>
        </w:rPr>
        <w:t>Bronchom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treatment in murine </w:t>
      </w:r>
      <w:proofErr w:type="gramStart"/>
      <w:r>
        <w:rPr>
          <w:rFonts w:ascii="Arial" w:eastAsia="Arial" w:hAnsi="Arial" w:cs="Arial"/>
          <w:sz w:val="22"/>
          <w:szCs w:val="22"/>
        </w:rPr>
        <w:t>model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of lung disease. Biomedicine &amp; Pharmacotherapy 187:118122. PMID: 40319658.</w:t>
      </w:r>
    </w:p>
    <w:p w14:paraId="2F76044F" w14:textId="77777777" w:rsidR="00A93577" w:rsidRDefault="00000000">
      <w:pPr>
        <w:spacing w:after="80"/>
      </w:pPr>
      <w:proofErr w:type="spellStart"/>
      <w:r>
        <w:rPr>
          <w:rFonts w:ascii="Arial" w:eastAsia="Arial" w:hAnsi="Arial" w:cs="Arial"/>
          <w:sz w:val="22"/>
          <w:szCs w:val="22"/>
        </w:rPr>
        <w:t>Bardawil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C, et al. (2026). Micro- and </w:t>
      </w:r>
      <w:proofErr w:type="spellStart"/>
      <w:r>
        <w:rPr>
          <w:rFonts w:ascii="Arial" w:eastAsia="Arial" w:hAnsi="Arial" w:cs="Arial"/>
          <w:sz w:val="22"/>
          <w:szCs w:val="22"/>
        </w:rPr>
        <w:t>Nanoplastics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and Pulmonary Health: The Current State of Research. Microplastics 5(1):29. doi:10.3390/microplastics5010029.</w:t>
      </w:r>
    </w:p>
    <w:p w14:paraId="5D90237D" w14:textId="77777777" w:rsidR="00A93577" w:rsidRDefault="00000000">
      <w:pPr>
        <w:spacing w:after="80"/>
      </w:pPr>
      <w:r>
        <w:rPr>
          <w:rFonts w:ascii="Arial" w:hAnsi="Arial"/>
          <w:sz w:val="22"/>
        </w:rPr>
        <w:t>Epeslidou E, Scott JS, de Klein B, Cudia JT, Melgert B, Prekovic S (2025). Microplastics as environmental modifiers of lung disease. EMBO Molecular Medicine. doi:10.1038/s44321-025-00353-w.</w:t>
      </w:r>
    </w:p>
    <w:p w14:paraId="7DAE559D" w14:textId="77777777" w:rsidR="00A93577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 xml:space="preserve">Rezvani H, Zarrabi N, Mehta I, Kolios C, Jaafar HA, Kao C-H, Saeedi S, Yousefi N (2024). Morphological Detection and Classification of Microplastics and </w:t>
      </w:r>
      <w:proofErr w:type="spellStart"/>
      <w:r>
        <w:rPr>
          <w:rFonts w:ascii="Arial" w:eastAsia="Arial" w:hAnsi="Arial" w:cs="Arial"/>
          <w:sz w:val="22"/>
          <w:szCs w:val="22"/>
        </w:rPr>
        <w:t>Nanoplastics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Emerged from Consumer Products by Deep Learning. arXiv:2409.13688. [</w:t>
      </w:r>
      <w:proofErr w:type="spellStart"/>
      <w:r>
        <w:rPr>
          <w:rFonts w:ascii="Arial" w:eastAsia="Arial" w:hAnsi="Arial" w:cs="Arial"/>
          <w:sz w:val="22"/>
          <w:szCs w:val="22"/>
        </w:rPr>
        <w:t>MiNa</w:t>
      </w:r>
      <w:proofErr w:type="spellEnd"/>
      <w:r>
        <w:rPr>
          <w:rFonts w:ascii="Arial" w:eastAsia="Arial" w:hAnsi="Arial" w:cs="Arial"/>
          <w:sz w:val="22"/>
          <w:szCs w:val="22"/>
        </w:rPr>
        <w:t>; 105 annotated SEM images.]</w:t>
      </w:r>
    </w:p>
    <w:p w14:paraId="241754C2" w14:textId="77777777" w:rsidR="00A93577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>Shi B, et al. (2022). Automatic quantification and classification of microplastics in scanning electron micrographs via deep learning. Science of The Total Environment 825:153903.</w:t>
      </w:r>
    </w:p>
    <w:p>
      <w:pPr/>
      <w:r>
        <w:rPr>
          <w:rFonts w:ascii="Arial" w:hAnsi="Arial"/>
          <w:b w:val="0"/>
          <w:sz w:val="22"/>
        </w:rPr>
        <w:t>Shi B, et al. (2022). Microplastics_SEM dataset. Mendeley Data. doi:10.17632/z6459vntbr.3.</w:t>
      </w:r>
    </w:p>
    <w:p>
      <w:pPr/>
      <w:r>
        <w:rPr>
          <w:rFonts w:ascii="Arial" w:hAnsi="Arial"/>
          <w:b w:val="0"/>
          <w:sz w:val="22"/>
        </w:rPr>
        <w:t>De Frond H, et al. (2021). FLOPP/FLOPP-e ATR-FTIR spectral libraries. Analytical Chemistry 93(48):15878-15885.</w:t>
      </w:r>
    </w:p>
    <w:p>
      <w:pPr/>
      <w:r>
        <w:rPr>
          <w:rFonts w:ascii="Arial" w:hAnsi="Arial"/>
          <w:b w:val="0"/>
          <w:sz w:val="22"/>
        </w:rPr>
        <w:t>UNICAMP contributor (2026). Microplastics as stratigraphic tracers of post-1950 deposition in a reworked tropical estuary, Brazil (paired SEM-EDS + microFTIR dataset). Mendeley Data. doi:10.17632/jswcfsg96s.2.</w:t>
      </w:r>
    </w:p>
    <w:sectPr w:rsidR="00A93577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D61778"/>
    <w:multiLevelType w:val="hybridMultilevel"/>
    <w:tmpl w:val="2B50EC52"/>
    <w:lvl w:ilvl="0" w:tplc="84A8BE34">
      <w:start w:val="1"/>
      <w:numFmt w:val="bullet"/>
      <w:lvlText w:val="●"/>
      <w:lvlJc w:val="left"/>
      <w:pPr>
        <w:ind w:left="720" w:hanging="360"/>
      </w:pPr>
    </w:lvl>
    <w:lvl w:ilvl="1" w:tplc="53AAF050">
      <w:start w:val="1"/>
      <w:numFmt w:val="bullet"/>
      <w:lvlText w:val="○"/>
      <w:lvlJc w:val="left"/>
      <w:pPr>
        <w:ind w:left="1440" w:hanging="360"/>
      </w:pPr>
    </w:lvl>
    <w:lvl w:ilvl="2" w:tplc="C2D62E9E">
      <w:start w:val="1"/>
      <w:numFmt w:val="bullet"/>
      <w:lvlText w:val="■"/>
      <w:lvlJc w:val="left"/>
      <w:pPr>
        <w:ind w:left="2160" w:hanging="360"/>
      </w:pPr>
    </w:lvl>
    <w:lvl w:ilvl="3" w:tplc="C0065FBA">
      <w:start w:val="1"/>
      <w:numFmt w:val="bullet"/>
      <w:lvlText w:val="●"/>
      <w:lvlJc w:val="left"/>
      <w:pPr>
        <w:ind w:left="2880" w:hanging="360"/>
      </w:pPr>
    </w:lvl>
    <w:lvl w:ilvl="4" w:tplc="B734B9BA">
      <w:start w:val="1"/>
      <w:numFmt w:val="bullet"/>
      <w:lvlText w:val="○"/>
      <w:lvlJc w:val="left"/>
      <w:pPr>
        <w:ind w:left="3600" w:hanging="360"/>
      </w:pPr>
    </w:lvl>
    <w:lvl w:ilvl="5" w:tplc="B6CADBE4">
      <w:start w:val="1"/>
      <w:numFmt w:val="bullet"/>
      <w:lvlText w:val="■"/>
      <w:lvlJc w:val="left"/>
      <w:pPr>
        <w:ind w:left="4320" w:hanging="360"/>
      </w:pPr>
    </w:lvl>
    <w:lvl w:ilvl="6" w:tplc="4B963018">
      <w:start w:val="1"/>
      <w:numFmt w:val="bullet"/>
      <w:lvlText w:val="●"/>
      <w:lvlJc w:val="left"/>
      <w:pPr>
        <w:ind w:left="5040" w:hanging="360"/>
      </w:pPr>
    </w:lvl>
    <w:lvl w:ilvl="7" w:tplc="71703E2E">
      <w:start w:val="1"/>
      <w:numFmt w:val="bullet"/>
      <w:lvlText w:val="●"/>
      <w:lvlJc w:val="left"/>
      <w:pPr>
        <w:ind w:left="5760" w:hanging="360"/>
      </w:pPr>
    </w:lvl>
    <w:lvl w:ilvl="8" w:tplc="BE02D852">
      <w:start w:val="1"/>
      <w:numFmt w:val="bullet"/>
      <w:lvlText w:val="●"/>
      <w:lvlJc w:val="left"/>
      <w:pPr>
        <w:ind w:left="6480" w:hanging="360"/>
      </w:pPr>
    </w:lvl>
  </w:abstractNum>
  <w:num w:numId="1" w16cid:durableId="9755223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3577"/>
    <w:rsid w:val="003325D8"/>
    <w:rsid w:val="00336149"/>
    <w:rsid w:val="00A93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119E4"/>
  <w15:docId w15:val="{2B4F842A-60D0-4E84-AC1C-EB07601E3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2364</Words>
  <Characters>13479</Characters>
  <Application>Microsoft Office Word</Application>
  <DocSecurity>0</DocSecurity>
  <Lines>112</Lines>
  <Paragraphs>31</Paragraphs>
  <ScaleCrop>false</ScaleCrop>
  <Company/>
  <LinksUpToDate>false</LinksUpToDate>
  <CharactersWithSpaces>15812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Narasaiah Kolliputi</cp:lastModifiedBy>
  <cp:revision>2</cp:revision>
  <dcterms:created xsi:type="dcterms:W3CDTF">2026-07-29T20:26:00Z</dcterms:created>
  <dcterms:modified xsi:type="dcterms:W3CDTF">2026-07-29T20:55:00Z</dcterms:modified>
</cp:coreProperties>
</file>