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3732" w14:textId="77777777" w:rsidR="004F4D39" w:rsidRDefault="00000000">
      <w:pPr>
        <w:pStyle w:val="Title"/>
      </w:pPr>
      <w:proofErr w:type="spellStart"/>
      <w:r>
        <w:t>PolyLung</w:t>
      </w:r>
      <w:proofErr w:type="spellEnd"/>
      <w:r>
        <w:t xml:space="preserve"> Bridge AI — Preliminary Data Summary</w:t>
      </w:r>
    </w:p>
    <w:p w14:paraId="34A947D7" w14:textId="77777777" w:rsidR="004F4D39" w:rsidRDefault="00000000">
      <w:pPr>
        <w:spacing w:after="120"/>
      </w:pPr>
      <w:r>
        <w:rPr>
          <w:i/>
          <w:iCs/>
        </w:rPr>
        <w:t>Microplastic Polymer Classification: Public Dataset Evaluation, Pilot Feasibility, and Preliminary AI Pipeline Results</w:t>
      </w:r>
    </w:p>
    <w:p w14:paraId="5D35D24E" w14:textId="77777777" w:rsidR="004F4D39" w:rsidRDefault="00000000">
      <w:pPr>
        <w:spacing w:after="120"/>
      </w:pPr>
      <w:r>
        <w:t>Prepared by Siddhardha Nanda and Selina Park. Date: 2026-07-31.</w:t>
      </w:r>
    </w:p>
    <w:p w14:paraId="74D1D3F3" w14:textId="77777777" w:rsidR="004F4D39" w:rsidRDefault="00000000">
      <w:pPr>
        <w:pStyle w:val="Heading1"/>
        <w:spacing w:before="300" w:after="150"/>
      </w:pPr>
      <w:r>
        <w:t>1. Public Dataset Landscape (Task 1)</w:t>
      </w:r>
    </w:p>
    <w:tbl>
      <w:tblPr>
        <w:tblW w:w="11800" w:type="dxa"/>
        <w:tblInd w:w="-1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2600"/>
        <w:gridCol w:w="1700"/>
        <w:gridCol w:w="1500"/>
      </w:tblGrid>
      <w:tr w:rsidR="004F4D39" w14:paraId="509E1E20" w14:textId="77777777" w:rsidTr="00094CC6">
        <w:tblPrEx>
          <w:tblCellMar>
            <w:top w:w="0" w:type="dxa"/>
            <w:bottom w:w="0" w:type="dxa"/>
          </w:tblCellMar>
        </w:tblPrEx>
        <w:trPr>
          <w:tblHeader/>
        </w:trPr>
        <w:tc>
          <w:tcPr>
            <w:tcW w:w="2600" w:type="dxa"/>
            <w:shd w:val="clear" w:color="auto" w:fill="D9E2F3"/>
          </w:tcPr>
          <w:p w14:paraId="30BCF469" w14:textId="77777777" w:rsidR="004F4D39" w:rsidRDefault="00000000">
            <w:r>
              <w:rPr>
                <w:b/>
                <w:bCs/>
                <w:sz w:val="18"/>
                <w:szCs w:val="18"/>
              </w:rPr>
              <w:t>Dataset</w:t>
            </w:r>
          </w:p>
        </w:tc>
        <w:tc>
          <w:tcPr>
            <w:tcW w:w="1700" w:type="dxa"/>
            <w:shd w:val="clear" w:color="auto" w:fill="D9E2F3"/>
          </w:tcPr>
          <w:p w14:paraId="5BF91F9B" w14:textId="77777777" w:rsidR="004F4D39" w:rsidRDefault="00000000">
            <w:r>
              <w:rPr>
                <w:b/>
                <w:bCs/>
                <w:sz w:val="18"/>
                <w:szCs w:val="18"/>
              </w:rPr>
              <w:t>Type</w:t>
            </w:r>
          </w:p>
        </w:tc>
        <w:tc>
          <w:tcPr>
            <w:tcW w:w="1700" w:type="dxa"/>
            <w:shd w:val="clear" w:color="auto" w:fill="D9E2F3"/>
          </w:tcPr>
          <w:p w14:paraId="7F3E77BD" w14:textId="77777777" w:rsidR="004F4D39" w:rsidRDefault="00000000">
            <w:r>
              <w:rPr>
                <w:b/>
                <w:bCs/>
                <w:sz w:val="18"/>
                <w:szCs w:val="18"/>
              </w:rPr>
              <w:t>N</w:t>
            </w:r>
          </w:p>
        </w:tc>
        <w:tc>
          <w:tcPr>
            <w:tcW w:w="2600" w:type="dxa"/>
            <w:shd w:val="clear" w:color="auto" w:fill="D9E2F3"/>
          </w:tcPr>
          <w:p w14:paraId="1A848639" w14:textId="77777777" w:rsidR="004F4D39" w:rsidRDefault="00000000">
            <w:r>
              <w:rPr>
                <w:b/>
                <w:bCs/>
                <w:sz w:val="18"/>
                <w:szCs w:val="18"/>
              </w:rPr>
              <w:t>Polymer classes</w:t>
            </w:r>
          </w:p>
        </w:tc>
        <w:tc>
          <w:tcPr>
            <w:tcW w:w="1700" w:type="dxa"/>
            <w:shd w:val="clear" w:color="auto" w:fill="D9E2F3"/>
          </w:tcPr>
          <w:p w14:paraId="691DF639" w14:textId="77777777" w:rsidR="004F4D39" w:rsidRDefault="00000000">
            <w:r>
              <w:rPr>
                <w:b/>
                <w:bCs/>
                <w:sz w:val="18"/>
                <w:szCs w:val="18"/>
              </w:rPr>
              <w:t>SEM+FTIR paired?</w:t>
            </w:r>
          </w:p>
        </w:tc>
        <w:tc>
          <w:tcPr>
            <w:tcW w:w="1500" w:type="dxa"/>
            <w:shd w:val="clear" w:color="auto" w:fill="D9E2F3"/>
          </w:tcPr>
          <w:p w14:paraId="3D7BC76B" w14:textId="77777777" w:rsidR="004F4D39" w:rsidRDefault="00000000">
            <w:r>
              <w:rPr>
                <w:b/>
                <w:bCs/>
                <w:sz w:val="18"/>
                <w:szCs w:val="18"/>
              </w:rPr>
              <w:t>License</w:t>
            </w:r>
          </w:p>
        </w:tc>
      </w:tr>
      <w:tr w:rsidR="004F4D39" w14:paraId="4B489754" w14:textId="77777777" w:rsidTr="00094CC6">
        <w:tblPrEx>
          <w:tblCellMar>
            <w:top w:w="0" w:type="dxa"/>
            <w:bottom w:w="0" w:type="dxa"/>
          </w:tblCellMar>
        </w:tblPrEx>
        <w:tc>
          <w:tcPr>
            <w:tcW w:w="2600" w:type="dxa"/>
          </w:tcPr>
          <w:p w14:paraId="5CF68BB0" w14:textId="77777777" w:rsidR="004F4D39" w:rsidRDefault="00000000">
            <w:proofErr w:type="spellStart"/>
            <w:r>
              <w:rPr>
                <w:sz w:val="18"/>
                <w:szCs w:val="18"/>
              </w:rPr>
              <w:t>Microplastics_SEM</w:t>
            </w:r>
            <w:proofErr w:type="spellEnd"/>
            <w:r>
              <w:rPr>
                <w:sz w:val="18"/>
                <w:szCs w:val="18"/>
              </w:rPr>
              <w:t xml:space="preserve"> (U. Toronto)</w:t>
            </w:r>
          </w:p>
        </w:tc>
        <w:tc>
          <w:tcPr>
            <w:tcW w:w="1700" w:type="dxa"/>
          </w:tcPr>
          <w:p w14:paraId="7959C583" w14:textId="77777777" w:rsidR="004F4D39" w:rsidRDefault="00000000">
            <w:r>
              <w:rPr>
                <w:sz w:val="18"/>
                <w:szCs w:val="18"/>
              </w:rPr>
              <w:t>SEM images</w:t>
            </w:r>
          </w:p>
        </w:tc>
        <w:tc>
          <w:tcPr>
            <w:tcW w:w="1700" w:type="dxa"/>
          </w:tcPr>
          <w:p w14:paraId="03FB25FC" w14:textId="77777777" w:rsidR="004F4D39" w:rsidRDefault="00000000">
            <w:r>
              <w:rPr>
                <w:sz w:val="18"/>
                <w:szCs w:val="18"/>
              </w:rPr>
              <w:t>Multiple sub-datasets</w:t>
            </w:r>
          </w:p>
        </w:tc>
        <w:tc>
          <w:tcPr>
            <w:tcW w:w="2600" w:type="dxa"/>
          </w:tcPr>
          <w:p w14:paraId="54ECDD88" w14:textId="77777777" w:rsidR="004F4D39" w:rsidRDefault="00000000">
            <w:r>
              <w:rPr>
                <w:sz w:val="18"/>
                <w:szCs w:val="18"/>
              </w:rPr>
              <w:t>None (shape only: fibre/bead/fragment)</w:t>
            </w:r>
          </w:p>
        </w:tc>
        <w:tc>
          <w:tcPr>
            <w:tcW w:w="1700" w:type="dxa"/>
          </w:tcPr>
          <w:p w14:paraId="1DFB91F6" w14:textId="77777777" w:rsidR="004F4D39" w:rsidRDefault="00000000">
            <w:r>
              <w:rPr>
                <w:sz w:val="18"/>
                <w:szCs w:val="18"/>
              </w:rPr>
              <w:t>No</w:t>
            </w:r>
          </w:p>
        </w:tc>
        <w:tc>
          <w:tcPr>
            <w:tcW w:w="1500" w:type="dxa"/>
          </w:tcPr>
          <w:p w14:paraId="571B3EE4" w14:textId="77777777" w:rsidR="004F4D39" w:rsidRDefault="00000000">
            <w:r>
              <w:rPr>
                <w:sz w:val="18"/>
                <w:szCs w:val="18"/>
              </w:rPr>
              <w:t>CC BY 4.0</w:t>
            </w:r>
          </w:p>
        </w:tc>
      </w:tr>
      <w:tr w:rsidR="004F4D39" w14:paraId="2F877A70" w14:textId="77777777" w:rsidTr="00094CC6">
        <w:tblPrEx>
          <w:tblCellMar>
            <w:top w:w="0" w:type="dxa"/>
            <w:bottom w:w="0" w:type="dxa"/>
          </w:tblCellMar>
        </w:tblPrEx>
        <w:tc>
          <w:tcPr>
            <w:tcW w:w="2600" w:type="dxa"/>
          </w:tcPr>
          <w:p w14:paraId="3AE25DF0" w14:textId="77777777" w:rsidR="004F4D39" w:rsidRDefault="00000000">
            <w:r>
              <w:rPr>
                <w:sz w:val="18"/>
                <w:szCs w:val="18"/>
              </w:rPr>
              <w:t>FLOPP / FLOPP-e (Rochman Lab)</w:t>
            </w:r>
          </w:p>
        </w:tc>
        <w:tc>
          <w:tcPr>
            <w:tcW w:w="1700" w:type="dxa"/>
          </w:tcPr>
          <w:p w14:paraId="193A93A9" w14:textId="77777777" w:rsidR="004F4D39" w:rsidRDefault="00000000">
            <w:r>
              <w:rPr>
                <w:sz w:val="18"/>
                <w:szCs w:val="18"/>
              </w:rPr>
              <w:t>ATR-FTIR spectra</w:t>
            </w:r>
          </w:p>
        </w:tc>
        <w:tc>
          <w:tcPr>
            <w:tcW w:w="1700" w:type="dxa"/>
          </w:tcPr>
          <w:p w14:paraId="773F7B34" w14:textId="77777777" w:rsidR="004F4D39" w:rsidRDefault="00000000">
            <w:r>
              <w:rPr>
                <w:sz w:val="18"/>
                <w:szCs w:val="18"/>
              </w:rPr>
              <w:t>186 / 195</w:t>
            </w:r>
          </w:p>
        </w:tc>
        <w:tc>
          <w:tcPr>
            <w:tcW w:w="2600" w:type="dxa"/>
          </w:tcPr>
          <w:p w14:paraId="59667EAA" w14:textId="77777777" w:rsidR="004F4D39" w:rsidRDefault="00000000">
            <w:r>
              <w:rPr>
                <w:sz w:val="18"/>
                <w:szCs w:val="18"/>
              </w:rPr>
              <w:t>14–15 (PE, PP, PS, PVC, PET, etc.)</w:t>
            </w:r>
          </w:p>
        </w:tc>
        <w:tc>
          <w:tcPr>
            <w:tcW w:w="1700" w:type="dxa"/>
          </w:tcPr>
          <w:p w14:paraId="4C161480" w14:textId="77777777" w:rsidR="004F4D39" w:rsidRDefault="00000000">
            <w:r>
              <w:rPr>
                <w:sz w:val="18"/>
                <w:szCs w:val="18"/>
              </w:rPr>
              <w:t>No (spectra only)</w:t>
            </w:r>
          </w:p>
        </w:tc>
        <w:tc>
          <w:tcPr>
            <w:tcW w:w="1500" w:type="dxa"/>
          </w:tcPr>
          <w:p w14:paraId="061D5D0D" w14:textId="77777777" w:rsidR="004F4D39" w:rsidRDefault="00000000">
            <w:r>
              <w:rPr>
                <w:sz w:val="18"/>
                <w:szCs w:val="18"/>
              </w:rPr>
              <w:t>Open, citation req.</w:t>
            </w:r>
          </w:p>
        </w:tc>
      </w:tr>
      <w:tr w:rsidR="004F4D39" w14:paraId="51AD336C" w14:textId="77777777" w:rsidTr="00094CC6">
        <w:tblPrEx>
          <w:tblCellMar>
            <w:top w:w="0" w:type="dxa"/>
            <w:bottom w:w="0" w:type="dxa"/>
          </w:tblCellMar>
        </w:tblPrEx>
        <w:tc>
          <w:tcPr>
            <w:tcW w:w="2600" w:type="dxa"/>
          </w:tcPr>
          <w:p w14:paraId="7B70F5CC" w14:textId="77777777" w:rsidR="004F4D39" w:rsidRDefault="00000000">
            <w:r>
              <w:rPr>
                <w:sz w:val="18"/>
                <w:szCs w:val="18"/>
              </w:rPr>
              <w:t>UNICAMP SEM–FTIR dataset</w:t>
            </w:r>
          </w:p>
        </w:tc>
        <w:tc>
          <w:tcPr>
            <w:tcW w:w="1700" w:type="dxa"/>
          </w:tcPr>
          <w:p w14:paraId="37928E84" w14:textId="77777777" w:rsidR="004F4D39" w:rsidRDefault="00000000">
            <w:r>
              <w:rPr>
                <w:sz w:val="18"/>
                <w:szCs w:val="18"/>
              </w:rPr>
              <w:t>Paired SEM-EDS + µFTIR</w:t>
            </w:r>
          </w:p>
        </w:tc>
        <w:tc>
          <w:tcPr>
            <w:tcW w:w="1700" w:type="dxa"/>
          </w:tcPr>
          <w:p w14:paraId="0C723E17" w14:textId="77777777" w:rsidR="004F4D39" w:rsidRDefault="00000000">
            <w:r>
              <w:rPr>
                <w:sz w:val="18"/>
                <w:szCs w:val="18"/>
              </w:rPr>
              <w:t xml:space="preserve">50 </w:t>
            </w:r>
            <w:proofErr w:type="spellStart"/>
            <w:r>
              <w:rPr>
                <w:sz w:val="18"/>
                <w:szCs w:val="18"/>
              </w:rPr>
              <w:t>labeled</w:t>
            </w:r>
            <w:proofErr w:type="spellEnd"/>
            <w:r>
              <w:rPr>
                <w:sz w:val="18"/>
                <w:szCs w:val="18"/>
              </w:rPr>
              <w:t>; 15 fully paired</w:t>
            </w:r>
          </w:p>
        </w:tc>
        <w:tc>
          <w:tcPr>
            <w:tcW w:w="2600" w:type="dxa"/>
          </w:tcPr>
          <w:p w14:paraId="15C4AD8F" w14:textId="77777777" w:rsidR="004F4D39" w:rsidRDefault="00000000">
            <w:r>
              <w:rPr>
                <w:sz w:val="18"/>
                <w:szCs w:val="18"/>
              </w:rPr>
              <w:t>PE, PP, PS, PA, PVC</w:t>
            </w:r>
          </w:p>
        </w:tc>
        <w:tc>
          <w:tcPr>
            <w:tcW w:w="1700" w:type="dxa"/>
          </w:tcPr>
          <w:p w14:paraId="3542F914" w14:textId="77777777" w:rsidR="004F4D39" w:rsidRDefault="00000000">
            <w:r>
              <w:rPr>
                <w:sz w:val="18"/>
                <w:szCs w:val="18"/>
              </w:rPr>
              <w:t>Yes — 15 particles</w:t>
            </w:r>
          </w:p>
        </w:tc>
        <w:tc>
          <w:tcPr>
            <w:tcW w:w="1500" w:type="dxa"/>
          </w:tcPr>
          <w:p w14:paraId="655A3B98" w14:textId="77777777" w:rsidR="004F4D39" w:rsidRDefault="00000000">
            <w:r>
              <w:rPr>
                <w:sz w:val="18"/>
                <w:szCs w:val="18"/>
              </w:rPr>
              <w:t>CC BY 4.0</w:t>
            </w:r>
          </w:p>
        </w:tc>
      </w:tr>
      <w:tr w:rsidR="004F4D39" w14:paraId="4F1ECAB6" w14:textId="77777777" w:rsidTr="00094CC6">
        <w:tblPrEx>
          <w:tblCellMar>
            <w:top w:w="0" w:type="dxa"/>
            <w:bottom w:w="0" w:type="dxa"/>
          </w:tblCellMar>
        </w:tblPrEx>
        <w:tc>
          <w:tcPr>
            <w:tcW w:w="2600" w:type="dxa"/>
          </w:tcPr>
          <w:p w14:paraId="7C9AA413" w14:textId="77777777" w:rsidR="004F4D39" w:rsidRDefault="00000000">
            <w:r>
              <w:rPr>
                <w:sz w:val="18"/>
                <w:szCs w:val="18"/>
              </w:rPr>
              <w:t>SLoPP / SLoPP-E (Rochman Lab)</w:t>
            </w:r>
          </w:p>
        </w:tc>
        <w:tc>
          <w:tcPr>
            <w:tcW w:w="1700" w:type="dxa"/>
          </w:tcPr>
          <w:p w14:paraId="5395780B" w14:textId="77777777" w:rsidR="004F4D39" w:rsidRDefault="00000000">
            <w:r>
              <w:rPr>
                <w:sz w:val="18"/>
                <w:szCs w:val="18"/>
              </w:rPr>
              <w:t>Raman spectra</w:t>
            </w:r>
          </w:p>
        </w:tc>
        <w:tc>
          <w:tcPr>
            <w:tcW w:w="1700" w:type="dxa"/>
          </w:tcPr>
          <w:p w14:paraId="282B23AD" w14:textId="77777777" w:rsidR="004F4D39" w:rsidRDefault="00000000">
            <w:r>
              <w:rPr>
                <w:sz w:val="18"/>
                <w:szCs w:val="18"/>
              </w:rPr>
              <w:t>148 / 113</w:t>
            </w:r>
          </w:p>
        </w:tc>
        <w:tc>
          <w:tcPr>
            <w:tcW w:w="2600" w:type="dxa"/>
          </w:tcPr>
          <w:p w14:paraId="1A0469FC" w14:textId="77777777" w:rsidR="004F4D39" w:rsidRDefault="00000000">
            <w:r>
              <w:rPr>
                <w:sz w:val="18"/>
                <w:szCs w:val="18"/>
              </w:rPr>
              <w:t>Multiple</w:t>
            </w:r>
          </w:p>
        </w:tc>
        <w:tc>
          <w:tcPr>
            <w:tcW w:w="1700" w:type="dxa"/>
          </w:tcPr>
          <w:p w14:paraId="36629C9F" w14:textId="77777777" w:rsidR="004F4D39" w:rsidRDefault="00000000">
            <w:r>
              <w:rPr>
                <w:sz w:val="18"/>
                <w:szCs w:val="18"/>
              </w:rPr>
              <w:t>No (spectra only)</w:t>
            </w:r>
          </w:p>
        </w:tc>
        <w:tc>
          <w:tcPr>
            <w:tcW w:w="1500" w:type="dxa"/>
          </w:tcPr>
          <w:p w14:paraId="001F62D2" w14:textId="77777777" w:rsidR="004F4D39" w:rsidRDefault="00000000">
            <w:r>
              <w:rPr>
                <w:sz w:val="18"/>
                <w:szCs w:val="18"/>
              </w:rPr>
              <w:t>Open, citation req.</w:t>
            </w:r>
          </w:p>
        </w:tc>
      </w:tr>
    </w:tbl>
    <w:p w14:paraId="6B537957" w14:textId="77777777" w:rsidR="004F4D39" w:rsidRDefault="00000000">
      <w:pPr>
        <w:spacing w:after="240"/>
        <w:jc w:val="center"/>
      </w:pPr>
      <w:r>
        <w:rPr>
          <w:i/>
          <w:iCs/>
          <w:sz w:val="18"/>
          <w:szCs w:val="18"/>
        </w:rPr>
        <w:t>Table 1. Public datasets identified, downloaded, and evaluated. Full detail in accompanying report.</w:t>
      </w:r>
    </w:p>
    <w:p w14:paraId="7C62E2EE" w14:textId="77777777" w:rsidR="004F4D39" w:rsidRDefault="00000000">
      <w:pPr>
        <w:spacing w:after="120"/>
      </w:pPr>
      <w:r>
        <w:t>Key finding: no public dataset provides particle-level SEM+FTIR pairing at scale. The UNICAMP dataset (newly located; not indexed under its expected name at first search) is the closest match, at n=15 — sufficient as a reference/validation set but not for training. This gap directly motivates the proposed STTR work.</w:t>
      </w:r>
    </w:p>
    <w:p w14:paraId="78A8CD0D" w14:textId="77777777" w:rsidR="004F4D39" w:rsidRDefault="00000000">
      <w:pPr>
        <w:pStyle w:val="Heading1"/>
        <w:spacing w:before="300" w:after="150"/>
      </w:pPr>
      <w:r>
        <w:t>2. Pilot Dataset Feasibility (Task 2)</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3000"/>
      </w:tblGrid>
      <w:tr w:rsidR="004F4D39" w14:paraId="7AE84377" w14:textId="77777777">
        <w:tblPrEx>
          <w:tblCellMar>
            <w:top w:w="0" w:type="dxa"/>
            <w:bottom w:w="0" w:type="dxa"/>
          </w:tblCellMar>
        </w:tblPrEx>
        <w:trPr>
          <w:tblHeader/>
        </w:trPr>
        <w:tc>
          <w:tcPr>
            <w:tcW w:w="6800" w:type="dxa"/>
            <w:shd w:val="clear" w:color="auto" w:fill="D9E2F3"/>
          </w:tcPr>
          <w:p w14:paraId="7ECF7104" w14:textId="77777777" w:rsidR="004F4D39" w:rsidRDefault="00000000">
            <w:r>
              <w:rPr>
                <w:b/>
                <w:bCs/>
                <w:sz w:val="18"/>
                <w:szCs w:val="18"/>
              </w:rPr>
              <w:t>Phase</w:t>
            </w:r>
          </w:p>
        </w:tc>
        <w:tc>
          <w:tcPr>
            <w:tcW w:w="3000" w:type="dxa"/>
            <w:shd w:val="clear" w:color="auto" w:fill="D9E2F3"/>
          </w:tcPr>
          <w:p w14:paraId="772FAC0C" w14:textId="77777777" w:rsidR="004F4D39" w:rsidRDefault="00000000">
            <w:r>
              <w:rPr>
                <w:b/>
                <w:bCs/>
                <w:sz w:val="18"/>
                <w:szCs w:val="18"/>
              </w:rPr>
              <w:t>Estimated duration</w:t>
            </w:r>
          </w:p>
        </w:tc>
      </w:tr>
      <w:tr w:rsidR="004F4D39" w14:paraId="521B2263" w14:textId="77777777">
        <w:tblPrEx>
          <w:tblCellMar>
            <w:top w:w="0" w:type="dxa"/>
            <w:bottom w:w="0" w:type="dxa"/>
          </w:tblCellMar>
        </w:tblPrEx>
        <w:tc>
          <w:tcPr>
            <w:tcW w:w="6800" w:type="dxa"/>
          </w:tcPr>
          <w:p w14:paraId="3B7116DB" w14:textId="77777777" w:rsidR="004F4D39" w:rsidRDefault="00000000">
            <w:r>
              <w:rPr>
                <w:sz w:val="18"/>
                <w:szCs w:val="18"/>
              </w:rPr>
              <w:t>Instrument access/scheduling (SEM + µFTIR core facility)</w:t>
            </w:r>
          </w:p>
        </w:tc>
        <w:tc>
          <w:tcPr>
            <w:tcW w:w="3000" w:type="dxa"/>
          </w:tcPr>
          <w:p w14:paraId="7C869550" w14:textId="77777777" w:rsidR="004F4D39" w:rsidRDefault="00000000">
            <w:r>
              <w:rPr>
                <w:sz w:val="18"/>
                <w:szCs w:val="18"/>
              </w:rPr>
              <w:t>1–3 weeks</w:t>
            </w:r>
          </w:p>
        </w:tc>
      </w:tr>
      <w:tr w:rsidR="004F4D39" w14:paraId="54580203" w14:textId="77777777">
        <w:tblPrEx>
          <w:tblCellMar>
            <w:top w:w="0" w:type="dxa"/>
            <w:bottom w:w="0" w:type="dxa"/>
          </w:tblCellMar>
        </w:tblPrEx>
        <w:tc>
          <w:tcPr>
            <w:tcW w:w="6800" w:type="dxa"/>
          </w:tcPr>
          <w:p w14:paraId="76030169" w14:textId="77777777" w:rsidR="004F4D39" w:rsidRDefault="00000000">
            <w:r>
              <w:rPr>
                <w:sz w:val="18"/>
                <w:szCs w:val="18"/>
              </w:rPr>
              <w:t>Reference standard procurement</w:t>
            </w:r>
          </w:p>
        </w:tc>
        <w:tc>
          <w:tcPr>
            <w:tcW w:w="3000" w:type="dxa"/>
          </w:tcPr>
          <w:p w14:paraId="6C5A03FD" w14:textId="77777777" w:rsidR="004F4D39" w:rsidRDefault="00000000">
            <w:r>
              <w:rPr>
                <w:sz w:val="18"/>
                <w:szCs w:val="18"/>
              </w:rPr>
              <w:t>2–7 days</w:t>
            </w:r>
          </w:p>
        </w:tc>
      </w:tr>
      <w:tr w:rsidR="004F4D39" w14:paraId="1985157E" w14:textId="77777777">
        <w:tblPrEx>
          <w:tblCellMar>
            <w:top w:w="0" w:type="dxa"/>
            <w:bottom w:w="0" w:type="dxa"/>
          </w:tblCellMar>
        </w:tblPrEx>
        <w:tc>
          <w:tcPr>
            <w:tcW w:w="6800" w:type="dxa"/>
          </w:tcPr>
          <w:p w14:paraId="4F5205BB" w14:textId="77777777" w:rsidR="004F4D39" w:rsidRDefault="00000000">
            <w:r>
              <w:rPr>
                <w:sz w:val="18"/>
                <w:szCs w:val="18"/>
              </w:rPr>
              <w:t>Sample prep (mounting, coating, indexing)</w:t>
            </w:r>
          </w:p>
        </w:tc>
        <w:tc>
          <w:tcPr>
            <w:tcW w:w="3000" w:type="dxa"/>
          </w:tcPr>
          <w:p w14:paraId="18B2AC34" w14:textId="77777777" w:rsidR="004F4D39" w:rsidRDefault="00000000">
            <w:r>
              <w:rPr>
                <w:sz w:val="18"/>
                <w:szCs w:val="18"/>
              </w:rPr>
              <w:t>1–2 days/batch</w:t>
            </w:r>
          </w:p>
        </w:tc>
      </w:tr>
      <w:tr w:rsidR="004F4D39" w14:paraId="26C2F8D7" w14:textId="77777777">
        <w:tblPrEx>
          <w:tblCellMar>
            <w:top w:w="0" w:type="dxa"/>
            <w:bottom w:w="0" w:type="dxa"/>
          </w:tblCellMar>
        </w:tblPrEx>
        <w:tc>
          <w:tcPr>
            <w:tcW w:w="6800" w:type="dxa"/>
          </w:tcPr>
          <w:p w14:paraId="21964B02" w14:textId="77777777" w:rsidR="004F4D39" w:rsidRDefault="00000000">
            <w:r>
              <w:rPr>
                <w:sz w:val="18"/>
                <w:szCs w:val="18"/>
              </w:rPr>
              <w:t>Data collection (40–80 particles, both instruments)</w:t>
            </w:r>
          </w:p>
        </w:tc>
        <w:tc>
          <w:tcPr>
            <w:tcW w:w="3000" w:type="dxa"/>
          </w:tcPr>
          <w:p w14:paraId="1DC8431A" w14:textId="77777777" w:rsidR="004F4D39" w:rsidRDefault="00000000">
            <w:r>
              <w:rPr>
                <w:sz w:val="18"/>
                <w:szCs w:val="18"/>
              </w:rPr>
              <w:t>3–8 working days</w:t>
            </w:r>
          </w:p>
        </w:tc>
      </w:tr>
      <w:tr w:rsidR="004F4D39" w14:paraId="3B699357" w14:textId="77777777">
        <w:tblPrEx>
          <w:tblCellMar>
            <w:top w:w="0" w:type="dxa"/>
            <w:bottom w:w="0" w:type="dxa"/>
          </w:tblCellMar>
        </w:tblPrEx>
        <w:tc>
          <w:tcPr>
            <w:tcW w:w="6800" w:type="dxa"/>
          </w:tcPr>
          <w:p w14:paraId="20D11305" w14:textId="77777777" w:rsidR="004F4D39" w:rsidRDefault="00000000">
            <w:r>
              <w:rPr>
                <w:sz w:val="18"/>
                <w:szCs w:val="18"/>
              </w:rPr>
              <w:t>QC, spectral matching, documentation</w:t>
            </w:r>
          </w:p>
        </w:tc>
        <w:tc>
          <w:tcPr>
            <w:tcW w:w="3000" w:type="dxa"/>
          </w:tcPr>
          <w:p w14:paraId="0FD3622A" w14:textId="77777777" w:rsidR="004F4D39" w:rsidRDefault="00000000">
            <w:r>
              <w:rPr>
                <w:sz w:val="18"/>
                <w:szCs w:val="18"/>
              </w:rPr>
              <w:t>2–5 days</w:t>
            </w:r>
          </w:p>
        </w:tc>
      </w:tr>
      <w:tr w:rsidR="004F4D39" w14:paraId="440D88AC" w14:textId="77777777">
        <w:tblPrEx>
          <w:tblCellMar>
            <w:top w:w="0" w:type="dxa"/>
            <w:bottom w:w="0" w:type="dxa"/>
          </w:tblCellMar>
        </w:tblPrEx>
        <w:tc>
          <w:tcPr>
            <w:tcW w:w="6800" w:type="dxa"/>
          </w:tcPr>
          <w:p w14:paraId="5C463F47" w14:textId="77777777" w:rsidR="004F4D39" w:rsidRDefault="00000000">
            <w:r>
              <w:rPr>
                <w:sz w:val="18"/>
                <w:szCs w:val="18"/>
              </w:rPr>
              <w:t>Total realistic timeline</w:t>
            </w:r>
          </w:p>
        </w:tc>
        <w:tc>
          <w:tcPr>
            <w:tcW w:w="3000" w:type="dxa"/>
          </w:tcPr>
          <w:p w14:paraId="0DF67C5C" w14:textId="77777777" w:rsidR="004F4D39" w:rsidRDefault="00000000">
            <w:r>
              <w:rPr>
                <w:sz w:val="18"/>
                <w:szCs w:val="18"/>
              </w:rPr>
              <w:t>3–6 weeks minimum</w:t>
            </w:r>
          </w:p>
        </w:tc>
      </w:tr>
    </w:tbl>
    <w:p w14:paraId="5641119D" w14:textId="77777777" w:rsidR="004F4D39" w:rsidRDefault="00000000">
      <w:pPr>
        <w:spacing w:after="240"/>
        <w:jc w:val="center"/>
      </w:pPr>
      <w:r>
        <w:rPr>
          <w:i/>
          <w:iCs/>
          <w:sz w:val="18"/>
          <w:szCs w:val="18"/>
        </w:rPr>
        <w:t>Table 2. Feasibility timeline for a 40–80 particle paired SEM–µFTIR pilot dataset.</w:t>
      </w:r>
    </w:p>
    <w:p w14:paraId="194D99CA" w14:textId="77777777" w:rsidR="004F4D39" w:rsidRDefault="00000000">
      <w:pPr>
        <w:spacing w:after="120"/>
      </w:pPr>
      <w:r>
        <w:t>Recommendation: position the pilot as an Aim 1 milestone (e.g., months 1–3 of the funded project) rather than a pre-submission deliverable; instrument scheduling, not measurement time, is the binding constraint.</w:t>
      </w:r>
    </w:p>
    <w:p w14:paraId="5111A77C" w14:textId="77777777" w:rsidR="004F4D39" w:rsidRDefault="00000000">
      <w:r>
        <w:br w:type="page"/>
      </w:r>
    </w:p>
    <w:p w14:paraId="2D53165E" w14:textId="77777777" w:rsidR="004F4D39" w:rsidRDefault="00000000">
      <w:pPr>
        <w:pStyle w:val="Heading1"/>
        <w:spacing w:before="300" w:after="150"/>
      </w:pPr>
      <w:r>
        <w:lastRenderedPageBreak/>
        <w:t>3. Preliminary AI Pipeline — Spectral Polymer Classifier (Valid Result)</w:t>
      </w:r>
    </w:p>
    <w:p w14:paraId="678DD137" w14:textId="77777777" w:rsidR="004F4D39" w:rsidRDefault="00000000">
      <w:pPr>
        <w:spacing w:after="120"/>
      </w:pPr>
      <w:r>
        <w:t xml:space="preserve">A </w:t>
      </w:r>
      <w:proofErr w:type="spellStart"/>
      <w:r>
        <w:t>RandomForest</w:t>
      </w:r>
      <w:proofErr w:type="spellEnd"/>
      <w:r>
        <w:t xml:space="preserve"> classifier was trained on FLOPP ATR-FTIR spectra (14 polymer classes including PE, PP, PS, PVC, PET) and evaluated on a held-out test split, then externally validated on FLOPP-e (environmentally weathered spectra, genuine domain shift).</w:t>
      </w: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1600"/>
        <w:gridCol w:w="1600"/>
        <w:gridCol w:w="2200"/>
      </w:tblGrid>
      <w:tr w:rsidR="004F4D39" w14:paraId="3B5D9AA4" w14:textId="77777777" w:rsidTr="00094CC6">
        <w:tblPrEx>
          <w:tblCellMar>
            <w:top w:w="0" w:type="dxa"/>
            <w:bottom w:w="0" w:type="dxa"/>
          </w:tblCellMar>
        </w:tblPrEx>
        <w:trPr>
          <w:tblHeader/>
        </w:trPr>
        <w:tc>
          <w:tcPr>
            <w:tcW w:w="4200" w:type="dxa"/>
            <w:shd w:val="clear" w:color="auto" w:fill="D9E2F3"/>
          </w:tcPr>
          <w:p w14:paraId="46A0063E" w14:textId="77777777" w:rsidR="004F4D39" w:rsidRDefault="00000000">
            <w:r>
              <w:rPr>
                <w:b/>
                <w:bCs/>
                <w:sz w:val="18"/>
                <w:szCs w:val="18"/>
              </w:rPr>
              <w:t>Evaluation</w:t>
            </w:r>
          </w:p>
        </w:tc>
        <w:tc>
          <w:tcPr>
            <w:tcW w:w="1200" w:type="dxa"/>
            <w:shd w:val="clear" w:color="auto" w:fill="D9E2F3"/>
          </w:tcPr>
          <w:p w14:paraId="041C5B82" w14:textId="77777777" w:rsidR="004F4D39" w:rsidRDefault="00000000">
            <w:r>
              <w:rPr>
                <w:b/>
                <w:bCs/>
                <w:sz w:val="18"/>
                <w:szCs w:val="18"/>
              </w:rPr>
              <w:t>n</w:t>
            </w:r>
          </w:p>
        </w:tc>
        <w:tc>
          <w:tcPr>
            <w:tcW w:w="1600" w:type="dxa"/>
            <w:shd w:val="clear" w:color="auto" w:fill="D9E2F3"/>
          </w:tcPr>
          <w:p w14:paraId="4EEF3BAE" w14:textId="77777777" w:rsidR="004F4D39" w:rsidRDefault="00000000">
            <w:r>
              <w:rPr>
                <w:b/>
                <w:bCs/>
                <w:sz w:val="18"/>
                <w:szCs w:val="18"/>
              </w:rPr>
              <w:t>Accuracy</w:t>
            </w:r>
          </w:p>
        </w:tc>
        <w:tc>
          <w:tcPr>
            <w:tcW w:w="1600" w:type="dxa"/>
            <w:shd w:val="clear" w:color="auto" w:fill="D9E2F3"/>
          </w:tcPr>
          <w:p w14:paraId="4AD1578E" w14:textId="77777777" w:rsidR="004F4D39" w:rsidRDefault="00000000">
            <w:r>
              <w:rPr>
                <w:b/>
                <w:bCs/>
                <w:sz w:val="18"/>
                <w:szCs w:val="18"/>
              </w:rPr>
              <w:t>Macro F1</w:t>
            </w:r>
          </w:p>
        </w:tc>
        <w:tc>
          <w:tcPr>
            <w:tcW w:w="2200" w:type="dxa"/>
            <w:shd w:val="clear" w:color="auto" w:fill="D9E2F3"/>
          </w:tcPr>
          <w:p w14:paraId="5C18B827" w14:textId="77777777" w:rsidR="004F4D39" w:rsidRDefault="00000000">
            <w:r>
              <w:rPr>
                <w:b/>
                <w:bCs/>
                <w:sz w:val="18"/>
                <w:szCs w:val="18"/>
              </w:rPr>
              <w:t>Macro AUC (</w:t>
            </w:r>
            <w:proofErr w:type="spellStart"/>
            <w:r>
              <w:rPr>
                <w:b/>
                <w:bCs/>
                <w:sz w:val="18"/>
                <w:szCs w:val="18"/>
              </w:rPr>
              <w:t>OvR</w:t>
            </w:r>
            <w:proofErr w:type="spellEnd"/>
            <w:r>
              <w:rPr>
                <w:b/>
                <w:bCs/>
                <w:sz w:val="18"/>
                <w:szCs w:val="18"/>
              </w:rPr>
              <w:t>)</w:t>
            </w:r>
          </w:p>
        </w:tc>
      </w:tr>
      <w:tr w:rsidR="004F4D39" w14:paraId="7F1FC4BA" w14:textId="77777777" w:rsidTr="00094CC6">
        <w:tblPrEx>
          <w:tblCellMar>
            <w:top w:w="0" w:type="dxa"/>
            <w:bottom w:w="0" w:type="dxa"/>
          </w:tblCellMar>
        </w:tblPrEx>
        <w:tc>
          <w:tcPr>
            <w:tcW w:w="4200" w:type="dxa"/>
          </w:tcPr>
          <w:p w14:paraId="110263B1" w14:textId="77777777" w:rsidR="004F4D39" w:rsidRDefault="00000000">
            <w:r>
              <w:rPr>
                <w:sz w:val="18"/>
                <w:szCs w:val="18"/>
              </w:rPr>
              <w:t>FLOPP internal held-out test</w:t>
            </w:r>
          </w:p>
        </w:tc>
        <w:tc>
          <w:tcPr>
            <w:tcW w:w="1200" w:type="dxa"/>
          </w:tcPr>
          <w:p w14:paraId="23B7362C" w14:textId="77777777" w:rsidR="004F4D39" w:rsidRDefault="00000000">
            <w:r>
              <w:rPr>
                <w:sz w:val="18"/>
                <w:szCs w:val="18"/>
              </w:rPr>
              <w:t>37</w:t>
            </w:r>
          </w:p>
        </w:tc>
        <w:tc>
          <w:tcPr>
            <w:tcW w:w="1600" w:type="dxa"/>
          </w:tcPr>
          <w:p w14:paraId="46A60AA7" w14:textId="77777777" w:rsidR="004F4D39" w:rsidRDefault="00000000">
            <w:r>
              <w:rPr>
                <w:sz w:val="18"/>
                <w:szCs w:val="18"/>
              </w:rPr>
              <w:t>78.4%</w:t>
            </w:r>
          </w:p>
        </w:tc>
        <w:tc>
          <w:tcPr>
            <w:tcW w:w="1600" w:type="dxa"/>
          </w:tcPr>
          <w:p w14:paraId="6AF38C3F" w14:textId="77777777" w:rsidR="004F4D39" w:rsidRDefault="00000000">
            <w:r>
              <w:rPr>
                <w:sz w:val="18"/>
                <w:szCs w:val="18"/>
              </w:rPr>
              <w:t>0.78</w:t>
            </w:r>
          </w:p>
        </w:tc>
        <w:tc>
          <w:tcPr>
            <w:tcW w:w="2200" w:type="dxa"/>
          </w:tcPr>
          <w:p w14:paraId="1C583617" w14:textId="77777777" w:rsidR="004F4D39" w:rsidRDefault="00000000">
            <w:r>
              <w:rPr>
                <w:sz w:val="18"/>
                <w:szCs w:val="18"/>
              </w:rPr>
              <w:t>0.97</w:t>
            </w:r>
          </w:p>
        </w:tc>
      </w:tr>
      <w:tr w:rsidR="004F4D39" w14:paraId="502666D1" w14:textId="77777777" w:rsidTr="00094CC6">
        <w:tblPrEx>
          <w:tblCellMar>
            <w:top w:w="0" w:type="dxa"/>
            <w:bottom w:w="0" w:type="dxa"/>
          </w:tblCellMar>
        </w:tblPrEx>
        <w:tc>
          <w:tcPr>
            <w:tcW w:w="4200" w:type="dxa"/>
          </w:tcPr>
          <w:p w14:paraId="00CB1281" w14:textId="77777777" w:rsidR="004F4D39" w:rsidRDefault="00000000">
            <w:r>
              <w:rPr>
                <w:sz w:val="18"/>
                <w:szCs w:val="18"/>
              </w:rPr>
              <w:t>FLOPP-e external validation (weathered)</w:t>
            </w:r>
          </w:p>
        </w:tc>
        <w:tc>
          <w:tcPr>
            <w:tcW w:w="1200" w:type="dxa"/>
          </w:tcPr>
          <w:p w14:paraId="099186F4" w14:textId="77777777" w:rsidR="004F4D39" w:rsidRDefault="00000000">
            <w:r>
              <w:rPr>
                <w:sz w:val="18"/>
                <w:szCs w:val="18"/>
              </w:rPr>
              <w:t>172</w:t>
            </w:r>
          </w:p>
        </w:tc>
        <w:tc>
          <w:tcPr>
            <w:tcW w:w="1600" w:type="dxa"/>
          </w:tcPr>
          <w:p w14:paraId="2EF2F8F0" w14:textId="77777777" w:rsidR="004F4D39" w:rsidRDefault="00000000">
            <w:r>
              <w:rPr>
                <w:sz w:val="18"/>
                <w:szCs w:val="18"/>
              </w:rPr>
              <w:t>72.1%</w:t>
            </w:r>
          </w:p>
        </w:tc>
        <w:tc>
          <w:tcPr>
            <w:tcW w:w="1600" w:type="dxa"/>
          </w:tcPr>
          <w:p w14:paraId="3A44DA4E" w14:textId="77777777" w:rsidR="004F4D39" w:rsidRDefault="00000000">
            <w:r>
              <w:rPr>
                <w:sz w:val="18"/>
                <w:szCs w:val="18"/>
              </w:rPr>
              <w:t>0.44</w:t>
            </w:r>
          </w:p>
        </w:tc>
        <w:tc>
          <w:tcPr>
            <w:tcW w:w="2200" w:type="dxa"/>
          </w:tcPr>
          <w:p w14:paraId="7E77ACA0" w14:textId="77777777" w:rsidR="004F4D39" w:rsidRDefault="00000000">
            <w:r>
              <w:rPr>
                <w:sz w:val="18"/>
                <w:szCs w:val="18"/>
              </w:rPr>
              <w:t>—</w:t>
            </w:r>
          </w:p>
        </w:tc>
      </w:tr>
    </w:tbl>
    <w:p w14:paraId="6C4340F5" w14:textId="77777777" w:rsidR="004F4D39" w:rsidRDefault="00000000">
      <w:pPr>
        <w:spacing w:after="240"/>
        <w:jc w:val="center"/>
      </w:pPr>
      <w:r>
        <w:rPr>
          <w:i/>
          <w:iCs/>
          <w:sz w:val="18"/>
          <w:szCs w:val="18"/>
        </w:rPr>
        <w:t>Table 3. Spectral polymer classifier performance — a clean, non-confounded result.</w:t>
      </w:r>
    </w:p>
    <w:p w14:paraId="6B1FD975" w14:textId="77777777" w:rsidR="004F4D39" w:rsidRDefault="00000000">
      <w:pPr>
        <w:jc w:val="center"/>
      </w:pPr>
      <w:r>
        <w:rPr>
          <w:noProof/>
        </w:rPr>
        <w:drawing>
          <wp:inline distT="0" distB="0" distL="0" distR="0" wp14:anchorId="47D665DA" wp14:editId="304007D4">
            <wp:extent cx="6301423" cy="5041138"/>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319684" cy="5055746"/>
                    </a:xfrm>
                    <a:prstGeom prst="rect">
                      <a:avLst/>
                    </a:prstGeom>
                  </pic:spPr>
                </pic:pic>
              </a:graphicData>
            </a:graphic>
          </wp:inline>
        </w:drawing>
      </w:r>
    </w:p>
    <w:p w14:paraId="3FE6516B" w14:textId="77777777" w:rsidR="004F4D39" w:rsidRDefault="00000000">
      <w:pPr>
        <w:spacing w:after="240"/>
        <w:jc w:val="center"/>
      </w:pPr>
      <w:r>
        <w:rPr>
          <w:i/>
          <w:iCs/>
          <w:sz w:val="18"/>
          <w:szCs w:val="18"/>
        </w:rPr>
        <w:t>Figure 1. Confusion matrix, FLOPP spectral classifier, held-out test set (14 polymer classes).</w:t>
      </w:r>
    </w:p>
    <w:p w14:paraId="01CE4FB7" w14:textId="77777777" w:rsidR="004F4D39" w:rsidRDefault="00000000">
      <w:pPr>
        <w:jc w:val="center"/>
      </w:pPr>
      <w:r>
        <w:rPr>
          <w:noProof/>
        </w:rPr>
        <w:lastRenderedPageBreak/>
        <w:drawing>
          <wp:inline distT="0" distB="0" distL="0" distR="0" wp14:anchorId="4766E700" wp14:editId="08A8AB8D">
            <wp:extent cx="5738019" cy="4590415"/>
            <wp:effectExtent l="0" t="0" r="0" b="635"/>
            <wp:docPr id="1831398109" name="Picture 183139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56385" cy="4605107"/>
                    </a:xfrm>
                    <a:prstGeom prst="rect">
                      <a:avLst/>
                    </a:prstGeom>
                  </pic:spPr>
                </pic:pic>
              </a:graphicData>
            </a:graphic>
          </wp:inline>
        </w:drawing>
      </w:r>
    </w:p>
    <w:p w14:paraId="62D4CACA" w14:textId="77777777" w:rsidR="004F4D39" w:rsidRDefault="00000000">
      <w:pPr>
        <w:spacing w:after="240"/>
        <w:jc w:val="center"/>
      </w:pPr>
      <w:r>
        <w:rPr>
          <w:i/>
          <w:iCs/>
          <w:sz w:val="18"/>
          <w:szCs w:val="18"/>
        </w:rPr>
        <w:t>Figure 2. One-vs-rest ROC curves, FLOPP spectral classifier, held-out test set (</w:t>
      </w:r>
      <w:proofErr w:type="gramStart"/>
      <w:r>
        <w:rPr>
          <w:i/>
          <w:iCs/>
          <w:sz w:val="18"/>
          <w:szCs w:val="18"/>
        </w:rPr>
        <w:t>macro AUC</w:t>
      </w:r>
      <w:proofErr w:type="gramEnd"/>
      <w:r>
        <w:rPr>
          <w:i/>
          <w:iCs/>
          <w:sz w:val="18"/>
          <w:szCs w:val="18"/>
        </w:rPr>
        <w:t xml:space="preserve"> = 0.97).</w:t>
      </w:r>
    </w:p>
    <w:p w14:paraId="187480C7" w14:textId="77777777" w:rsidR="004F4D39" w:rsidRDefault="00000000">
      <w:pPr>
        <w:jc w:val="center"/>
      </w:pPr>
      <w:r>
        <w:rPr>
          <w:noProof/>
        </w:rPr>
        <w:lastRenderedPageBreak/>
        <w:drawing>
          <wp:inline distT="0" distB="0" distL="0" distR="0" wp14:anchorId="3A8F04D1" wp14:editId="226BEF92">
            <wp:extent cx="6453188" cy="5162550"/>
            <wp:effectExtent l="0" t="0" r="5080" b="0"/>
            <wp:docPr id="787247111" name="Picture 787247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62034" cy="5169627"/>
                    </a:xfrm>
                    <a:prstGeom prst="rect">
                      <a:avLst/>
                    </a:prstGeom>
                  </pic:spPr>
                </pic:pic>
              </a:graphicData>
            </a:graphic>
          </wp:inline>
        </w:drawing>
      </w:r>
    </w:p>
    <w:p w14:paraId="487D1128" w14:textId="77777777" w:rsidR="004F4D39" w:rsidRDefault="00000000">
      <w:pPr>
        <w:spacing w:after="240"/>
        <w:jc w:val="center"/>
      </w:pPr>
      <w:r>
        <w:rPr>
          <w:i/>
          <w:iCs/>
          <w:sz w:val="18"/>
          <w:szCs w:val="18"/>
        </w:rPr>
        <w:t>Figure 3. Confusion matrix on FLOPP-e (weathered spectra), external validation of the FLOPP-trained model. Accuracy holds (72%) but macro-F1 drops to 0.44, showing weathering degrades polymer ID on less-common classes — a genuine, citable motivating finding for the proposed work.</w:t>
      </w:r>
    </w:p>
    <w:p w14:paraId="01081496" w14:textId="77777777" w:rsidR="004F4D39" w:rsidRDefault="00000000">
      <w:r>
        <w:br w:type="page"/>
      </w:r>
    </w:p>
    <w:p w14:paraId="2E0A64EF" w14:textId="77777777" w:rsidR="004F4D39" w:rsidRDefault="00000000">
      <w:pPr>
        <w:pStyle w:val="Heading1"/>
        <w:spacing w:before="300" w:after="150"/>
      </w:pPr>
      <w:r>
        <w:lastRenderedPageBreak/>
        <w:t>4. Preliminary AI Pipeline — SEM Shape Classifier (Infrastructure Evidence Only)</w:t>
      </w:r>
    </w:p>
    <w:p w14:paraId="5FCEDF45" w14:textId="77777777" w:rsidR="004F4D39" w:rsidRDefault="00000000">
      <w:pPr>
        <w:spacing w:after="120"/>
      </w:pPr>
      <w:r>
        <w:t xml:space="preserve">Swin-T, ResNet50, and EfficientNet-B0 were fine-tuned on the </w:t>
      </w:r>
      <w:proofErr w:type="spellStart"/>
      <w:r>
        <w:t>Microplastics_SEM</w:t>
      </w:r>
      <w:proofErr w:type="spellEnd"/>
      <w:r>
        <w:t xml:space="preserve"> dataset (fibre/bead/fragment shape classes; this dataset has no chemical polymer labels). This section is included to demonstrate the training/evaluation/explainability/robustness pipeline is built and functional — the specific accuracy figures below must NOT be cited as evidence of classification capability (see caveat below).</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600"/>
        <w:gridCol w:w="1600"/>
        <w:gridCol w:w="1200"/>
      </w:tblGrid>
      <w:tr w:rsidR="004F4D39" w14:paraId="75F10FF3" w14:textId="77777777">
        <w:tblPrEx>
          <w:tblCellMar>
            <w:top w:w="0" w:type="dxa"/>
            <w:bottom w:w="0" w:type="dxa"/>
          </w:tblCellMar>
        </w:tblPrEx>
        <w:trPr>
          <w:tblHeader/>
        </w:trPr>
        <w:tc>
          <w:tcPr>
            <w:tcW w:w="2600" w:type="dxa"/>
            <w:shd w:val="clear" w:color="auto" w:fill="D9E2F3"/>
          </w:tcPr>
          <w:p w14:paraId="1E58331F" w14:textId="77777777" w:rsidR="004F4D39" w:rsidRDefault="00000000">
            <w:r>
              <w:rPr>
                <w:b/>
                <w:bCs/>
                <w:sz w:val="18"/>
                <w:szCs w:val="18"/>
              </w:rPr>
              <w:t>Model</w:t>
            </w:r>
          </w:p>
        </w:tc>
        <w:tc>
          <w:tcPr>
            <w:tcW w:w="3400" w:type="dxa"/>
            <w:shd w:val="clear" w:color="auto" w:fill="D9E2F3"/>
          </w:tcPr>
          <w:p w14:paraId="38ADEE59" w14:textId="77777777" w:rsidR="004F4D39" w:rsidRDefault="00000000">
            <w:r>
              <w:rPr>
                <w:b/>
                <w:bCs/>
                <w:sz w:val="18"/>
                <w:szCs w:val="18"/>
              </w:rPr>
              <w:t>Split type</w:t>
            </w:r>
          </w:p>
        </w:tc>
        <w:tc>
          <w:tcPr>
            <w:tcW w:w="1600" w:type="dxa"/>
            <w:shd w:val="clear" w:color="auto" w:fill="D9E2F3"/>
          </w:tcPr>
          <w:p w14:paraId="039DAE1E" w14:textId="77777777" w:rsidR="004F4D39" w:rsidRDefault="00000000">
            <w:r>
              <w:rPr>
                <w:b/>
                <w:bCs/>
                <w:sz w:val="18"/>
                <w:szCs w:val="18"/>
              </w:rPr>
              <w:t>Val accuracy</w:t>
            </w:r>
          </w:p>
        </w:tc>
        <w:tc>
          <w:tcPr>
            <w:tcW w:w="1600" w:type="dxa"/>
            <w:shd w:val="clear" w:color="auto" w:fill="D9E2F3"/>
          </w:tcPr>
          <w:p w14:paraId="532D69F2" w14:textId="77777777" w:rsidR="004F4D39" w:rsidRDefault="00000000">
            <w:r>
              <w:rPr>
                <w:b/>
                <w:bCs/>
                <w:sz w:val="18"/>
                <w:szCs w:val="18"/>
              </w:rPr>
              <w:t>Val macro F1</w:t>
            </w:r>
          </w:p>
        </w:tc>
        <w:tc>
          <w:tcPr>
            <w:tcW w:w="1200" w:type="dxa"/>
            <w:shd w:val="clear" w:color="auto" w:fill="D9E2F3"/>
          </w:tcPr>
          <w:p w14:paraId="104659D6" w14:textId="77777777" w:rsidR="004F4D39" w:rsidRDefault="00000000">
            <w:r>
              <w:rPr>
                <w:b/>
                <w:bCs/>
                <w:sz w:val="18"/>
                <w:szCs w:val="18"/>
              </w:rPr>
              <w:t>Mean AUC</w:t>
            </w:r>
          </w:p>
        </w:tc>
      </w:tr>
      <w:tr w:rsidR="004F4D39" w14:paraId="7D4CF9DD" w14:textId="77777777">
        <w:tblPrEx>
          <w:tblCellMar>
            <w:top w:w="0" w:type="dxa"/>
            <w:bottom w:w="0" w:type="dxa"/>
          </w:tblCellMar>
        </w:tblPrEx>
        <w:tc>
          <w:tcPr>
            <w:tcW w:w="2600" w:type="dxa"/>
          </w:tcPr>
          <w:p w14:paraId="3BFDD9BC" w14:textId="77777777" w:rsidR="004F4D39" w:rsidRDefault="00000000">
            <w:r>
              <w:rPr>
                <w:sz w:val="18"/>
                <w:szCs w:val="18"/>
              </w:rPr>
              <w:t>Swin-T</w:t>
            </w:r>
          </w:p>
        </w:tc>
        <w:tc>
          <w:tcPr>
            <w:tcW w:w="3400" w:type="dxa"/>
          </w:tcPr>
          <w:p w14:paraId="1496CFE6" w14:textId="77777777" w:rsidR="004F4D39" w:rsidRDefault="00000000">
            <w:r>
              <w:rPr>
                <w:sz w:val="18"/>
                <w:szCs w:val="18"/>
              </w:rPr>
              <w:t>Original (file-stratified) split</w:t>
            </w:r>
          </w:p>
        </w:tc>
        <w:tc>
          <w:tcPr>
            <w:tcW w:w="1600" w:type="dxa"/>
          </w:tcPr>
          <w:p w14:paraId="78B272C8" w14:textId="77777777" w:rsidR="004F4D39" w:rsidRDefault="00000000">
            <w:r>
              <w:rPr>
                <w:sz w:val="18"/>
                <w:szCs w:val="18"/>
              </w:rPr>
              <w:t>100%</w:t>
            </w:r>
          </w:p>
        </w:tc>
        <w:tc>
          <w:tcPr>
            <w:tcW w:w="1600" w:type="dxa"/>
          </w:tcPr>
          <w:p w14:paraId="70EA66C1" w14:textId="77777777" w:rsidR="004F4D39" w:rsidRDefault="00000000">
            <w:r>
              <w:rPr>
                <w:sz w:val="18"/>
                <w:szCs w:val="18"/>
              </w:rPr>
              <w:t>1.00</w:t>
            </w:r>
          </w:p>
        </w:tc>
        <w:tc>
          <w:tcPr>
            <w:tcW w:w="1200" w:type="dxa"/>
          </w:tcPr>
          <w:p w14:paraId="6B74DCF1" w14:textId="77777777" w:rsidR="004F4D39" w:rsidRDefault="00000000">
            <w:r>
              <w:rPr>
                <w:sz w:val="18"/>
                <w:szCs w:val="18"/>
              </w:rPr>
              <w:t>1.00</w:t>
            </w:r>
          </w:p>
        </w:tc>
      </w:tr>
      <w:tr w:rsidR="004F4D39" w14:paraId="3F62C5A0" w14:textId="77777777">
        <w:tblPrEx>
          <w:tblCellMar>
            <w:top w:w="0" w:type="dxa"/>
            <w:bottom w:w="0" w:type="dxa"/>
          </w:tblCellMar>
        </w:tblPrEx>
        <w:tc>
          <w:tcPr>
            <w:tcW w:w="2600" w:type="dxa"/>
          </w:tcPr>
          <w:p w14:paraId="0D1A9E48" w14:textId="77777777" w:rsidR="004F4D39" w:rsidRDefault="00000000">
            <w:r>
              <w:rPr>
                <w:sz w:val="18"/>
                <w:szCs w:val="18"/>
              </w:rPr>
              <w:t>ResNet50</w:t>
            </w:r>
          </w:p>
        </w:tc>
        <w:tc>
          <w:tcPr>
            <w:tcW w:w="3400" w:type="dxa"/>
          </w:tcPr>
          <w:p w14:paraId="5136E189" w14:textId="77777777" w:rsidR="004F4D39" w:rsidRDefault="00000000">
            <w:r>
              <w:rPr>
                <w:sz w:val="18"/>
                <w:szCs w:val="18"/>
              </w:rPr>
              <w:t>Original (file-stratified) split</w:t>
            </w:r>
          </w:p>
        </w:tc>
        <w:tc>
          <w:tcPr>
            <w:tcW w:w="1600" w:type="dxa"/>
          </w:tcPr>
          <w:p w14:paraId="41771325" w14:textId="77777777" w:rsidR="004F4D39" w:rsidRDefault="00000000">
            <w:r>
              <w:rPr>
                <w:sz w:val="18"/>
                <w:szCs w:val="18"/>
              </w:rPr>
              <w:t>100%</w:t>
            </w:r>
          </w:p>
        </w:tc>
        <w:tc>
          <w:tcPr>
            <w:tcW w:w="1600" w:type="dxa"/>
          </w:tcPr>
          <w:p w14:paraId="10264C22" w14:textId="77777777" w:rsidR="004F4D39" w:rsidRDefault="00000000">
            <w:r>
              <w:rPr>
                <w:sz w:val="18"/>
                <w:szCs w:val="18"/>
              </w:rPr>
              <w:t>1.00</w:t>
            </w:r>
          </w:p>
        </w:tc>
        <w:tc>
          <w:tcPr>
            <w:tcW w:w="1200" w:type="dxa"/>
          </w:tcPr>
          <w:p w14:paraId="28437817" w14:textId="77777777" w:rsidR="004F4D39" w:rsidRDefault="00000000">
            <w:r>
              <w:rPr>
                <w:sz w:val="18"/>
                <w:szCs w:val="18"/>
              </w:rPr>
              <w:t>1.00</w:t>
            </w:r>
          </w:p>
        </w:tc>
      </w:tr>
      <w:tr w:rsidR="004F4D39" w14:paraId="72CBBD92" w14:textId="77777777">
        <w:tblPrEx>
          <w:tblCellMar>
            <w:top w:w="0" w:type="dxa"/>
            <w:bottom w:w="0" w:type="dxa"/>
          </w:tblCellMar>
        </w:tblPrEx>
        <w:tc>
          <w:tcPr>
            <w:tcW w:w="2600" w:type="dxa"/>
          </w:tcPr>
          <w:p w14:paraId="4B44589A" w14:textId="77777777" w:rsidR="004F4D39" w:rsidRDefault="00000000">
            <w:r>
              <w:rPr>
                <w:sz w:val="18"/>
                <w:szCs w:val="18"/>
              </w:rPr>
              <w:t>EfficientNet-B0</w:t>
            </w:r>
          </w:p>
        </w:tc>
        <w:tc>
          <w:tcPr>
            <w:tcW w:w="3400" w:type="dxa"/>
          </w:tcPr>
          <w:p w14:paraId="1807DEBE" w14:textId="77777777" w:rsidR="004F4D39" w:rsidRDefault="00000000">
            <w:r>
              <w:rPr>
                <w:sz w:val="18"/>
                <w:szCs w:val="18"/>
              </w:rPr>
              <w:t>Original (file-stratified) split</w:t>
            </w:r>
          </w:p>
        </w:tc>
        <w:tc>
          <w:tcPr>
            <w:tcW w:w="1600" w:type="dxa"/>
          </w:tcPr>
          <w:p w14:paraId="00F8EDDA" w14:textId="77777777" w:rsidR="004F4D39" w:rsidRDefault="00000000">
            <w:r>
              <w:rPr>
                <w:sz w:val="18"/>
                <w:szCs w:val="18"/>
              </w:rPr>
              <w:t>100%</w:t>
            </w:r>
          </w:p>
        </w:tc>
        <w:tc>
          <w:tcPr>
            <w:tcW w:w="1600" w:type="dxa"/>
          </w:tcPr>
          <w:p w14:paraId="68C97AF7" w14:textId="77777777" w:rsidR="004F4D39" w:rsidRDefault="00000000">
            <w:r>
              <w:rPr>
                <w:sz w:val="18"/>
                <w:szCs w:val="18"/>
              </w:rPr>
              <w:t>1.00</w:t>
            </w:r>
          </w:p>
        </w:tc>
        <w:tc>
          <w:tcPr>
            <w:tcW w:w="1200" w:type="dxa"/>
          </w:tcPr>
          <w:p w14:paraId="147F4D78" w14:textId="77777777" w:rsidR="004F4D39" w:rsidRDefault="00000000">
            <w:r>
              <w:rPr>
                <w:sz w:val="18"/>
                <w:szCs w:val="18"/>
              </w:rPr>
              <w:t>1.00</w:t>
            </w:r>
          </w:p>
        </w:tc>
      </w:tr>
      <w:tr w:rsidR="004F4D39" w14:paraId="068355B5" w14:textId="77777777">
        <w:tblPrEx>
          <w:tblCellMar>
            <w:top w:w="0" w:type="dxa"/>
            <w:bottom w:w="0" w:type="dxa"/>
          </w:tblCellMar>
        </w:tblPrEx>
        <w:tc>
          <w:tcPr>
            <w:tcW w:w="2600" w:type="dxa"/>
          </w:tcPr>
          <w:p w14:paraId="0D348719" w14:textId="77777777" w:rsidR="004F4D39" w:rsidRDefault="00000000">
            <w:r>
              <w:rPr>
                <w:sz w:val="18"/>
                <w:szCs w:val="18"/>
              </w:rPr>
              <w:t>Swin-T</w:t>
            </w:r>
          </w:p>
        </w:tc>
        <w:tc>
          <w:tcPr>
            <w:tcW w:w="3400" w:type="dxa"/>
          </w:tcPr>
          <w:p w14:paraId="332F83B4" w14:textId="77777777" w:rsidR="004F4D39" w:rsidRDefault="00000000">
            <w:r>
              <w:rPr>
                <w:sz w:val="18"/>
                <w:szCs w:val="18"/>
              </w:rPr>
              <w:t>Session-grouped split (fibre vs. fragment only)</w:t>
            </w:r>
          </w:p>
        </w:tc>
        <w:tc>
          <w:tcPr>
            <w:tcW w:w="1600" w:type="dxa"/>
          </w:tcPr>
          <w:p w14:paraId="40DC5E04" w14:textId="77777777" w:rsidR="004F4D39" w:rsidRDefault="00000000">
            <w:r>
              <w:rPr>
                <w:sz w:val="18"/>
                <w:szCs w:val="18"/>
              </w:rPr>
              <w:t>100%</w:t>
            </w:r>
          </w:p>
        </w:tc>
        <w:tc>
          <w:tcPr>
            <w:tcW w:w="1600" w:type="dxa"/>
          </w:tcPr>
          <w:p w14:paraId="610FA02F" w14:textId="77777777" w:rsidR="004F4D39" w:rsidRDefault="00000000">
            <w:r>
              <w:rPr>
                <w:sz w:val="18"/>
                <w:szCs w:val="18"/>
              </w:rPr>
              <w:t>1.00</w:t>
            </w:r>
          </w:p>
        </w:tc>
        <w:tc>
          <w:tcPr>
            <w:tcW w:w="1200" w:type="dxa"/>
          </w:tcPr>
          <w:p w14:paraId="2F811805" w14:textId="77777777" w:rsidR="004F4D39" w:rsidRDefault="00000000">
            <w:r>
              <w:rPr>
                <w:sz w:val="18"/>
                <w:szCs w:val="18"/>
              </w:rPr>
              <w:t>1.00</w:t>
            </w:r>
          </w:p>
        </w:tc>
      </w:tr>
    </w:tbl>
    <w:p w14:paraId="777BA4B7" w14:textId="77777777" w:rsidR="004F4D39" w:rsidRDefault="00000000">
      <w:pPr>
        <w:spacing w:after="240"/>
        <w:jc w:val="center"/>
      </w:pPr>
      <w:r>
        <w:rPr>
          <w:i/>
          <w:iCs/>
          <w:sz w:val="18"/>
          <w:szCs w:val="18"/>
        </w:rPr>
        <w:t>Table 4. SEM shape classifier results across architectures and split strategies.</w:t>
      </w:r>
    </w:p>
    <w:p w14:paraId="5D6B07E0" w14:textId="77777777" w:rsidR="004F4D39" w:rsidRDefault="00000000">
      <w:pPr>
        <w:jc w:val="center"/>
      </w:pPr>
      <w:r>
        <w:rPr>
          <w:noProof/>
        </w:rPr>
        <w:drawing>
          <wp:inline distT="0" distB="0" distL="0" distR="0" wp14:anchorId="164E82F0" wp14:editId="69926F1C">
            <wp:extent cx="6594475" cy="5275580"/>
            <wp:effectExtent l="0" t="0" r="0" b="1270"/>
            <wp:docPr id="228504934" name="Picture 22850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08395" cy="5286716"/>
                    </a:xfrm>
                    <a:prstGeom prst="rect">
                      <a:avLst/>
                    </a:prstGeom>
                  </pic:spPr>
                </pic:pic>
              </a:graphicData>
            </a:graphic>
          </wp:inline>
        </w:drawing>
      </w:r>
    </w:p>
    <w:p w14:paraId="6E19FEE7" w14:textId="77777777" w:rsidR="004F4D39" w:rsidRDefault="00000000">
      <w:pPr>
        <w:spacing w:after="240"/>
        <w:jc w:val="center"/>
      </w:pPr>
      <w:r>
        <w:rPr>
          <w:i/>
          <w:iCs/>
          <w:sz w:val="18"/>
          <w:szCs w:val="18"/>
        </w:rPr>
        <w:t>Figure 4. Swin-T ROC curve, original split — perfect separation, diagnosed as invalid (see caveat).</w:t>
      </w:r>
    </w:p>
    <w:p w14:paraId="7654DEA6" w14:textId="77777777" w:rsidR="004F4D39" w:rsidRDefault="00000000">
      <w:pPr>
        <w:jc w:val="center"/>
      </w:pPr>
      <w:r>
        <w:rPr>
          <w:noProof/>
        </w:rPr>
        <w:lastRenderedPageBreak/>
        <w:drawing>
          <wp:inline distT="0" distB="0" distL="0" distR="0" wp14:anchorId="2C3284FE" wp14:editId="290263B6">
            <wp:extent cx="6006783" cy="4805426"/>
            <wp:effectExtent l="0" t="0" r="0" b="0"/>
            <wp:docPr id="1465418485" name="Picture 1465418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25902" cy="4820721"/>
                    </a:xfrm>
                    <a:prstGeom prst="rect">
                      <a:avLst/>
                    </a:prstGeom>
                  </pic:spPr>
                </pic:pic>
              </a:graphicData>
            </a:graphic>
          </wp:inline>
        </w:drawing>
      </w:r>
    </w:p>
    <w:p w14:paraId="30EE7487" w14:textId="77777777" w:rsidR="004F4D39" w:rsidRDefault="00000000">
      <w:pPr>
        <w:spacing w:after="240"/>
        <w:jc w:val="center"/>
      </w:pPr>
      <w:r>
        <w:rPr>
          <w:i/>
          <w:iCs/>
          <w:sz w:val="18"/>
          <w:szCs w:val="18"/>
        </w:rPr>
        <w:t>Figure 5. Grad-CAM example (fibre class, correctly classified) — activation was diffuse rather than tightly particle-focused, consistent with the confound explained below.</w:t>
      </w:r>
    </w:p>
    <w:p w14:paraId="46F91A03" w14:textId="77777777" w:rsidR="004F4D39" w:rsidRDefault="00000000">
      <w:pPr>
        <w:pStyle w:val="Heading2"/>
        <w:spacing w:before="250" w:after="120"/>
      </w:pPr>
      <w:r>
        <w:t>Caveat — why these numbers are not valid classification evidence</w:t>
      </w:r>
    </w:p>
    <w:p w14:paraId="5D67BD0E" w14:textId="77777777" w:rsidR="004F4D39" w:rsidRDefault="00000000">
      <w:pPr>
        <w:spacing w:after="120"/>
      </w:pPr>
      <w:r>
        <w:t>All three models converged to ~100% accuracy and AUC ≈ 1.0. Diagnostic testing traced this to a dataset design flaw, not genuine model performance: each shape class in the public dataset is drawn from a very small number of source imaging sessions/products (e.g., every 'bead' image across train/</w:t>
      </w:r>
      <w:proofErr w:type="spellStart"/>
      <w:r>
        <w:t>val</w:t>
      </w:r>
      <w:proofErr w:type="spellEnd"/>
      <w:r>
        <w:t>/test originates from a single product), so a model can solve the task by recognizing session-level artifacts (background, lighting, scale bar) rather than particle morphology. A trivial classifier using only image width/height/aspect ratio (no pixel data) already reached 77% accuracy, confirming part of the shortcut; the SEM models showed zero accuracy degradation under any robustness perturbation (flip, brightness, rotation, contrast), which is itself further evidence of shortcut learning rather than genuine generalization. A session-grouped re-split removed literal train/test leakage but could not fully resolve the issue, since too few distinct source sessions exist per class in the public data. Full diagnostic methodology is documented in the project repository (data_leakage_notes.md).</w:t>
      </w:r>
    </w:p>
    <w:p w14:paraId="6FCCA55D" w14:textId="77777777" w:rsidR="004F4D39" w:rsidRDefault="00000000">
      <w:pPr>
        <w:spacing w:after="120"/>
      </w:pPr>
      <w:r>
        <w:rPr>
          <w:b/>
          <w:bCs/>
        </w:rPr>
        <w:t>Conclusion: the training, evaluation, explainability, and robustness-testing pipeline is built, reproducible, and ready to apply to a properly-</w:t>
      </w:r>
      <w:proofErr w:type="spellStart"/>
      <w:r>
        <w:rPr>
          <w:b/>
          <w:bCs/>
        </w:rPr>
        <w:t>labeled</w:t>
      </w:r>
      <w:proofErr w:type="spellEnd"/>
      <w:r>
        <w:rPr>
          <w:b/>
          <w:bCs/>
        </w:rPr>
        <w:t xml:space="preserve"> dataset. A session/source-diverse </w:t>
      </w:r>
      <w:proofErr w:type="spellStart"/>
      <w:r>
        <w:rPr>
          <w:b/>
          <w:bCs/>
        </w:rPr>
        <w:t>labeled</w:t>
      </w:r>
      <w:proofErr w:type="spellEnd"/>
      <w:r>
        <w:rPr>
          <w:b/>
          <w:bCs/>
        </w:rPr>
        <w:t xml:space="preserve"> dataset — such as the pilot proposed in Aim 1 — is the identified next step to produce valid classification evidence.</w:t>
      </w:r>
    </w:p>
    <w:p w14:paraId="18F0D47A" w14:textId="77777777" w:rsidR="004F4D39" w:rsidRDefault="00000000">
      <w:pPr>
        <w:pStyle w:val="Heading1"/>
        <w:spacing w:before="300" w:after="150"/>
      </w:pPr>
      <w:r>
        <w:t>5. Summary and Recommendation</w:t>
      </w:r>
    </w:p>
    <w:p w14:paraId="6A14112D" w14:textId="77777777" w:rsidR="004F4D39" w:rsidRDefault="00000000">
      <w:pPr>
        <w:spacing w:after="120"/>
      </w:pPr>
      <w:r>
        <w:lastRenderedPageBreak/>
        <w:t>• Public dataset survey (Task 1) and pilot feasibility assessment (Task 2) are complete and support the STTR's Aim 1 narrative directly.</w:t>
      </w:r>
    </w:p>
    <w:p w14:paraId="1EE3E8C8" w14:textId="77777777" w:rsidR="004F4D39" w:rsidRDefault="00000000">
      <w:pPr>
        <w:spacing w:after="120"/>
      </w:pPr>
      <w:r>
        <w:t>• The FLOPP/FLOPP-e spectral polymer classifier (Section 3) is legitimate, citable preliminary evidence: 78.4% accuracy across 14 real polymer classes, with a genuine, motivating finding that environmental weathering degrades classification performance.</w:t>
      </w:r>
    </w:p>
    <w:p w14:paraId="2865F6AE" w14:textId="77777777" w:rsidR="004F4D39" w:rsidRDefault="00000000">
      <w:pPr>
        <w:spacing w:after="120"/>
      </w:pPr>
      <w:r>
        <w:t>• The SEM shape classifier (Section 4) demonstrates the AI pipeline is built and functional, but its accuracy numbers should not be presented as classification performance evidence due to a documented dataset confound.</w:t>
      </w:r>
    </w:p>
    <w:p w14:paraId="6AB549A0" w14:textId="77777777" w:rsidR="004F4D39" w:rsidRDefault="00000000">
      <w:pPr>
        <w:spacing w:after="120"/>
      </w:pPr>
      <w:r>
        <w:t>• All code, data-preparation scripts, metrics, and figures are version-controlled and public: github.com/SID-6921/</w:t>
      </w:r>
      <w:proofErr w:type="spellStart"/>
      <w:r>
        <w:t>polylung</w:t>
      </w:r>
      <w:proofErr w:type="spellEnd"/>
      <w:r>
        <w:t>-bridge-ai (branch: microplastics-</w:t>
      </w:r>
      <w:proofErr w:type="spellStart"/>
      <w:r>
        <w:t>mendeley</w:t>
      </w:r>
      <w:proofErr w:type="spellEnd"/>
      <w:r>
        <w:t>-setup).</w:t>
      </w:r>
    </w:p>
    <w:sectPr w:rsidR="004F4D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403C7"/>
    <w:multiLevelType w:val="hybridMultilevel"/>
    <w:tmpl w:val="ABBCFE3E"/>
    <w:lvl w:ilvl="0" w:tplc="1DC2EE28">
      <w:start w:val="1"/>
      <w:numFmt w:val="bullet"/>
      <w:lvlText w:val="●"/>
      <w:lvlJc w:val="left"/>
      <w:pPr>
        <w:ind w:left="720" w:hanging="360"/>
      </w:pPr>
    </w:lvl>
    <w:lvl w:ilvl="1" w:tplc="0644C3A4">
      <w:start w:val="1"/>
      <w:numFmt w:val="bullet"/>
      <w:lvlText w:val="○"/>
      <w:lvlJc w:val="left"/>
      <w:pPr>
        <w:ind w:left="1440" w:hanging="360"/>
      </w:pPr>
    </w:lvl>
    <w:lvl w:ilvl="2" w:tplc="25CA280E">
      <w:start w:val="1"/>
      <w:numFmt w:val="bullet"/>
      <w:lvlText w:val="■"/>
      <w:lvlJc w:val="left"/>
      <w:pPr>
        <w:ind w:left="2160" w:hanging="360"/>
      </w:pPr>
    </w:lvl>
    <w:lvl w:ilvl="3" w:tplc="22522D00">
      <w:start w:val="1"/>
      <w:numFmt w:val="bullet"/>
      <w:lvlText w:val="●"/>
      <w:lvlJc w:val="left"/>
      <w:pPr>
        <w:ind w:left="2880" w:hanging="360"/>
      </w:pPr>
    </w:lvl>
    <w:lvl w:ilvl="4" w:tplc="D004DD50">
      <w:start w:val="1"/>
      <w:numFmt w:val="bullet"/>
      <w:lvlText w:val="○"/>
      <w:lvlJc w:val="left"/>
      <w:pPr>
        <w:ind w:left="3600" w:hanging="360"/>
      </w:pPr>
    </w:lvl>
    <w:lvl w:ilvl="5" w:tplc="DB3069E2">
      <w:start w:val="1"/>
      <w:numFmt w:val="bullet"/>
      <w:lvlText w:val="■"/>
      <w:lvlJc w:val="left"/>
      <w:pPr>
        <w:ind w:left="4320" w:hanging="360"/>
      </w:pPr>
    </w:lvl>
    <w:lvl w:ilvl="6" w:tplc="98207D76">
      <w:start w:val="1"/>
      <w:numFmt w:val="bullet"/>
      <w:lvlText w:val="●"/>
      <w:lvlJc w:val="left"/>
      <w:pPr>
        <w:ind w:left="5040" w:hanging="360"/>
      </w:pPr>
    </w:lvl>
    <w:lvl w:ilvl="7" w:tplc="87321170">
      <w:start w:val="1"/>
      <w:numFmt w:val="bullet"/>
      <w:lvlText w:val="●"/>
      <w:lvlJc w:val="left"/>
      <w:pPr>
        <w:ind w:left="5760" w:hanging="360"/>
      </w:pPr>
    </w:lvl>
    <w:lvl w:ilvl="8" w:tplc="335C9D70">
      <w:start w:val="1"/>
      <w:numFmt w:val="bullet"/>
      <w:lvlText w:val="●"/>
      <w:lvlJc w:val="left"/>
      <w:pPr>
        <w:ind w:left="6480" w:hanging="360"/>
      </w:pPr>
    </w:lvl>
  </w:abstractNum>
  <w:num w:numId="1" w16cid:durableId="1845784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D39"/>
    <w:rsid w:val="00094CC6"/>
    <w:rsid w:val="004F4D39"/>
    <w:rsid w:val="00C34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3634"/>
  <w15:docId w15:val="{2FF18D52-1B02-4F14-9EFE-135DF50F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 Siddhardha</cp:lastModifiedBy>
  <cp:revision>2</cp:revision>
  <dcterms:created xsi:type="dcterms:W3CDTF">2026-07-31T13:37:00Z</dcterms:created>
  <dcterms:modified xsi:type="dcterms:W3CDTF">2026-07-31T13:40:00Z</dcterms:modified>
</cp:coreProperties>
</file>