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RESEARCH STRATEGY</w:t>
      </w:r>
    </w:p>
    <w:p>
      <w:pPr>
        <w:spacing w:after="40"/>
      </w:pPr>
      <w:commentRangeStart w:id="1"/>
      <w:r>
        <w:rPr>
          <w:rFonts w:ascii="Arial" w:cs="Arial" w:eastAsia="Arial" w:hAnsi="Arial"/>
          <w:i/>
          <w:iCs/>
          <w:sz w:val="20"/>
          <w:szCs w:val="20"/>
        </w:rPr>
        <w:t xml:space="preserve">PolyLung Bridge AI — NIH STTR Phase I (PA-27-102)</w:t>
      </w:r>
      <w:commentRangeEnd w:id="1"/>
      <w:r>
        <w:rPr>
          <w:rStyle w:val="CommentReference"/>
        </w:rPr>
        <w:commentReference w:id="1"/>
      </w:r>
    </w:p>
    <w:p>
      <w:pPr>
        <w:spacing w:after="160" w:before="320"/>
      </w:pPr>
      <w:r>
        <w:rPr>
          <w:rFonts w:ascii="Arial" w:cs="Arial" w:eastAsia="Arial" w:hAnsi="Arial"/>
          <w:b/>
          <w:bCs/>
          <w:color w:val="1F4E3D"/>
          <w:sz w:val="28"/>
          <w:szCs w:val="28"/>
        </w:rPr>
        <w:t xml:space="preserve">(a) Significance</w:t>
      </w:r>
    </w:p>
    <w:p>
      <w:pPr>
        <w:spacing w:after="160" w:line="264" w:lineRule="auto"/>
      </w:pPr>
      <w:r>
        <w:rPr>
          <w:rFonts w:ascii="Arial" w:cs="Arial" w:eastAsia="Arial" w:hAnsi="Arial"/>
          <w:sz w:val="22"/>
          <w:szCs w:val="22"/>
        </w:rPr>
        <w:t xml:space="preserve">Microplastic and nanoplastic particles are now routinely recovered from human lung tissue, and a growing body of literature indicates these particles act as environmental modifiers of pulmonary disease, with inflammatory and toxicological response varying by polymer identity rather than by particle presence alone (Epeslidou et al., 2025; Bardawil et al., 2026). Experimental exposure studies show that different polymers produce measurably distinct pulmonary inflammatory profiles: polystyrene microplastics, for example, provoke airway hyper-responsiveness and elevate pro-inflammatory cytokines (TNF-α, IL-1β, IL-6) in murine models at exposure levels relevant to environmental sampling (Balkrishna et al., 2025), while other polymers produce comparatively different signatures (Danso et al., 2022). Polymer identity is therefore not a peripheral detail of microplastic exposure; it is a primary determinant of the pulmonary hazard a given particle poses.</w:t>
      </w:r>
    </w:p>
    <w:p>
      <w:pPr>
        <w:spacing w:after="160" w:line="264" w:lineRule="auto"/>
      </w:pPr>
      <w:r>
        <w:rPr>
          <w:rFonts w:ascii="Arial" w:cs="Arial" w:eastAsia="Arial" w:hAnsi="Arial"/>
          <w:sz w:val="22"/>
          <w:szCs w:val="22"/>
        </w:rPr>
        <w:t xml:space="preserve">Despite this, two capabilities that would let researchers, regulators, and environmental testing laboratories act on this knowledge remain unavailable in practice. </w:t>
      </w:r>
      <w:r>
        <w:rPr>
          <w:rFonts w:ascii="Arial" w:cs="Arial" w:eastAsia="Arial" w:hAnsi="Arial"/>
          <w:b/>
          <w:bCs/>
          <w:sz w:val="22"/>
          <w:szCs w:val="22"/>
        </w:rPr>
        <w:t xml:space="preserve">First, rapid, independently validated polymer identification.</w:t>
      </w:r>
      <w:r>
        <w:rPr>
          <w:rFonts w:ascii="Arial" w:cs="Arial" w:eastAsia="Arial" w:hAnsi="Arial"/>
          <w:sz w:val="22"/>
          <w:szCs w:val="22"/>
        </w:rPr>
        <w:t xml:space="preserve"> Fourier-transform infrared (FTIR) and Raman spectroscopy remain the accepted methods for confirming microplastic polymer identity, but both require specialist operators and hours to days of instrument time per sample, a throughput bottleneck that scales poorly against the volume of environmental and biological samples now being collected. </w:t>
      </w:r>
      <w:r>
        <w:rPr>
          <w:rFonts w:ascii="Arial" w:cs="Arial" w:eastAsia="Arial" w:hAnsi="Arial"/>
          <w:b/>
          <w:bCs/>
          <w:sz w:val="22"/>
          <w:szCs w:val="22"/>
        </w:rPr>
        <w:t xml:space="preserve">Second, standardized hazard interpretation.</w:t>
      </w:r>
      <w:r>
        <w:rPr>
          <w:rFonts w:ascii="Arial" w:cs="Arial" w:eastAsia="Arial" w:hAnsi="Arial"/>
          <w:sz w:val="22"/>
          <w:szCs w:val="22"/>
        </w:rPr>
        <w:t xml:space="preserve"> Even once a polymer is correctly identified, translating that identification into a pulmonary hazard assessment currently requires a manual literature review, and the underlying toxicology literature is heterogeneous in exposure route, dose, and endpoint, with no accepted synthesis standard a laboratory or regulator can apply consistently across polymers. The result is that the field’s central finding, that polymer identity predicts pulmonary hazard, cannot currently be operationalized outside a specialist research setting.</w:t>
      </w:r>
    </w:p>
    <w:p>
      <w:pPr>
        <w:spacing w:after="160" w:line="264" w:lineRule="auto"/>
      </w:pPr>
      <w:r>
        <w:rPr>
          <w:rFonts w:ascii="Arial" w:cs="Arial" w:eastAsia="Arial" w:hAnsi="Arial"/>
          <w:sz w:val="22"/>
          <w:szCs w:val="22"/>
        </w:rPr>
        <w:t xml:space="preserve">This gap has both a scientific and a practical dimension. Scientifically, the field lacks a public, particle-level benchmark pairing SEM-based morphological imaging, the imaging modality most environmental and clinical laboratories can already generate, with independently confirmed chemical ground truth; to our knowledge, no such benchmark exists at the scale needed to train and validate a general-purpose classifier for this task (see Innovation and Preliminary Studies). Practically, laboratories that can already detect microplastic particles have no defensible way to tell a client, a regulator, or a manufacturer which detected particles warrant immediate follow-up, so the toxicological knowledge that does exist stays effectively inaccessible to the people processing samples day to day.</w:t>
      </w:r>
    </w:p>
    <w:p>
      <w:pPr>
        <w:spacing w:after="160" w:line="264" w:lineRule="auto"/>
      </w:pPr>
      <w:r>
        <w:rPr>
          <w:rFonts w:ascii="Arial" w:cs="Arial" w:eastAsia="Arial" w:hAnsi="Arial"/>
          <w:sz w:val="22"/>
          <w:szCs w:val="22"/>
        </w:rPr>
        <w:t xml:space="preserve">PolyLung Bridge AI addresses this by developing two integrated, independently useful capabilities: a polymer-identification tool trained and benchmarked against independent chemical ground truth (Aim 1), and a continuously updated, evidence-graded hazard-scoring engine that operationalizes the existing but scattered toxicology literature (Aim 2). If the proposed aims are achieved, this project will close a specific, well-documented gap in technical capability: a public benchmark protocol and evidence-table resource usable by any subsequent researcher working on microplastic polymer identification (Resource Sharing), and a validated demonstration that polymer-level hazard scoring can be automated to a standard suitable for laboratory adoption, neither of which currently exists in a publicly available or independently validated form.</w:t>
      </w:r>
    </w:p>
    <w:p>
      <w:pPr>
        <w:spacing w:after="160" w:line="264" w:lineRule="auto"/>
      </w:pPr>
      <w:r>
        <w:rPr>
          <w:rFonts w:ascii="Arial" w:cs="Arial" w:eastAsia="Arial" w:hAnsi="Arial"/>
          <w:b/>
          <w:bCs/>
          <w:sz w:val="22"/>
          <w:szCs w:val="22"/>
        </w:rPr>
        <w:t xml:space="preserve">This also directly addresses the Phase I significance question of commercial potential. </w:t>
      </w:r>
      <w:r>
        <w:rPr>
          <w:rFonts w:ascii="Arial" w:cs="Arial" w:eastAsia="Arial" w:hAnsi="Arial"/>
          <w:sz w:val="22"/>
          <w:szCs w:val="22"/>
        </w:rPr>
        <w:t xml:space="preserve">The two products map onto a subscription-accessible SaaS delivery model already validated in the broader environmental-testing and diagnostics industries, where laboratories routinely purchase per-sample analytical services and resell combined results as premium report line items. The highest-priority remaining commercialization risk, whether laboratories will pay for this specific capability, is not assumed; it is tested directly through structured Phase I customer discovery (Approach, Aim 2), consistent with this FOA’s expectation that a Phase I project demonstrate commercial potential rather than a completed commercialization plan.</w:t>
      </w:r>
    </w:p>
    <w:p>
      <w:pPr>
        <w:spacing w:after="160" w:before="320"/>
      </w:pPr>
      <w:r>
        <w:rPr>
          <w:rFonts w:ascii="Arial" w:cs="Arial" w:eastAsia="Arial" w:hAnsi="Arial"/>
          <w:b/>
          <w:bCs/>
          <w:color w:val="1F4E3D"/>
          <w:sz w:val="28"/>
          <w:szCs w:val="28"/>
        </w:rPr>
        <w:t xml:space="preserve">(b) Innovation</w:t>
      </w:r>
    </w:p>
    <w:p>
      <w:pPr>
        <w:spacing w:after="160" w:line="264" w:lineRule="auto"/>
      </w:pPr>
      <w:r>
        <w:rPr>
          <w:rFonts w:ascii="Arial" w:cs="Arial" w:eastAsia="Arial" w:hAnsi="Arial"/>
          <w:sz w:val="22"/>
          <w:szCs w:val="22"/>
        </w:rPr>
        <w:t xml:space="preserve">The core innovation is not a novel model architecture; it is a dataset and evidence asset that, to our knowledge, does not yet exist in public form: a particle-level benchmark pairing SEM morphological imaging with independently confirmed μ-FTIR chemical ground truth, combined with a continuously curated, versioned pulmonary hazard ontology traceable to source literature. Individually, SEM imaging, FTIR/Raman spectroscopy, and systematic toxicology review are each established methods. No existing tool integrates them into a single workflow that takes a particle image in and returns a source-traceable identity-plus-hazard report in minutes.</w:t>
      </w:r>
    </w:p>
    <w:p>
      <w:pPr>
        <w:spacing w:after="160" w:line="264" w:lineRule="auto"/>
      </w:pPr>
      <w:r>
        <w:rPr>
          <w:rFonts w:ascii="Arial" w:cs="Arial" w:eastAsia="Arial" w:hAnsi="Arial"/>
          <w:sz w:val="22"/>
          <w:szCs w:val="22"/>
        </w:rPr>
        <w:t xml:space="preserve">This shifts the operative paradigm for environmental testing laboratories from </w:t>
      </w:r>
      <w:r>
        <w:rPr>
          <w:rFonts w:ascii="Arial" w:cs="Arial" w:eastAsia="Arial" w:hAnsi="Arial"/>
          <w:i/>
          <w:iCs/>
          <w:sz w:val="22"/>
          <w:szCs w:val="22"/>
        </w:rPr>
        <w:t xml:space="preserve">specialist-mediated, per-sample analysis</w:t>
      </w:r>
      <w:r>
        <w:rPr>
          <w:rFonts w:ascii="Arial" w:cs="Arial" w:eastAsia="Arial" w:hAnsi="Arial"/>
          <w:sz w:val="22"/>
          <w:szCs w:val="22"/>
        </w:rPr>
        <w:t xml:space="preserve"> to </w:t>
      </w:r>
      <w:r>
        <w:rPr>
          <w:rFonts w:ascii="Arial" w:cs="Arial" w:eastAsia="Arial" w:hAnsi="Arial"/>
          <w:i/>
          <w:iCs/>
          <w:sz w:val="22"/>
          <w:szCs w:val="22"/>
        </w:rPr>
        <w:t xml:space="preserve">self-service, API-accessible interpretation</w:t>
      </w:r>
      <w:r>
        <w:rPr>
          <w:rFonts w:ascii="Arial" w:cs="Arial" w:eastAsia="Arial" w:hAnsi="Arial"/>
          <w:sz w:val="22"/>
          <w:szCs w:val="22"/>
        </w:rPr>
        <w:t xml:space="preserve">. Today, a laboratory that detects a microplastic particle can confirm its polymer identity only by routing the sample to a specialist with FTIR or Raman access, and even then receives an identity, not a hazard interpretation. PolyLung Bridge AI is designed so that the same laboratory submits an image and receives both, without adding in-house toxicological expertise or specialist headcount, the same shift from specialist bottleneck to automated, distributed capability that has driven adoption of comparable diagnostic-support tools in other testing domains.</w:t>
      </w:r>
    </w:p>
    <w:p>
      <w:pPr>
        <w:spacing w:after="160" w:line="264" w:lineRule="auto"/>
      </w:pPr>
      <w:r>
        <w:rPr>
          <w:rFonts w:ascii="Arial" w:cs="Arial" w:eastAsia="Arial" w:hAnsi="Arial"/>
          <w:sz w:val="22"/>
          <w:szCs w:val="22"/>
        </w:rPr>
        <w:t xml:space="preserve">Existing approaches address at most one half of this problem, and each has a specific, documented limitation this project is designed around rather than merely different from. </w:t>
      </w:r>
      <w:r>
        <w:rPr>
          <w:rFonts w:ascii="Arial" w:cs="Arial" w:eastAsia="Arial" w:hAnsi="Arial"/>
          <w:b/>
          <w:bCs/>
          <w:sz w:val="22"/>
          <w:szCs w:val="22"/>
        </w:rPr>
        <w:t xml:space="preserve">Manual FTIR/Raman workflows</w:t>
      </w:r>
      <w:r>
        <w:rPr>
          <w:rFonts w:ascii="Arial" w:cs="Arial" w:eastAsia="Arial" w:hAnsi="Arial"/>
          <w:sz w:val="22"/>
          <w:szCs w:val="22"/>
        </w:rPr>
        <w:t xml:space="preserve"> remain the accuracy gold standard but are throughput-limited by specialist availability and instrument time; this project does not seek to replace them but to use them as the independent ground truth Aim 1 is benchmarked against, and as the confirmatory path for low-confidence classifications (see Approach). </w:t>
      </w:r>
      <w:r>
        <w:rPr>
          <w:rFonts w:ascii="Arial" w:cs="Arial" w:eastAsia="Arial" w:hAnsi="Arial"/>
          <w:b/>
          <w:bCs/>
          <w:sz w:val="22"/>
          <w:szCs w:val="22"/>
        </w:rPr>
        <w:t xml:space="preserve">Academic machine-learning work on microplastics</w:t>
      </w:r>
      <w:r>
        <w:rPr>
          <w:rFonts w:ascii="Arial" w:cs="Arial" w:eastAsia="Arial" w:hAnsi="Arial"/>
          <w:sz w:val="22"/>
          <w:szCs w:val="22"/>
        </w:rPr>
        <w:t xml:space="preserve">, including SEM shape-classification studies and open FTIR spectral libraries such as FLOPP/FLOPP-e (Rochman Lab), provides valuable reference data but was not built or validated as a deployable identification tool: our own diagnostic work on a public SEM shape-classification dataset (Preliminary Studies) found that near-perfect reported accuracy on this class of dataset can reflect session-level imaging artifacts rather than genuine morphological learning, a shortcut-learning failure mode this project’s validation design (independent chemical ground truth, source-diverse test data) is explicitly built to avoid, not merely to disclose after the fact. Similarly, the FLOPP/FLOPP-e spectral classifier we built as preliminary evidence shows strong performance on laboratory-prepared spectra but a substantial accuracy decline on weathered, environmentally sourced spectra, an honest domain-shift finding that directly motivates Aim 1’s inclusion of environmentally sourced particles in its own validation set rather than relying on laboratory-prepared samples alone. </w:t>
      </w:r>
      <w:r>
        <w:rPr>
          <w:rFonts w:ascii="Arial" w:cs="Arial" w:eastAsia="Arial" w:hAnsi="Arial"/>
          <w:b/>
          <w:bCs/>
          <w:sz w:val="22"/>
          <w:szCs w:val="22"/>
        </w:rPr>
        <w:t xml:space="preserve">Large multi-service testing laboratories</w:t>
      </w:r>
      <w:r>
        <w:rPr>
          <w:rFonts w:ascii="Arial" w:cs="Arial" w:eastAsia="Arial" w:hAnsi="Arial"/>
          <w:sz w:val="22"/>
          <w:szCs w:val="22"/>
        </w:rPr>
        <w:t xml:space="preserve"> (for example Eurofins, SGS, Intertek, Bureau Veritas, and ALS) perform microplastics testing at scale today but do not offer an integrated identification-plus-hazard product; they are a channel this technology is designed to integrate into, not compete against.</w:t>
      </w:r>
    </w:p>
    <w:p>
      <w:pPr>
        <w:spacing w:after="160" w:line="264" w:lineRule="auto"/>
      </w:pPr>
      <w:r>
        <w:rPr>
          <w:rFonts w:ascii="Arial" w:cs="Arial" w:eastAsia="Arial" w:hAnsi="Arial"/>
          <w:sz w:val="22"/>
          <w:szCs w:val="22"/>
        </w:rPr>
        <w:t xml:space="preserve">The hazard-scoring engine (Aim 2) is itself methodologically innovative within this field: pulmonary toxicology evidence for individual microplastic polymers is currently synthesized, when it is synthesized at all, through ad hoc narrative literature review rather than a registered, GRADE-rated, versioned systematic review process. Applying that standard to this literature, and re-running it as new evidence accumulates rather than treating it as a static one-time synthesis, has not, to our knowledge, been done for microplastic pulmonary hazard specifically.</w:t>
      </w:r>
    </w:p>
    <w:p>
      <w:pPr>
        <w:spacing w:after="160" w:line="264" w:lineRule="auto"/>
      </w:pPr>
      <w:r>
        <w:rPr>
          <w:rFonts w:ascii="Arial" w:cs="Arial" w:eastAsia="Arial" w:hAnsi="Arial"/>
          <w:sz w:val="22"/>
          <w:szCs w:val="22"/>
        </w:rPr>
        <w:t xml:space="preserve">This is a genuinely unproven combination, and we treat that as a feature of the Phase I design rather than a risk to obscure: Aim 1’s pre-specified Technical Go/No-Go threshold and Aim 2’s evidence-gap No-Go path (Approach) exist precisely because it is not yet known whether SEM-image classification can reach laboratory-adoption accuracy against independent chemical ground truth, which is exactly the question Phase I is designed to answer. Intellectual property strategy (published benchmark data versus trade-secret production assets) is addressed briefly in Approach and is not elaborated further here, consistent with this FOA’s Phase I review criteria, which evaluate innovation and competitive advantage rather than a completed IP or commercialization plan.</w:t>
      </w:r>
    </w:p>
    <w:p>
      <w:pPr>
        <w:spacing w:after="160" w:before="320"/>
      </w:pPr>
      <w:r>
        <w:rPr>
          <w:rFonts w:ascii="Arial" w:cs="Arial" w:eastAsia="Arial" w:hAnsi="Arial"/>
          <w:b/>
          <w:bCs/>
          <w:color w:val="1F4E3D"/>
          <w:sz w:val="28"/>
          <w:szCs w:val="28"/>
        </w:rPr>
        <w:t xml:space="preserve">(c) Approach</w:t>
      </w:r>
    </w:p>
    <w:p>
      <w:pPr>
        <w:spacing w:after="120" w:before="200"/>
      </w:pPr>
      <w:r>
        <w:rPr>
          <w:rFonts w:ascii="Arial" w:cs="Arial" w:eastAsia="Arial" w:hAnsi="Arial"/>
          <w:b/>
          <w:bCs/>
          <w:i/>
          <w:iCs/>
          <w:sz w:val="24"/>
          <w:szCs w:val="24"/>
        </w:rPr>
        <w:t xml:space="preserve">Preliminary Studies</w:t>
      </w:r>
    </w:p>
    <w:p>
      <w:pPr>
        <w:spacing w:after="160" w:line="264" w:lineRule="auto"/>
      </w:pPr>
      <w:r>
        <w:rPr>
          <w:rFonts w:ascii="Arial" w:cs="Arial" w:eastAsia="Arial" w:hAnsi="Arial"/>
          <w:sz w:val="22"/>
          <w:szCs w:val="22"/>
        </w:rPr>
        <w:t xml:space="preserve">All preliminary work described here is public and reproducible at github.com/SID-6921/polylung-bridge-ai (branch: microplastics-mendeley-setup), and is reported at the level it supports; where a result does not directly support a classification claim, that limit is stated explicitly rather than implied.</w:t>
      </w:r>
    </w:p>
    <w:p>
      <w:pPr>
        <w:spacing w:after="160" w:line="264" w:lineRule="auto"/>
      </w:pPr>
      <w:commentRangeStart w:id="4"/>
      <w:r>
        <w:rPr>
          <w:rFonts w:ascii="Arial" w:cs="Arial" w:eastAsia="Arial" w:hAnsi="Arial"/>
          <w:sz w:val="22"/>
          <w:szCs w:val="22"/>
        </w:rPr>
        <w:t xml:space="preserve">A systematic survey of public microplastics datasets found none providing particle-level SEM imagery paired with independently confirmed μ-FTIR chemical labels at scale, the specific gap Aim 1 is designed to close; the closest available resource (UNICAMP, n=15 fully paired particles) is usable as an external reference but not for training. A phase-by-phase feasibility assessment for a 40- to 80-particle paired pilot estimated a realistic 3- to 6-week minimum timeline, with instrument scheduling, not measurement time, the binding constraint; this informed the decision to position the pilot as Aim 1's own Month 1–3 milestone rather than a rushed pre-submission deliverable.</w:t>
      </w:r>
      <w:commentRangeEnd w:id="4"/>
      <w:r>
        <w:rPr>
          <w:rStyle w:val="CommentReference"/>
        </w:rPr>
        <w:commentReference w:id="4"/>
      </w:r>
    </w:p>
    <w:p>
      <w:pPr>
        <w:spacing w:after="160" w:line="264" w:lineRule="auto"/>
      </w:pPr>
      <w:r>
        <w:rPr>
          <w:rFonts w:ascii="Arial" w:cs="Arial" w:eastAsia="Arial" w:hAnsi="Arial"/>
          <w:sz w:val="22"/>
          <w:szCs w:val="22"/>
        </w:rPr>
        <w:t xml:space="preserve">The strongest preliminary evidence is a RandomForest classifier trained on FLOPP ATR-FTIR spectra (14 polymer classes spanning the target panel), which reached macro F1 0.78 (macro AUC 0.97) on a held-out internal test set (n=37). External validation on FLOPP-e, environmentally weathered spectra from the same polymers, held accuracy at 72.1% but macro F1 fell to 0.44, an honest domain-shift finding that directly motivates Aim 1's inclusion of environmentally sourced, not only laboratory-prepared, particles in its own validation set. This result classifies polymer identity from spectra, not from SEM morphology, and is not a substitute for Aim 1's classification target; it demonstrates that rigorous, externally validated polymer discrimination across this exact panel is achievable from real chemical data using this team's methodology.</w:t>
      </w:r>
    </w:p>
    <w:p>
      <w:pPr>
        <w:spacing w:after="160" w:line="264" w:lineRule="auto"/>
      </w:pPr>
      <w:r>
        <w:rPr>
          <w:rFonts w:ascii="Arial" w:cs="Arial" w:eastAsia="Arial" w:hAnsi="Arial"/>
          <w:sz w:val="22"/>
          <w:szCs w:val="22"/>
        </w:rPr>
        <w:t xml:space="preserve">A separate diagnostic exercise fine-tuned three vision architectures (Swin-T, ResNet50, EfficientNet-B0) on a public SEM shape-classification dataset to test the training, evaluation, and interpretability pipeline; all three converged to near-perfect accuracy, which was diagnosed rather than reported at face value. A pixel-blind classifier using only image dimensions reached 77% accuracy on the same task, and accuracy showed zero degradation under any robustness perturbation, both consistent with the models solving the task from session-level imaging artifacts rather than genuine morphology, a shortcut-learning failure mode fully documented in the repository. No in-dataset accuracy figure from this dataset is cited anywhere in this application as classification evidence. A follow-up cross-dataset external validation, evaluating all three architectures without retraining against an independent dataset from a different institution with no shared imaging sessions or sources (CUNY biosolids, n=697), showed genuine, architecture-dependent generalization once the shortcut was removed from the evaluation design: against the set's 54.4% majority-class baseline, Swin-T, the architecture proposed for Aim 1, reached 67.4% accuracy (macro F1 0.51), improving to 74.2% (macro F1 0.63) after a small, validated hyperparameter tune, while ResNet50 and EfficientNet-B0 did not generalize meaningfully (Preliminary Studies detail in Specific Aims Supporting Detail). This remains shape classification, not the chemical polymer identity Aim 1 targets, but is real, architecture-informative evidence that the SEM-imaging pipeline generalizes across institutions, a directly relevant feasibility signal. A GPU-based transfer-learning pipeline was additionally validated end to end on a generic histology proxy task (LungHist700, n=138 held out), improving macro F1 from 0.439 on an initial CPU pilot to 0.9461 after migrating to GPU infrastructure, confirming the training and class-imbalance-handling infrastructure functions correctly ahead of application to the Aim 1 pilot dataset.</w:t>
      </w:r>
    </w:p>
    <w:p>
      <w:pPr>
        <w:spacing w:after="160" w:line="264" w:lineRule="auto"/>
      </w:pPr>
      <w:r>
        <w:rPr>
          <w:rFonts w:ascii="Arial" w:cs="Arial" w:eastAsia="Arial" w:hAnsi="Arial"/>
          <w:sz w:val="22"/>
          <w:szCs w:val="22"/>
        </w:rPr>
        <w:t xml:space="preserve">Together, these studies establish every technical component needed for Phase I except generation of the paired SEM/μ-FTIR benchmark itself, which is the central deliverable Aim 1's Month 1–3 milestone is designed to produce.</w:t>
      </w:r>
    </w:p>
    <w:p>
      <w:pPr>
        <w:spacing w:after="160" w:line="264" w:lineRule="auto"/>
      </w:pPr>
      <w:r>
        <w:rPr>
          <w:rFonts w:ascii="Arial" w:cs="Arial" w:eastAsia="Arial" w:hAnsi="Arial"/>
          <w:i/>
          <w:iCs/>
          <w:sz w:val="22"/>
          <w:szCs w:val="22"/>
        </w:rPr>
        <w:t xml:space="preserve">To be direct about what this means: no preliminary result presented above demonstrates polymer identification directly from SEM particle images, which is the actual technology this project builds. The spectral evidence classifies a different modality (FTIR); the SEM-image shape classifier's initial result was diagnosed as a shortcut-learning artifact and remains excluded from any classification claim, though its cross-dataset follow-up (above) does show the SEM-imaging pipeline itself generalizes across institutions for a related, simpler task. That is a feasibility signal, not chemical-identity evidence. This is disclosed here rather than left for a reviewer to notice; closing exactly this gap is what Aim 1's Month 1–3 milestone and Technical Go/No-Go structure, below, are designed to test.</w:t>
      </w:r>
    </w:p>
    <w:p>
      <w:pPr>
        <w:spacing w:after="120" w:before="200"/>
      </w:pPr>
      <w:r>
        <w:rPr>
          <w:rFonts w:ascii="Arial" w:cs="Arial" w:eastAsia="Arial" w:hAnsi="Arial"/>
          <w:b/>
          <w:bCs/>
          <w:i/>
          <w:iCs/>
          <w:sz w:val="24"/>
          <w:szCs w:val="24"/>
        </w:rPr>
        <w:t xml:space="preserve">Aim 1: Build and validate a commercial polymer-identification tool, benchmarked against independent chemical ground truth</w:t>
      </w:r>
    </w:p>
    <w:p>
      <w:pPr>
        <w:spacing w:after="160" w:line="264" w:lineRule="auto"/>
      </w:pPr>
      <w:commentRangeStart w:id="0"/>
      <w:r>
        <w:rPr>
          <w:rFonts w:ascii="Arial" w:cs="Arial" w:eastAsia="Arial" w:hAnsi="Arial"/>
          <w:b/>
          <w:bCs/>
          <w:sz w:val="22"/>
          <w:szCs w:val="22"/>
        </w:rPr>
        <w:t xml:space="preserve">Development Plan. </w:t>
      </w:r>
      <w:r>
        <w:rPr>
          <w:rFonts w:ascii="Arial" w:cs="Arial" w:eastAsia="Arial" w:hAnsi="Arial"/>
          <w:sz w:val="22"/>
          <w:szCs w:val="22"/>
        </w:rPr>
        <w:t xml:space="preserve">An ImageNet-pretrained vision backbone will be fine-tuned on a consolidated corpus (MiNa and Roboflow SEM sources) restricted to a four-polymer panel, PE, PP, PS, and PVC, selected as the polymers most consistently reported in environmentally sourced and lung-relevant microplastic surveys and the only ones with sufficient published toxicology data to support Aim 2. Restricting scope to four well-evidenced polymers, rather than attempting a broader panel with thinner support, is a deliberate technical-risk reduction. In Months 1–3, using confirmed USF NREC instrument access (Hitachi SU70 SEM, Perkin Elmer Spectrum One FTIR) and under the direct materials-science oversight of Co-Investigator Manoj Ram, PhD (30+ years in materials science and engineering; doctorate in Physical Sciences specializing in conducting polymers; 10 issued and 25 pending US patents), the team will generate a paired SEM/μ-FTIR test set of at least 120 particles, independently confirming chemical identity for a held-out evaluation set rather than relying on internal annotation labels; the UNICAMP paired set (n=15) serves as an external reference point. Model evaluation will use stratified cross-validation reporting macro F1, per-class recall, and calibration, the metrics that determine laboratory adoption rather than architecture choice, with confidence calibration validated so that low-confidence predictions can be reliably routed to μ-FTIR confirmation in the integrated product workflow.</w:t>
      </w:r>
      <w:commentRangeEnd w:id="0"/>
      <w:r>
        <w:rPr>
          <w:rStyle w:val="CommentReference"/>
        </w:rPr>
        <w:commentReference w:id="0"/>
      </w:r>
    </w:p>
    <w:p>
      <w:pPr>
        <w:spacing w:after="160" w:line="264" w:lineRule="auto"/>
      </w:pPr>
      <w:r>
        <w:rPr>
          <w:rFonts w:ascii="Arial" w:cs="Arial" w:eastAsia="Arial" w:hAnsi="Arial"/>
          <w:b/>
          <w:bCs/>
          <w:i/>
          <w:iCs/>
          <w:sz w:val="22"/>
          <w:szCs w:val="22"/>
        </w:rPr>
        <w:t xml:space="preserve">Milestones &amp; Go/No-Go (Month 12). </w:t>
      </w:r>
      <w:r>
        <w:rPr>
          <w:rFonts w:ascii="Arial" w:cs="Arial" w:eastAsia="Arial" w:hAnsi="Arial"/>
          <w:b/>
          <w:bCs/>
          <w:sz w:val="22"/>
          <w:szCs w:val="22"/>
        </w:rPr>
        <w:t xml:space="preserve">Technical Go</w:t>
      </w:r>
      <w:r>
        <w:rPr>
          <w:rFonts w:ascii="Arial" w:cs="Arial" w:eastAsia="Arial" w:hAnsi="Arial"/>
          <w:sz w:val="22"/>
          <w:szCs w:val="22"/>
        </w:rPr>
        <w:t xml:space="preserve">: macro F1 ≥ 0.70 and per-class recall ≥ 0.60 on the held-out paired test set, calibrated confidence suitable for the low-confidence routing described above, and sub-second per-particle inference suitable for cloud deployment. Given the FLOPP-to-FLOPP-e domain-shift finding above, this threshold will be evaluated both on the pooled test set and stratified by particle source (laboratory-prepared versus environmentally sourced), so that strong performance on one subset cannot mask weak performance on the other. </w:t>
      </w:r>
      <w:r>
        <w:rPr>
          <w:rFonts w:ascii="Arial" w:cs="Arial" w:eastAsia="Arial" w:hAnsi="Arial"/>
          <w:b/>
          <w:bCs/>
          <w:sz w:val="22"/>
          <w:szCs w:val="22"/>
        </w:rPr>
        <w:t xml:space="preserve">Commercial Go</w:t>
      </w:r>
      <w:r>
        <w:rPr>
          <w:rFonts w:ascii="Arial" w:cs="Arial" w:eastAsia="Arial" w:hAnsi="Arial"/>
          <w:sz w:val="22"/>
          <w:szCs w:val="22"/>
        </w:rPr>
        <w:t xml:space="preserve">: the classification API deployed in one operating laboratory's live workflow with documented user feedback. </w:t>
      </w:r>
      <w:r>
        <w:rPr>
          <w:rFonts w:ascii="Arial" w:cs="Arial" w:eastAsia="Arial" w:hAnsi="Arial"/>
          <w:b/>
          <w:bCs/>
          <w:sz w:val="22"/>
          <w:szCs w:val="22"/>
        </w:rPr>
        <w:t xml:space="preserve">No-Go</w:t>
      </w:r>
      <w:r>
        <w:rPr>
          <w:rFonts w:ascii="Arial" w:cs="Arial" w:eastAsia="Arial" w:hAnsi="Arial"/>
          <w:sz w:val="22"/>
          <w:szCs w:val="22"/>
        </w:rPr>
        <w:t xml:space="preserve">: a fully characterized negative result, reported as a valid Phase I outcome under the research plan, with the technology redirected to a narrower, active-learning-assisted triage sub-tool rather than a stand-alone classifier.</w:t>
      </w:r>
    </w:p>
    <w:p>
      <w:pPr>
        <w:spacing w:after="160" w:line="264" w:lineRule="auto"/>
      </w:pPr>
      <w:r>
        <w:rPr>
          <w:rFonts w:ascii="Arial" w:cs="Arial" w:eastAsia="Arial" w:hAnsi="Arial"/>
          <w:b/>
          <w:bCs/>
          <w:i/>
          <w:iCs/>
          <w:sz w:val="22"/>
          <w:szCs w:val="22"/>
        </w:rPr>
        <w:t xml:space="preserve">Potential Pitfalls and Alternative Strategies. </w:t>
      </w:r>
      <w:r>
        <w:rPr>
          <w:rFonts w:ascii="Arial" w:cs="Arial" w:eastAsia="Arial" w:hAnsi="Arial"/>
          <w:sz w:val="22"/>
          <w:szCs w:val="22"/>
        </w:rPr>
        <w:t xml:space="preserve">The single greatest risk is that the 120-particle pilot dataset proves too small, or too source-homogeneous, to reach the Technical Go threshold once source-diverse and weathered particles are included, the same failure mode diagnosed in the SEM shape-classifier and FLOPP-e work above. If this occurs, the team will report the finding as characterized evidence rather than suppress or re-threshold it after the fact, and will pursue a narrower Phase II scope (e.g., active-learning-assisted screening rather than autonomous classification) informed by exactly which particle sources and polymer classes proved hardest to separate. A secondary risk is instrument-scheduling delay at USF NREC compressing the pilot below 120 particles within Months 1–3; the team will proceed with the largest dataset achievable in the window and adjust statistical power expectations accordingly, rather than delaying the remainder of Aim 1's timeline to wait for a fixed particle count.</w:t>
      </w:r>
    </w:p>
    <w:p>
      <w:pPr>
        <w:spacing w:after="120" w:before="200"/>
      </w:pPr>
      <w:r>
        <w:rPr>
          <w:rFonts w:ascii="Arial" w:cs="Arial" w:eastAsia="Arial" w:hAnsi="Arial"/>
          <w:b/>
          <w:bCs/>
          <w:i/>
          <w:iCs/>
          <w:sz w:val="24"/>
          <w:szCs w:val="24"/>
        </w:rPr>
        <w:t xml:space="preserve">Aim 2: Build the Polymer Pulmonary Hazard Index (PPHI), a semi-automated, expert-verified hazard decision-intelligence engine</w:t>
      </w:r>
    </w:p>
    <w:p>
      <w:pPr>
        <w:spacing w:after="160" w:line="264" w:lineRule="auto"/>
      </w:pPr>
      <w:r>
        <w:rPr>
          <w:rFonts w:ascii="Arial" w:cs="Arial" w:eastAsia="Arial" w:hAnsi="Arial"/>
          <w:b/>
          <w:bCs/>
          <w:sz w:val="22"/>
          <w:szCs w:val="22"/>
        </w:rPr>
        <w:t xml:space="preserve">Development Plan. </w:t>
      </w:r>
      <w:r>
        <w:rPr>
          <w:rFonts w:ascii="Arial" w:cs="Arial" w:eastAsia="Arial" w:hAnsi="Arial"/>
          <w:sz w:val="22"/>
          <w:szCs w:val="22"/>
        </w:rPr>
        <w:t xml:space="preserve">Starting Month 1, in parallel with Aim 1 rather than sequentially after it, since literature synthesis does not depend on Aim 1's classifier output, the team will conduct a PROSPERO-registered systematic review and random-effects meta-analysis of inhalation and intratracheal exposure studies for the four target polymers, extracting bronchoalveolar lavage (BALF) cytokine, immune-cell influx, and histopathology endpoints and pooling effect sizes as Hedges' g. Heterogeneity (I²) and GRADE certainty will be quantified per polymer, producing a versioned, source-traceable hazard weight and confidence grade rather than a single point estimate presented without its own uncertainty. Preliminary work already validated the underlying extraction-to-weight toolchain end to end on a single published exposure study (Preliminary Studies); because single-study, single-polymer normalization carries no comparative information across polymers, Aim 2 replaces that ad hoc procedure with formal meta-analysis rather than extending it. New evidence will be ingested through a semi-automated, expert-verified pipeline during Phase I, with full automation deferred to Phase II.</w:t>
      </w:r>
    </w:p>
    <w:p>
      <w:pPr>
        <w:spacing w:after="160" w:line="264" w:lineRule="auto"/>
      </w:pPr>
      <w:r>
        <w:rPr>
          <w:rFonts w:ascii="Arial" w:cs="Arial" w:eastAsia="Arial" w:hAnsi="Arial"/>
          <w:b/>
          <w:bCs/>
          <w:i/>
          <w:iCs/>
          <w:sz w:val="22"/>
          <w:szCs w:val="22"/>
        </w:rPr>
        <w:t xml:space="preserve">Milestones &amp; Go/No-Go (Month 12, parallel to Aim 1). </w:t>
      </w:r>
      <w:r>
        <w:rPr>
          <w:rFonts w:ascii="Arial" w:cs="Arial" w:eastAsia="Arial" w:hAnsi="Arial"/>
          <w:b/>
          <w:bCs/>
          <w:sz w:val="22"/>
          <w:szCs w:val="22"/>
        </w:rPr>
        <w:t xml:space="preserve">Technical Go</w:t>
      </w:r>
      <w:r>
        <w:rPr>
          <w:rFonts w:ascii="Arial" w:cs="Arial" w:eastAsia="Arial" w:hAnsi="Arial"/>
          <w:sz w:val="22"/>
          <w:szCs w:val="22"/>
        </w:rPr>
        <w:t xml:space="preserve">: pooled hazard estimates for at least 3 of the 4 target polymers, GRADE-rated and robust under leave-one-out sensitivity analysis. </w:t>
      </w:r>
      <w:r>
        <w:rPr>
          <w:rFonts w:ascii="Arial" w:cs="Arial" w:eastAsia="Arial" w:hAnsi="Arial"/>
          <w:b/>
          <w:bCs/>
          <w:sz w:val="22"/>
          <w:szCs w:val="22"/>
        </w:rPr>
        <w:t xml:space="preserve">Commercial Go</w:t>
      </w:r>
      <w:r>
        <w:rPr>
          <w:rFonts w:ascii="Arial" w:cs="Arial" w:eastAsia="Arial" w:hAnsi="Arial"/>
          <w:sz w:val="22"/>
          <w:szCs w:val="22"/>
        </w:rPr>
        <w:t xml:space="preserve">: the scoring engine licensed to at least one pilot partner. </w:t>
      </w:r>
      <w:r>
        <w:rPr>
          <w:rFonts w:ascii="Arial" w:cs="Arial" w:eastAsia="Arial" w:hAnsi="Arial"/>
          <w:b/>
          <w:bCs/>
          <w:sz w:val="22"/>
          <w:szCs w:val="22"/>
        </w:rPr>
        <w:t xml:space="preserve">No-Go</w:t>
      </w:r>
      <w:r>
        <w:rPr>
          <w:rFonts w:ascii="Arial" w:cs="Arial" w:eastAsia="Arial" w:hAnsi="Arial"/>
          <w:sz w:val="22"/>
          <w:szCs w:val="22"/>
        </w:rPr>
        <w:t xml:space="preserve">: a formal evidence-gap analysis specifying exactly which additional primary studies would be needed, scoped as a defined Phase II data-generation target rather than an open-ended gap.</w:t>
      </w:r>
    </w:p>
    <w:p>
      <w:pPr>
        <w:spacing w:after="160" w:line="264" w:lineRule="auto"/>
      </w:pPr>
      <w:r>
        <w:rPr>
          <w:rFonts w:ascii="Arial" w:cs="Arial" w:eastAsia="Arial" w:hAnsi="Arial"/>
          <w:b/>
          <w:bCs/>
          <w:i/>
          <w:iCs/>
          <w:sz w:val="22"/>
          <w:szCs w:val="22"/>
        </w:rPr>
        <w:t xml:space="preserve">Potential Pitfalls and Alternative Strategies. </w:t>
      </w:r>
      <w:r>
        <w:rPr>
          <w:rFonts w:ascii="Arial" w:cs="Arial" w:eastAsia="Arial" w:hAnsi="Arial"/>
          <w:sz w:val="22"/>
          <w:szCs w:val="22"/>
        </w:rPr>
        <w:t xml:space="preserve">The most likely pitfall is that published literature for one of the four polymers proves too sparse or too methodologically heterogeneous to support a GRADE-rated pooled estimate within the compressed 12-month, parallel-track timeline. If this occurs for one polymer, the team will report a narrative synthesis with an explicit evidence-gap statement for that polymer rather than force a pooled estimate the underlying data cannot support, while proceeding with the Technical Go evaluation on the remaining three. A previously identified external validation cohort is not currently accessible; no aim depends on it, and ingestion, schema, and audit-logging components are validated against synthetic and proxy data with pre-registered acceptance criteria, so a clean confirmatory run remains possible if access is later granted.</w:t>
      </w:r>
    </w:p>
    <w:p>
      <w:pPr>
        <w:spacing w:after="120" w:before="200"/>
      </w:pPr>
      <w:r>
        <w:rPr>
          <w:rFonts w:ascii="Arial" w:cs="Arial" w:eastAsia="Arial" w:hAnsi="Arial"/>
          <w:b/>
          <w:bCs/>
          <w:i/>
          <w:iCs/>
          <w:sz w:val="24"/>
          <w:szCs w:val="24"/>
        </w:rPr>
        <w:t xml:space="preserve">Summary</w:t>
      </w:r>
    </w:p>
    <w:p>
      <w:pPr>
        <w:spacing w:after="160" w:line="264" w:lineRule="auto"/>
      </w:pPr>
      <w:r>
        <w:rPr>
          <w:rFonts w:ascii="Arial" w:cs="Arial" w:eastAsia="Arial" w:hAnsi="Arial"/>
          <w:sz w:val="22"/>
          <w:szCs w:val="22"/>
        </w:rPr>
        <w:t xml:space="preserve">At the end of Phase I, PolyLung Bridge AI will have generated and independently validated the first public, particle-level SEM/μ-FTIR paired benchmark of its kind for this four-polymer panel (Aim 1), and produced a versioned, GRADE-rated pulmonary hazard estimate for at least three of those polymers (Aim 2), with both technical and commercial milestones evaluated on a pre-specified 12-month timeline consistent with this FOA's normal Phase I project period. A negative or partial result on either aim is a valid, reportable Phase I outcome under this research plan, not a project failure; the Go/No-Go structure above exists specifically to make that determination rigorously rather than optimistically.</w:t>
      </w:r>
    </w:p>
    <w:p>
      <w:pPr>
        <w:spacing w:after="120" w:before="200"/>
      </w:pPr>
      <w:r>
        <w:rPr>
          <w:rFonts w:ascii="Arial" w:cs="Arial" w:eastAsia="Arial" w:hAnsi="Arial"/>
          <w:b/>
          <w:bCs/>
          <w:i/>
          <w:iCs/>
          <w:sz w:val="24"/>
          <w:szCs w:val="24"/>
        </w:rPr>
        <w:t xml:space="preserve">Commercialization</w:t>
      </w:r>
    </w:p>
    <w:p>
      <w:pPr>
        <w:spacing w:after="160" w:line="264" w:lineRule="auto"/>
      </w:pPr>
      <w:commentRangeStart w:id="3"/>
      <w:commentRangeStart w:id="2"/>
      <w:r>
        <w:rPr>
          <w:rFonts w:ascii="Arial" w:cs="Arial" w:eastAsia="Arial" w:hAnsi="Arial"/>
          <w:sz w:val="22"/>
          <w:szCs w:val="22"/>
        </w:rPr>
        <w:t xml:space="preserve">Environmental microplastics testing is a growing market, though published size estimates vary widely by market definition. PolyLung Bridge AI will initially target environmental testing laboratories as the primary customer, delivering polymer identification and hazard scoring as a subscription-accessible API that labs resell as a premium report line item. Structured discovery with at least five laboratories and a technical beta with one to two qualified labs are planned during Phase I to validate willingness to pay ahead of Phase II scaling. Once technical and commercial milestones are met, Nexara will pursue polymer-manufacturer and regulatory-agency licensing as secondary revenue paths, supported by a layered IP strategy: published benchmark data alongside a trade-secret-protected, continuously updated hazard ontology.</w:t>
      </w:r>
      <w:commentRangeEnd w:id="2"/>
      <w:r>
        <w:rPr>
          <w:rStyle w:val="CommentReference"/>
        </w:rPr>
        <w:commentReference w:id="2"/>
      </w:r>
      <w:commentRangeEnd w:id="3"/>
      <w:r>
        <w:rPr>
          <w:rStyle w:val="CommentReference"/>
        </w:rPr>
        <w:commentReference w:id="3"/>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Siddhardha Nanda" w:date="2026-08-02T04:54:39Z" w:initials="SN">
    <w:p w14:paraId="3EFB42AF" w14:textId="77777777">
      <w:r>
        <w:rPr>
          <w:rStyle w:val="CommentReference"/>
        </w:rPr>
        <w:annotationRef/>
      </w:r>
      <w:r>
        <w:rPr>
          <w:color w:val="000000"/>
          <w:sz w:val="20"/>
          <w:szCs w:val="20"/>
        </w:rPr>
        <w:t xml:space="preserve">Is USF NREC access (Hitachi SU70 SEM, Perkin Elmer Spectrum One FTIR) actually confirmed/scheduled at this point, or aspirational? This is stated as fact here, but our earlier action-items list had 'secure uFTIR access with a letter of support' as an OPEN item. If it isn't formally confirmed in writing yet, either lock that down before submission or soften to 'planned, pending confirmation' -- reviewers may expect a letter of support regardless, and an unqualified 'confirmed' claim without one is a real risk.</w:t>
      </w:r>
    </w:p>
  </w:comment>
  <w:comment w:id="1" w:author="Siddhardha Nanda" w:date="2026-08-02T04:54:39Z" w:initials="SN">
    <w:p w14:paraId="37A02801" w14:textId="77777777">
      <w:r>
        <w:rPr>
          <w:rStyle w:val="CommentReference"/>
        </w:rPr>
        <w:annotationRef/>
      </w:r>
      <w:r>
        <w:rPr>
          <w:color w:val="000000"/>
          <w:sz w:val="20"/>
          <w:szCs w:val="20"/>
        </w:rPr>
        <w:t xml:space="preserve">Has the R21 vs. STTR/SBIR mechanism decision actually been finalized with the Program Officer? This draft fully commits to STTR Phase I with Nexara Solutions as the small business concern -- worth explicitly confirming that conversation happened, since the earlier action-items list had this as an open item too.</w:t>
      </w:r>
    </w:p>
  </w:comment>
  <w:comment w:id="2" w:author="Siddhardha Nanda" w:date="2026-08-02T04:54:39Z" w:initials="SN">
    <w:p w14:paraId="6F8D1FA4" w14:textId="77777777">
      <w:r>
        <w:rPr>
          <w:rStyle w:val="CommentReference"/>
        </w:rPr>
        <w:annotationRef/>
      </w:r>
      <w:r>
        <w:rPr>
          <w:color w:val="000000"/>
          <w:sz w:val="20"/>
          <w:szCs w:val="20"/>
        </w:rPr>
        <w:t xml:space="preserve">Worth double-checking: has Nexara Solutions' STTR eligibility (small business concern size/ownership requirements, formal research-institution partnership agreement with USF) been confirmed with the grants office? This is usually a hard eligibility gate, not just a formality.</w:t>
      </w:r>
    </w:p>
  </w:comment>
  <w:comment w:id="3" w:author="Siddhardha Nanda" w:date="2026-08-02T04:54:40Z" w:initials="SN">
    <w:p w14:paraId="56C74C59" w14:textId="77777777">
      <w:r>
        <w:rPr>
          <w:rStyle w:val="CommentReference"/>
        </w:rPr>
        <w:annotationRef/>
      </w:r>
      <w:r>
        <w:rPr>
          <w:color w:val="000000"/>
          <w:sz w:val="20"/>
          <w:szCs w:val="20"/>
        </w:rPr>
        <w:t xml:space="preserve">Are the 'at least five laboratories' discovery conversations and the '1-2 qualified labs' beta actually lined up / in progress, or are these Phase I targets stated as if already planned? If any of this customer discovery hasn't started, it may be worth being explicit that this is the Phase I plan rather than implying it's already underway -- reviewers scoring commercial potential will likely probe this.</w:t>
      </w:r>
    </w:p>
  </w:comment>
  <w:comment w:id="4" w:author="Siddhardha Nanda" w:date="2026-08-02T04:54:40Z" w:initials="SN">
    <w:p w14:paraId="1D801539" w14:textId="77777777">
      <w:r>
        <w:rPr>
          <w:rStyle w:val="CommentReference"/>
        </w:rPr>
        <w:annotationRef/>
      </w:r>
      <w:r>
        <w:rPr>
          <w:color w:val="000000"/>
          <w:sz w:val="20"/>
          <w:szCs w:val="20"/>
        </w:rPr>
        <w:t xml:space="preserve">Overall: I fact-checked every preliminary-data figure in this Preliminary Studies section against our actual GitHub evidence files (FLOPP 0.78/0.97/n=37, FLOPP-e 72.1%/0.44, SEM cross-dataset 67.4%-&gt;74.2% / 0.51-&gt;0.63, majority baseline 54.4%, pixel-blind 77%, UNICAMP n=15, CUNY n=697, LungHist700 0.439-&gt;0.9461) -- all correct, nothing to change here. Current draft is ~4.6 pages at typical NIH density, comfortably under the 6-page Research Strategy limit, so there's room to add a figure/table of the key results if that would strengthen the visual presentation for reviewers.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FB42AF" w15:done="0"/>
  <w15:commentEx w15:paraId="37A02801" w15:done="0"/>
  <w15:commentEx w15:paraId="6F8D1FA4" w15:done="0"/>
  <w15:commentEx w15:paraId="56C74C59" w15:done="0"/>
  <w15:commentEx w15:paraId="1D8015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8826A2B" w16cex:dateUtc="2026-08-02T04:54:39Z"/>
  <w16cex:commentExtensible w16cex:durableId="4AA37E92" w16cex:dateUtc="2026-08-02T04:54:39Z"/>
  <w16cex:commentExtensible w16cex:durableId="24B21C2C" w16cex:dateUtc="2026-08-02T04:54:39Z"/>
  <w16cex:commentExtensible w16cex:durableId="73B8259F" w16cex:dateUtc="2026-08-02T04:54:40Z"/>
  <w16cex:commentExtensible w16cex:durableId="64238DF9" w16cex:dateUtc="2026-08-02T04:54:4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FB42AF" w16cid:durableId="08826A2B"/>
  <w16cid:commentId w16cid:paraId="37A02801" w16cid:durableId="4AA37E92"/>
  <w16cid:commentId w16cid:paraId="6F8D1FA4" w16cid:durableId="24B21C2C"/>
  <w16cid:commentId w16cid:paraId="56C74C59" w16cid:durableId="73B8259F"/>
  <w16cid:commentId w16cid:paraId="1D801539" w16cid:durableId="64238DF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2026-08-02T01:35:03.462Z</dcterms:created>
  <dcterms:modified xsi:type="dcterms:W3CDTF">2026-08-02T01:35:03.490Z</dcterms:modified>
</cp:coreProperties>
</file>

<file path=docProps/custom.xml><?xml version="1.0" encoding="utf-8"?>
<Properties xmlns="http://schemas.openxmlformats.org/officeDocument/2006/custom-properties" xmlns:vt="http://schemas.openxmlformats.org/officeDocument/2006/docPropsVTypes"/>
</file>