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 AIMS</w:t>
      </w:r>
    </w:p>
    <w:p>
      <w:pPr>
        <w:spacing w:after="40" w:before="0" w:line="226" w:lineRule="auto"/>
      </w:pPr>
      <w:r>
        <w:rPr>
          <w:rFonts w:ascii="Arial" w:cs="Arial" w:eastAsia="Arial" w:hAnsi="Arial"/>
          <w:sz w:val="22"/>
          <w:szCs w:val="22"/>
        </w:rPr>
        <w:t xml:space="preserve">Polymer identity drives pulmonary toxicity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(Danso 2022; Balkrishna 2025)</w:t>
      </w:r>
      <w:r>
        <w:rPr>
          <w:rFonts w:ascii="Arial" w:cs="Arial" w:eastAsia="Arial" w:hAnsi="Arial"/>
          <w:sz w:val="22"/>
          <w:szCs w:val="22"/>
        </w:rPr>
        <w:t xml:space="preserve">, yet testing laboratories cannot rapidly determine which polymer type deserves immediate toxicological attention, a growing gap as testing demand accelerates.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Nexara Solutions</w:t>
      </w:r>
      <w:r>
        <w:rPr>
          <w:rFonts w:ascii="Arial" w:cs="Arial" w:eastAsia="Arial" w:hAnsi="Arial"/>
          <w:sz w:val="22"/>
          <w:szCs w:val="22"/>
        </w:rPr>
        <w:t xml:space="preserve"> is developing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PolyLung Bridge AI</w:t>
      </w:r>
      <w:r>
        <w:rPr>
          <w:rFonts w:ascii="Arial" w:cs="Arial" w:eastAsia="Arial" w:hAnsi="Arial"/>
          <w:sz w:val="22"/>
          <w:szCs w:val="22"/>
        </w:rPr>
        <w:t xml:space="preserve"> to close it: automated polymer identification, which today relies on FTIR/Raman methods taking hours to days per sample, combined with evidence-based hazard scoring built from otherwise-scattered toxicology literature, compressed to minutes and delivered as one subscription-accessible, evidence-graded score at commercial scale.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practice (FTIR/Raman)</w:t>
            </w:r>
          </w:p>
        </w:tc>
        <w:tc>
          <w:tcPr>
            <w:tcW w:type="dxa" w:w="2500"/>
            <w:shd w:fill="D9D9D9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PolyLung Bridge AI</w:t>
            </w:r>
          </w:p>
        </w:tc>
      </w:tr>
      <w:tr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per sample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Hours to days, specialist-run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Seconds to minutes, automated</w:t>
            </w:r>
          </w:p>
        </w:tc>
      </w:tr>
      <w:tr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Hazard interpretation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None; identification only</w:t>
            </w:r>
          </w:p>
        </w:tc>
        <w:tc>
          <w:tcPr>
            <w:tcW w:type="dxa" w:w="25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Evidence-graded score included</w:t>
            </w:r>
          </w:p>
        </w:tc>
      </w:tr>
    </w:tbl>
    <w:p>
      <w:pPr>
        <w:spacing w:after="80" w:before="0" w:line="240" w:lineRule="auto"/>
      </w:pPr>
      <w:r>
        <w:rPr>
          <w:rFonts w:ascii="Arial" w:cs="Arial" w:eastAsia="Arial" w:hAnsi="Arial"/>
          <w:sz w:val="22"/>
          <w:szCs w:val="22"/>
        </w:rPr>
        <w:t xml:space="preserve">PolyLung Bridge AI is not a general-purpose vision model. To our knowledge, no publicly available benchmark pairs sufficiently large particle-level SEM images with independently μ-FTIR-confirmed labels across this four-polymer panel.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Scope: hazard, not risk.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Hazard is a property of the polymer; risk requires a quantified exposure pathway not yet established. No population risk estimate or public advisory is produced.</w:t>
      </w:r>
    </w:p>
    <w:p>
      <w:pPr>
        <w:spacing w:after="40" w:before="0" w:line="226" w:lineRule="auto"/>
      </w:pPr>
      <w:commentRangeStart w:id="0"/>
      <w:r>
        <w:rPr>
          <w:rFonts w:ascii="Arial" w:cs="Arial" w:eastAsia="Arial" w:hAnsi="Arial"/>
          <w:sz w:val="22"/>
          <w:szCs w:val="22"/>
        </w:rPr>
        <w:t xml:space="preserve">In Phase I, PD/PI Narasaiah Kolliputi, PhD, Founder and CEO, leads a team combining materials-science (Manoj Ram, PhD, Co-I), ML/computer-vision (S. Nanda), and toxicology/inflammation expertise (L. Galam, PhD, CSO), with research-institution partner the University of South Florida.</w:t>
      </w:r>
      <w:commentRangeEnd w:id="0"/>
      <w:r>
        <w:rPr>
          <w:rStyle w:val="CommentReference"/>
        </w:rPr>
        <w:commentReference w:id="0"/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 1. Build and validate a commercial polymer-identification tool, benchmarked against independent chemical ground truth.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Product. </w:t>
      </w:r>
      <w:r>
        <w:rPr>
          <w:rFonts w:ascii="Arial" w:cs="Arial" w:eastAsia="Arial" w:hAnsi="Arial"/>
          <w:sz w:val="22"/>
          <w:szCs w:val="22"/>
        </w:rPr>
        <w:t xml:space="preserve">A trained, versioned classification API assigning polymer identity (PE, PP, PS, PVC) to SEM particle images, independently verified against μ-FTIR-confirmed samples rather than internal annotation labels: a validation standard expected to support adoption by environmental testing laboratories.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Development Plan. </w:t>
      </w:r>
      <w:r>
        <w:rPr>
          <w:rFonts w:ascii="Arial" w:cs="Arial" w:eastAsia="Arial" w:hAnsi="Arial"/>
          <w:sz w:val="22"/>
          <w:szCs w:val="22"/>
        </w:rPr>
        <w:t xml:space="preserve">Fine-tune an ImageNet-pretrained vision backbone on a consolidated MiNa/Roboflow corpus restricted to a four-polymer panel (PE, PP, PS, PVC): Phase I’s highest-priority polymers by environmental prevalence, reducing technical risk while covering the majority of environmentally reported pulmonary microplastics and the only ones with sufficient toxicology data for Aim 2. A paired SEM/μ-FTIR test set of ≥120 particles (Months 1 to 3, via confirmed USF core access) quantifies domain shift; UNICAMP’s paired set (n=15) serves as an external reference. Stratified cross-validation reports macro F1, per-class recall, and calibration, the metrics that determine adoption, not architecture.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Milestones &amp; Go/No-Go (Month 12).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Technical Go</w:t>
      </w:r>
      <w:r>
        <w:rPr>
          <w:rFonts w:ascii="Arial" w:cs="Arial" w:eastAsia="Arial" w:hAnsi="Arial"/>
          <w:sz w:val="22"/>
          <w:szCs w:val="22"/>
        </w:rPr>
        <w:t xml:space="preserve">: macro F1 ≥ 0.70, per-class recall ≥ 0.60, calibrated confidence, sub-second per-particle inference suitable for cloud deployment.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Go</w:t>
      </w:r>
      <w:r>
        <w:rPr>
          <w:rFonts w:ascii="Arial" w:cs="Arial" w:eastAsia="Arial" w:hAnsi="Arial"/>
          <w:sz w:val="22"/>
          <w:szCs w:val="22"/>
        </w:rPr>
        <w:t xml:space="preserve">: cloud API deployed in one operating laboratory’s live workflow with documented user feedback.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No-Go</w:t>
      </w:r>
      <w:r>
        <w:rPr>
          <w:rFonts w:ascii="Arial" w:cs="Arial" w:eastAsia="Arial" w:hAnsi="Arial"/>
          <w:sz w:val="22"/>
          <w:szCs w:val="22"/>
        </w:rPr>
        <w:t xml:space="preserve">: report a characterized negative-result benchmark; redirect to a scoped active-learning sub-tool.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Preliminary evidence: </w:t>
      </w:r>
      <w:r>
        <w:rPr>
          <w:rFonts w:ascii="Arial" w:cs="Arial" w:eastAsia="Arial" w:hAnsi="Arial"/>
          <w:sz w:val="22"/>
          <w:szCs w:val="22"/>
        </w:rPr>
        <w:t xml:space="preserve">a spectral classifier on real FTIR data (FLOPP, 14 classes including this panel) reached macro F1 0.78 (AUC 0.97) internally; on weathered spectra (FLOPP-e), macro F1 falls to 0.44, motivating this aim’s environmental test set.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 2. Build the Polymer Pulmonary Hazard Index (PPHI): a semi-automated, expert-verified hazard decision-intelligence engine.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Product. </w:t>
      </w:r>
      <w:r>
        <w:rPr>
          <w:rFonts w:ascii="Arial" w:cs="Arial" w:eastAsia="Arial" w:hAnsi="Arial"/>
          <w:sz w:val="22"/>
          <w:szCs w:val="22"/>
        </w:rPr>
        <w:t xml:space="preserve">Once Aim 1 identifies a polymer, PPHI answers whether it matters: a versioned, subscription-accessible scoring engine turning scattered toxicology literature into one source-traceable hazard score labs resell to flag high-hazard polymers for follow-up before a formal risk assessment is commissioned, traceable to source, heterogeneity, and certainty grade. New evidence is ingested through a semi-automated, expert-verified pipeline in Phase I (full automation is a Phase II target). Nexara will evaluate patent protection for novel system-level implementations, holding the curated, continuously updated ontology as trade secret distinct from the public benchmark (Preliminary Studies).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Development Plan. </w:t>
      </w:r>
      <w:r>
        <w:rPr>
          <w:rFonts w:ascii="Arial" w:cs="Arial" w:eastAsia="Arial" w:hAnsi="Arial"/>
          <w:sz w:val="22"/>
          <w:szCs w:val="22"/>
        </w:rPr>
        <w:t xml:space="preserve">Starting Month 1, in parallel with Aim 1 rather than after it, since literature synthesis does not depend on Aim 1’s classifier output, a PROSPERO-registered systematic review and random-effects meta-analysis of inhalation/intratracheal exposure studies (BALF cytokines, immune influx, histopathology; Hedges’ g) builds the initial knowledge graph; heterogeneity and GRADE certainty quantified per polymer, forming the defensible asset behind the subscription API.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Milestones &amp; Go/No-Go (Month 12, parallel to Aim 1).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Technical Go</w:t>
      </w:r>
      <w:r>
        <w:rPr>
          <w:rFonts w:ascii="Arial" w:cs="Arial" w:eastAsia="Arial" w:hAnsi="Arial"/>
          <w:sz w:val="22"/>
          <w:szCs w:val="22"/>
        </w:rPr>
        <w:t xml:space="preserve">: pooled estimates for ≥3 polymers, CI/GRADE rated, robust under leave-one-out.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Go</w:t>
      </w:r>
      <w:r>
        <w:rPr>
          <w:rFonts w:ascii="Arial" w:cs="Arial" w:eastAsia="Arial" w:hAnsi="Arial"/>
          <w:sz w:val="22"/>
          <w:szCs w:val="22"/>
        </w:rPr>
        <w:t xml:space="preserve">: engine licensed to ≥1 pilot partner.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No-Go</w:t>
      </w:r>
      <w:r>
        <w:rPr>
          <w:rFonts w:ascii="Arial" w:cs="Arial" w:eastAsia="Arial" w:hAnsi="Arial"/>
          <w:sz w:val="22"/>
          <w:szCs w:val="22"/>
        </w:rPr>
        <w:t xml:space="preserve">: evidence-gap analysis specifying studies needed for a scoped Phase II plan.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Integrated workflow. </w:t>
      </w:r>
      <w:r>
        <w:rPr>
          <w:rFonts w:ascii="Arial" w:cs="Arial" w:eastAsia="Arial" w:hAnsi="Arial"/>
          <w:sz w:val="22"/>
          <w:szCs w:val="22"/>
        </w:rPr>
        <w:t xml:space="preserve">SEM image in, polymer identity/confidence out; low-confidence routes to μ-FTIR confirmation; confirmed identity queries PPHI for one report.</w:t>
      </w:r>
    </w:p>
    <w:p>
      <w:pPr>
        <w:spacing w:after="40" w:before="0" w:line="22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and impact. </w:t>
      </w:r>
      <w:r>
        <w:rPr>
          <w:rFonts w:ascii="Arial" w:cs="Arial" w:eastAsia="Arial" w:hAnsi="Arial"/>
          <w:sz w:val="22"/>
          <w:szCs w:val="22"/>
        </w:rPr>
        <w:t xml:space="preserve">Two subscription-accessible products (protocol/evidence tables published), scaling from ≥5-lab discovery and 1 to 2 beta labs to Phase II paid subscribers.</w:t>
      </w:r>
    </w:p>
    <w:p>
      <w:r>
        <w:br w:type="pag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Siddhardha Nanda" w:date="2026-08-02T04:55:37Z" w:initials="SN">
    <w:p w14:paraId="543F418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Worth flagging for institutional review: NK is listed as PD/PI as well as Founder and CEO of Nexara Solutions. This dual role is standard for STTR but usually requires an explicit financial conflict-of-interest disclosure/management plan in the application -- worth confirming with USF's grants/COI office that this is in place before submission.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3F41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336A950" w16cex:dateUtc="2026-08-02T04:55:3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3F418D" w16cid:durableId="5336A95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4fa071270563f998bd0dacfa1a23645ca6cc62.png"/><Relationship Id="rId8" Type="http://schemas.openxmlformats.org/officeDocument/2006/relationships/image" Target="media/72374d9691c13a7ec125bb95850946258d2d89cb.png"/><Relationship Id="rId9" Type="http://schemas.openxmlformats.org/officeDocument/2006/relationships/image" Target="media/b5e5a9bb496c327717cab94c0fc01dda55dfb68b.png"/><Relationship Id="rId10" Type="http://schemas.openxmlformats.org/officeDocument/2006/relationships/image" Target="media/46363f7f776a749451733ba894bc57628ec1a759.png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2026-07-31T18:32:44.701Z</dcterms:created>
  <dcterms:modified xsi:type="dcterms:W3CDTF">2026-07-31T18:32:44.701Z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