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PolyLung Bridge AI — Preliminary Data Summary</w:t>
      </w:r>
    </w:p>
    <w:p>
      <w:pPr>
        <w:spacing w:after="120"/>
      </w:pPr>
      <w:r>
        <w:rPr>
          <w:i/>
          <w:iCs/>
        </w:rPr>
        <w:t xml:space="preserve">Microplastic Polymer Classification: Public Dataset Evaluation, Pilot Feasibility, and Preliminary AI Pipeline Results</w:t>
      </w:r>
    </w:p>
    <w:p>
      <w:pPr>
        <w:spacing w:after="120"/>
      </w:pPr>
      <w:r>
        <w:rPr>
          <w:sz w:val="20"/>
          <w:szCs w:val="20"/>
        </w:rPr>
        <w:t xml:space="preserve">Prepared by Siddhardha Nanda and Selina Park. Date: 2026-07-31.</w:t>
      </w:r>
    </w:p>
    <w:p>
      <w:pPr>
        <w:pStyle w:val="Heading1"/>
        <w:spacing w:after="150" w:before="300"/>
      </w:pPr>
      <w:r>
        <w:t xml:space="preserve">1. Public Dataset Landscape (Task 1)</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2600"/>
        <w:gridCol w:w="1700"/>
        <w:gridCol w:w="1500"/>
      </w:tblGrid>
      <w:tr>
        <w:trPr>
          <w:tblHeader/>
        </w:trPr>
        <w:tc>
          <w:tcPr>
            <w:tcW w:type="dxa" w:w="2600"/>
            <w:shd w:fill="D9E2F3" w:val="clear"/>
          </w:tcPr>
          <w:p>
            <w:r>
              <w:rPr>
                <w:b/>
                <w:bCs/>
                <w:sz w:val="18"/>
                <w:szCs w:val="18"/>
              </w:rPr>
              <w:t xml:space="preserve">Dataset</w:t>
            </w:r>
          </w:p>
        </w:tc>
        <w:tc>
          <w:tcPr>
            <w:tcW w:type="dxa" w:w="1700"/>
            <w:shd w:fill="D9E2F3" w:val="clear"/>
          </w:tcPr>
          <w:p>
            <w:r>
              <w:rPr>
                <w:b/>
                <w:bCs/>
                <w:sz w:val="18"/>
                <w:szCs w:val="18"/>
              </w:rPr>
              <w:t xml:space="preserve">Type</w:t>
            </w:r>
          </w:p>
        </w:tc>
        <w:tc>
          <w:tcPr>
            <w:tcW w:type="dxa" w:w="1700"/>
            <w:shd w:fill="D9E2F3" w:val="clear"/>
          </w:tcPr>
          <w:p>
            <w:r>
              <w:rPr>
                <w:b/>
                <w:bCs/>
                <w:sz w:val="18"/>
                <w:szCs w:val="18"/>
              </w:rPr>
              <w:t xml:space="preserve">N</w:t>
            </w:r>
          </w:p>
        </w:tc>
        <w:tc>
          <w:tcPr>
            <w:tcW w:type="dxa" w:w="2600"/>
            <w:shd w:fill="D9E2F3" w:val="clear"/>
          </w:tcPr>
          <w:p>
            <w:r>
              <w:rPr>
                <w:b/>
                <w:bCs/>
                <w:sz w:val="18"/>
                <w:szCs w:val="18"/>
              </w:rPr>
              <w:t xml:space="preserve">Polymer classes</w:t>
            </w:r>
          </w:p>
        </w:tc>
        <w:tc>
          <w:tcPr>
            <w:tcW w:type="dxa" w:w="1700"/>
            <w:shd w:fill="D9E2F3" w:val="clear"/>
          </w:tcPr>
          <w:p>
            <w:r>
              <w:rPr>
                <w:b/>
                <w:bCs/>
                <w:sz w:val="18"/>
                <w:szCs w:val="18"/>
              </w:rPr>
              <w:t xml:space="preserve">SEM+FTIR paired?</w:t>
            </w:r>
          </w:p>
        </w:tc>
        <w:tc>
          <w:tcPr>
            <w:tcW w:type="dxa" w:w="1500"/>
            <w:shd w:fill="D9E2F3" w:val="clear"/>
          </w:tcPr>
          <w:p>
            <w:r>
              <w:rPr>
                <w:b/>
                <w:bCs/>
                <w:sz w:val="18"/>
                <w:szCs w:val="18"/>
              </w:rPr>
              <w:t xml:space="preserve">License</w:t>
            </w:r>
          </w:p>
        </w:tc>
      </w:tr>
      <w:tr>
        <w:tc>
          <w:tcPr>
            <w:tcW w:type="dxa" w:w="2600"/>
          </w:tcPr>
          <w:p>
            <w:r>
              <w:rPr>
                <w:b w:val="false"/>
                <w:bCs w:val="false"/>
                <w:sz w:val="18"/>
                <w:szCs w:val="18"/>
              </w:rPr>
              <w:t xml:space="preserve">Microplastics_SEM (U. Toronto)</w:t>
            </w:r>
          </w:p>
        </w:tc>
        <w:tc>
          <w:tcPr>
            <w:tcW w:type="dxa" w:w="1700"/>
          </w:tcPr>
          <w:p>
            <w:r>
              <w:rPr>
                <w:b w:val="false"/>
                <w:bCs w:val="false"/>
                <w:sz w:val="18"/>
                <w:szCs w:val="18"/>
              </w:rPr>
              <w:t xml:space="preserve">SEM images</w:t>
            </w:r>
          </w:p>
        </w:tc>
        <w:tc>
          <w:tcPr>
            <w:tcW w:type="dxa" w:w="1700"/>
          </w:tcPr>
          <w:p>
            <w:r>
              <w:rPr>
                <w:b w:val="false"/>
                <w:bCs w:val="false"/>
                <w:sz w:val="18"/>
                <w:szCs w:val="18"/>
              </w:rPr>
              <w:t xml:space="preserve">Multiple sub-datasets</w:t>
            </w:r>
          </w:p>
        </w:tc>
        <w:tc>
          <w:tcPr>
            <w:tcW w:type="dxa" w:w="2600"/>
          </w:tcPr>
          <w:p>
            <w:r>
              <w:rPr>
                <w:b w:val="false"/>
                <w:bCs w:val="false"/>
                <w:sz w:val="18"/>
                <w:szCs w:val="18"/>
              </w:rPr>
              <w:t xml:space="preserve">None (shape only: fibre/bead/fragment)</w:t>
            </w:r>
          </w:p>
        </w:tc>
        <w:tc>
          <w:tcPr>
            <w:tcW w:type="dxa" w:w="1700"/>
          </w:tcPr>
          <w:p>
            <w:r>
              <w:rPr>
                <w:b w:val="false"/>
                <w:bCs w:val="false"/>
                <w:sz w:val="18"/>
                <w:szCs w:val="18"/>
              </w:rPr>
              <w:t xml:space="preserve">No</w:t>
            </w:r>
          </w:p>
        </w:tc>
        <w:tc>
          <w:tcPr>
            <w:tcW w:type="dxa" w:w="1500"/>
          </w:tcPr>
          <w:p>
            <w:r>
              <w:rPr>
                <w:b w:val="false"/>
                <w:bCs w:val="false"/>
                <w:sz w:val="18"/>
                <w:szCs w:val="18"/>
              </w:rPr>
              <w:t xml:space="preserve">CC BY 4.0</w:t>
            </w:r>
          </w:p>
        </w:tc>
      </w:tr>
      <w:tr>
        <w:tc>
          <w:tcPr>
            <w:tcW w:type="dxa" w:w="2600"/>
          </w:tcPr>
          <w:p>
            <w:r>
              <w:rPr>
                <w:b w:val="false"/>
                <w:bCs w:val="false"/>
                <w:sz w:val="18"/>
                <w:szCs w:val="18"/>
              </w:rPr>
              <w:t xml:space="preserve">FLOPP / FLOPP-e (Rochman Lab)</w:t>
            </w:r>
          </w:p>
        </w:tc>
        <w:tc>
          <w:tcPr>
            <w:tcW w:type="dxa" w:w="1700"/>
          </w:tcPr>
          <w:p>
            <w:r>
              <w:rPr>
                <w:b w:val="false"/>
                <w:bCs w:val="false"/>
                <w:sz w:val="18"/>
                <w:szCs w:val="18"/>
              </w:rPr>
              <w:t xml:space="preserve">ATR-FTIR spectra</w:t>
            </w:r>
          </w:p>
        </w:tc>
        <w:tc>
          <w:tcPr>
            <w:tcW w:type="dxa" w:w="1700"/>
          </w:tcPr>
          <w:p>
            <w:r>
              <w:rPr>
                <w:b w:val="false"/>
                <w:bCs w:val="false"/>
                <w:sz w:val="18"/>
                <w:szCs w:val="18"/>
              </w:rPr>
              <w:t xml:space="preserve">186 / 195</w:t>
            </w:r>
          </w:p>
        </w:tc>
        <w:tc>
          <w:tcPr>
            <w:tcW w:type="dxa" w:w="2600"/>
          </w:tcPr>
          <w:p>
            <w:r>
              <w:rPr>
                <w:b w:val="false"/>
                <w:bCs w:val="false"/>
                <w:sz w:val="18"/>
                <w:szCs w:val="18"/>
              </w:rPr>
              <w:t xml:space="preserve">14–15 (PE, PP, PS, PVC, PET, etc.)</w:t>
            </w:r>
          </w:p>
        </w:tc>
        <w:tc>
          <w:tcPr>
            <w:tcW w:type="dxa" w:w="1700"/>
          </w:tcPr>
          <w:p>
            <w:r>
              <w:rPr>
                <w:b w:val="false"/>
                <w:bCs w:val="false"/>
                <w:sz w:val="18"/>
                <w:szCs w:val="18"/>
              </w:rPr>
              <w:t xml:space="preserve">No (spectra only)</w:t>
            </w:r>
          </w:p>
        </w:tc>
        <w:tc>
          <w:tcPr>
            <w:tcW w:type="dxa" w:w="1500"/>
          </w:tcPr>
          <w:p>
            <w:r>
              <w:rPr>
                <w:b w:val="false"/>
                <w:bCs w:val="false"/>
                <w:sz w:val="18"/>
                <w:szCs w:val="18"/>
              </w:rPr>
              <w:t xml:space="preserve">Open, citation req.</w:t>
            </w:r>
          </w:p>
        </w:tc>
      </w:tr>
      <w:tr>
        <w:tc>
          <w:tcPr>
            <w:tcW w:type="dxa" w:w="2600"/>
          </w:tcPr>
          <w:p>
            <w:r>
              <w:rPr>
                <w:b w:val="false"/>
                <w:bCs w:val="false"/>
                <w:sz w:val="18"/>
                <w:szCs w:val="18"/>
              </w:rPr>
              <w:t xml:space="preserve">UNICAMP SEM–FTIR dataset</w:t>
            </w:r>
          </w:p>
        </w:tc>
        <w:tc>
          <w:tcPr>
            <w:tcW w:type="dxa" w:w="1700"/>
          </w:tcPr>
          <w:p>
            <w:r>
              <w:rPr>
                <w:b w:val="false"/>
                <w:bCs w:val="false"/>
                <w:sz w:val="18"/>
                <w:szCs w:val="18"/>
              </w:rPr>
              <w:t xml:space="preserve">Paired SEM-EDS + µFTIR</w:t>
            </w:r>
          </w:p>
        </w:tc>
        <w:tc>
          <w:tcPr>
            <w:tcW w:type="dxa" w:w="1700"/>
          </w:tcPr>
          <w:p>
            <w:r>
              <w:rPr>
                <w:b w:val="false"/>
                <w:bCs w:val="false"/>
                <w:sz w:val="18"/>
                <w:szCs w:val="18"/>
              </w:rPr>
              <w:t xml:space="preserve">50 labeled; 15 fully paired</w:t>
            </w:r>
          </w:p>
        </w:tc>
        <w:tc>
          <w:tcPr>
            <w:tcW w:type="dxa" w:w="2600"/>
          </w:tcPr>
          <w:p>
            <w:r>
              <w:rPr>
                <w:b w:val="false"/>
                <w:bCs w:val="false"/>
                <w:sz w:val="18"/>
                <w:szCs w:val="18"/>
              </w:rPr>
              <w:t xml:space="preserve">PE, PP, PS, PA, PVC</w:t>
            </w:r>
          </w:p>
        </w:tc>
        <w:tc>
          <w:tcPr>
            <w:tcW w:type="dxa" w:w="1700"/>
          </w:tcPr>
          <w:p>
            <w:r>
              <w:rPr>
                <w:b w:val="false"/>
                <w:bCs w:val="false"/>
                <w:sz w:val="18"/>
                <w:szCs w:val="18"/>
              </w:rPr>
              <w:t xml:space="preserve">Yes — 15 particles</w:t>
            </w:r>
          </w:p>
        </w:tc>
        <w:tc>
          <w:tcPr>
            <w:tcW w:type="dxa" w:w="1500"/>
          </w:tcPr>
          <w:p>
            <w:r>
              <w:rPr>
                <w:b w:val="false"/>
                <w:bCs w:val="false"/>
                <w:sz w:val="18"/>
                <w:szCs w:val="18"/>
              </w:rPr>
              <w:t xml:space="preserve">CC BY 4.0</w:t>
            </w:r>
          </w:p>
        </w:tc>
      </w:tr>
      <w:tr>
        <w:tc>
          <w:tcPr>
            <w:tcW w:type="dxa" w:w="2600"/>
          </w:tcPr>
          <w:p>
            <w:r>
              <w:rPr>
                <w:b w:val="false"/>
                <w:bCs w:val="false"/>
                <w:sz w:val="18"/>
                <w:szCs w:val="18"/>
              </w:rPr>
              <w:t xml:space="preserve">SLoPP / SLoPP-E (Rochman Lab)</w:t>
            </w:r>
          </w:p>
        </w:tc>
        <w:tc>
          <w:tcPr>
            <w:tcW w:type="dxa" w:w="1700"/>
          </w:tcPr>
          <w:p>
            <w:r>
              <w:rPr>
                <w:b w:val="false"/>
                <w:bCs w:val="false"/>
                <w:sz w:val="18"/>
                <w:szCs w:val="18"/>
              </w:rPr>
              <w:t xml:space="preserve">Raman spectra</w:t>
            </w:r>
          </w:p>
        </w:tc>
        <w:tc>
          <w:tcPr>
            <w:tcW w:type="dxa" w:w="1700"/>
          </w:tcPr>
          <w:p>
            <w:r>
              <w:rPr>
                <w:b w:val="false"/>
                <w:bCs w:val="false"/>
                <w:sz w:val="18"/>
                <w:szCs w:val="18"/>
              </w:rPr>
              <w:t xml:space="preserve">148 / 113</w:t>
            </w:r>
          </w:p>
        </w:tc>
        <w:tc>
          <w:tcPr>
            <w:tcW w:type="dxa" w:w="2600"/>
          </w:tcPr>
          <w:p>
            <w:r>
              <w:rPr>
                <w:b w:val="false"/>
                <w:bCs w:val="false"/>
                <w:sz w:val="18"/>
                <w:szCs w:val="18"/>
              </w:rPr>
              <w:t xml:space="preserve">Multiple</w:t>
            </w:r>
          </w:p>
        </w:tc>
        <w:tc>
          <w:tcPr>
            <w:tcW w:type="dxa" w:w="1700"/>
          </w:tcPr>
          <w:p>
            <w:r>
              <w:rPr>
                <w:b w:val="false"/>
                <w:bCs w:val="false"/>
                <w:sz w:val="18"/>
                <w:szCs w:val="18"/>
              </w:rPr>
              <w:t xml:space="preserve">No (spectra only)</w:t>
            </w:r>
          </w:p>
        </w:tc>
        <w:tc>
          <w:tcPr>
            <w:tcW w:type="dxa" w:w="1500"/>
          </w:tcPr>
          <w:p>
            <w:r>
              <w:rPr>
                <w:b w:val="false"/>
                <w:bCs w:val="false"/>
                <w:sz w:val="18"/>
                <w:szCs w:val="18"/>
              </w:rPr>
              <w:t xml:space="preserve">Open, citation req.</w:t>
            </w:r>
          </w:p>
        </w:tc>
      </w:tr>
    </w:tbl>
    <w:p>
      <w:pPr>
        <w:spacing w:after="240"/>
        <w:jc w:val="center"/>
      </w:pPr>
      <w:r>
        <w:rPr>
          <w:i/>
          <w:iCs/>
          <w:sz w:val="18"/>
          <w:szCs w:val="18"/>
        </w:rPr>
        <w:t xml:space="preserve">Table 1. Public datasets identified, downloaded, and evaluated. Full detail in accompanying report.</w:t>
      </w:r>
    </w:p>
    <w:p>
      <w:pPr>
        <w:spacing w:after="120"/>
      </w:pPr>
      <w:r>
        <w:t xml:space="preserve">Key finding: no public dataset provides particle-level SEM+FTIR pairing at scale. The UNICAMP dataset (newly located; not indexed under its expected name at first search) is the closest match, at n=15 — sufficient as a reference/validation set but not for training. This gap directly motivates the proposed STTR work.</w:t>
      </w:r>
    </w:p>
    <w:p>
      <w:pPr>
        <w:pStyle w:val="Heading1"/>
        <w:spacing w:after="150" w:before="300"/>
      </w:pPr>
      <w:r>
        <w:t xml:space="preserve">2. Pilot Dataset Feasibility (Task 2)</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6800"/>
        <w:gridCol w:w="3000"/>
      </w:tblGrid>
      <w:tr>
        <w:trPr>
          <w:tblHeader/>
        </w:trPr>
        <w:tc>
          <w:tcPr>
            <w:tcW w:type="dxa" w:w="6800"/>
            <w:shd w:fill="D9E2F3" w:val="clear"/>
          </w:tcPr>
          <w:p>
            <w:r>
              <w:rPr>
                <w:b/>
                <w:bCs/>
                <w:sz w:val="18"/>
                <w:szCs w:val="18"/>
              </w:rPr>
              <w:t xml:space="preserve">Phase</w:t>
            </w:r>
          </w:p>
        </w:tc>
        <w:tc>
          <w:tcPr>
            <w:tcW w:type="dxa" w:w="3000"/>
            <w:shd w:fill="D9E2F3" w:val="clear"/>
          </w:tcPr>
          <w:p>
            <w:r>
              <w:rPr>
                <w:b/>
                <w:bCs/>
                <w:sz w:val="18"/>
                <w:szCs w:val="18"/>
              </w:rPr>
              <w:t xml:space="preserve">Estimated duration</w:t>
            </w:r>
          </w:p>
        </w:tc>
      </w:tr>
      <w:tr>
        <w:tc>
          <w:tcPr>
            <w:tcW w:type="dxa" w:w="6800"/>
          </w:tcPr>
          <w:p>
            <w:r>
              <w:rPr>
                <w:b w:val="false"/>
                <w:bCs w:val="false"/>
                <w:sz w:val="18"/>
                <w:szCs w:val="18"/>
              </w:rPr>
              <w:t xml:space="preserve">Instrument access/scheduling (SEM + µFTIR core facility)</w:t>
            </w:r>
          </w:p>
        </w:tc>
        <w:tc>
          <w:tcPr>
            <w:tcW w:type="dxa" w:w="3000"/>
          </w:tcPr>
          <w:p>
            <w:r>
              <w:rPr>
                <w:b w:val="false"/>
                <w:bCs w:val="false"/>
                <w:sz w:val="18"/>
                <w:szCs w:val="18"/>
              </w:rPr>
              <w:t xml:space="preserve">1–3 weeks</w:t>
            </w:r>
          </w:p>
        </w:tc>
      </w:tr>
      <w:tr>
        <w:tc>
          <w:tcPr>
            <w:tcW w:type="dxa" w:w="6800"/>
          </w:tcPr>
          <w:p>
            <w:r>
              <w:rPr>
                <w:b w:val="false"/>
                <w:bCs w:val="false"/>
                <w:sz w:val="18"/>
                <w:szCs w:val="18"/>
              </w:rPr>
              <w:t xml:space="preserve">Reference standard procurement</w:t>
            </w:r>
          </w:p>
        </w:tc>
        <w:tc>
          <w:tcPr>
            <w:tcW w:type="dxa" w:w="3000"/>
          </w:tcPr>
          <w:p>
            <w:r>
              <w:rPr>
                <w:b w:val="false"/>
                <w:bCs w:val="false"/>
                <w:sz w:val="18"/>
                <w:szCs w:val="18"/>
              </w:rPr>
              <w:t xml:space="preserve">2–7 days</w:t>
            </w:r>
          </w:p>
        </w:tc>
      </w:tr>
      <w:tr>
        <w:tc>
          <w:tcPr>
            <w:tcW w:type="dxa" w:w="6800"/>
          </w:tcPr>
          <w:p>
            <w:r>
              <w:rPr>
                <w:b w:val="false"/>
                <w:bCs w:val="false"/>
                <w:sz w:val="18"/>
                <w:szCs w:val="18"/>
              </w:rPr>
              <w:t xml:space="preserve">Sample prep (mounting, coating, indexing)</w:t>
            </w:r>
          </w:p>
        </w:tc>
        <w:tc>
          <w:tcPr>
            <w:tcW w:type="dxa" w:w="3000"/>
          </w:tcPr>
          <w:p>
            <w:r>
              <w:rPr>
                <w:b w:val="false"/>
                <w:bCs w:val="false"/>
                <w:sz w:val="18"/>
                <w:szCs w:val="18"/>
              </w:rPr>
              <w:t xml:space="preserve">1–2 days/batch</w:t>
            </w:r>
          </w:p>
        </w:tc>
      </w:tr>
      <w:tr>
        <w:tc>
          <w:tcPr>
            <w:tcW w:type="dxa" w:w="6800"/>
          </w:tcPr>
          <w:p>
            <w:r>
              <w:rPr>
                <w:b w:val="false"/>
                <w:bCs w:val="false"/>
                <w:sz w:val="18"/>
                <w:szCs w:val="18"/>
              </w:rPr>
              <w:t xml:space="preserve">Data collection (40–80 particles, both instruments)</w:t>
            </w:r>
          </w:p>
        </w:tc>
        <w:tc>
          <w:tcPr>
            <w:tcW w:type="dxa" w:w="3000"/>
          </w:tcPr>
          <w:p>
            <w:r>
              <w:rPr>
                <w:b w:val="false"/>
                <w:bCs w:val="false"/>
                <w:sz w:val="18"/>
                <w:szCs w:val="18"/>
              </w:rPr>
              <w:t xml:space="preserve">3–8 working days</w:t>
            </w:r>
          </w:p>
        </w:tc>
      </w:tr>
      <w:tr>
        <w:tc>
          <w:tcPr>
            <w:tcW w:type="dxa" w:w="6800"/>
          </w:tcPr>
          <w:p>
            <w:r>
              <w:rPr>
                <w:b w:val="false"/>
                <w:bCs w:val="false"/>
                <w:sz w:val="18"/>
                <w:szCs w:val="18"/>
              </w:rPr>
              <w:t xml:space="preserve">QC, spectral matching, documentation</w:t>
            </w:r>
          </w:p>
        </w:tc>
        <w:tc>
          <w:tcPr>
            <w:tcW w:type="dxa" w:w="3000"/>
          </w:tcPr>
          <w:p>
            <w:r>
              <w:rPr>
                <w:b w:val="false"/>
                <w:bCs w:val="false"/>
                <w:sz w:val="18"/>
                <w:szCs w:val="18"/>
              </w:rPr>
              <w:t xml:space="preserve">2–5 days</w:t>
            </w:r>
          </w:p>
        </w:tc>
      </w:tr>
      <w:tr>
        <w:tc>
          <w:tcPr>
            <w:tcW w:type="dxa" w:w="6800"/>
          </w:tcPr>
          <w:p>
            <w:r>
              <w:rPr>
                <w:b w:val="false"/>
                <w:bCs w:val="false"/>
                <w:sz w:val="18"/>
                <w:szCs w:val="18"/>
              </w:rPr>
              <w:t xml:space="preserve">Total realistic timeline</w:t>
            </w:r>
          </w:p>
        </w:tc>
        <w:tc>
          <w:tcPr>
            <w:tcW w:type="dxa" w:w="3000"/>
          </w:tcPr>
          <w:p>
            <w:r>
              <w:rPr>
                <w:b w:val="false"/>
                <w:bCs w:val="false"/>
                <w:sz w:val="18"/>
                <w:szCs w:val="18"/>
              </w:rPr>
              <w:t xml:space="preserve">3–6 weeks minimum</w:t>
            </w:r>
          </w:p>
        </w:tc>
      </w:tr>
    </w:tbl>
    <w:p>
      <w:pPr>
        <w:spacing w:after="240"/>
        <w:jc w:val="center"/>
      </w:pPr>
      <w:r>
        <w:rPr>
          <w:i/>
          <w:iCs/>
          <w:sz w:val="18"/>
          <w:szCs w:val="18"/>
        </w:rPr>
        <w:t xml:space="preserve">Table 2. Feasibility timeline for a 40–80 particle paired SEM–µFTIR pilot dataset.</w:t>
      </w:r>
    </w:p>
    <w:p>
      <w:pPr>
        <w:spacing w:after="120"/>
      </w:pPr>
      <w:r>
        <w:t xml:space="preserve">Recommendation: position the pilot as an Aim 1 milestone (e.g., months 1–3 of the funded project) rather than a pre-submission deliverable; instrument scheduling, not measurement time, is the binding constraint.</w:t>
      </w:r>
    </w:p>
    <w:p>
      <w:r>
        <w:br w:type="page"/>
      </w:r>
    </w:p>
    <w:p>
      <w:pPr>
        <w:pStyle w:val="Heading1"/>
        <w:spacing w:after="150" w:before="300"/>
      </w:pPr>
      <w:r>
        <w:t xml:space="preserve">3. Preliminary AI Pipeline — Spectral Polymer Classifier (Valid Result)</w:t>
      </w:r>
    </w:p>
    <w:p>
      <w:pPr>
        <w:spacing w:after="120"/>
      </w:pPr>
      <w:r>
        <w:t xml:space="preserve">A RandomForest classifier was trained on FLOPP ATR-FTIR spectra (14 polymer classes including PE, PP, PS, PVC, PET) and evaluated on a held-out test split, then externally validated on FLOPP-e (environmentally weathered spectra, genuine domain shift).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200"/>
        <w:gridCol w:w="1600"/>
        <w:gridCol w:w="1600"/>
        <w:gridCol w:w="2200"/>
      </w:tblGrid>
      <w:tr>
        <w:trPr>
          <w:tblHeader/>
        </w:trPr>
        <w:tc>
          <w:tcPr>
            <w:tcW w:type="dxa" w:w="4200"/>
            <w:shd w:fill="D9E2F3" w:val="clear"/>
          </w:tcPr>
          <w:p>
            <w:r>
              <w:rPr>
                <w:b/>
                <w:bCs/>
                <w:sz w:val="18"/>
                <w:szCs w:val="18"/>
              </w:rPr>
              <w:t xml:space="preserve">Evaluation</w:t>
            </w:r>
          </w:p>
        </w:tc>
        <w:tc>
          <w:tcPr>
            <w:tcW w:type="dxa" w:w="1200"/>
            <w:shd w:fill="D9E2F3" w:val="clear"/>
          </w:tcPr>
          <w:p>
            <w:r>
              <w:rPr>
                <w:b/>
                <w:bCs/>
                <w:sz w:val="18"/>
                <w:szCs w:val="18"/>
              </w:rPr>
              <w:t xml:space="preserve">n</w:t>
            </w:r>
          </w:p>
        </w:tc>
        <w:tc>
          <w:tcPr>
            <w:tcW w:type="dxa" w:w="1600"/>
            <w:shd w:fill="D9E2F3" w:val="clear"/>
          </w:tcPr>
          <w:p>
            <w:r>
              <w:rPr>
                <w:b/>
                <w:bCs/>
                <w:sz w:val="18"/>
                <w:szCs w:val="18"/>
              </w:rPr>
              <w:t xml:space="preserve">Accuracy</w:t>
            </w:r>
          </w:p>
        </w:tc>
        <w:tc>
          <w:tcPr>
            <w:tcW w:type="dxa" w:w="1600"/>
            <w:shd w:fill="D9E2F3" w:val="clear"/>
          </w:tcPr>
          <w:p>
            <w:r>
              <w:rPr>
                <w:b/>
                <w:bCs/>
                <w:sz w:val="18"/>
                <w:szCs w:val="18"/>
              </w:rPr>
              <w:t xml:space="preserve">Macro F1</w:t>
            </w:r>
          </w:p>
        </w:tc>
        <w:tc>
          <w:tcPr>
            <w:tcW w:type="dxa" w:w="2200"/>
            <w:shd w:fill="D9E2F3" w:val="clear"/>
          </w:tcPr>
          <w:p>
            <w:r>
              <w:rPr>
                <w:b/>
                <w:bCs/>
                <w:sz w:val="18"/>
                <w:szCs w:val="18"/>
              </w:rPr>
              <w:t xml:space="preserve">Macro AUC (OvR)</w:t>
            </w:r>
          </w:p>
        </w:tc>
      </w:tr>
      <w:tr>
        <w:tc>
          <w:tcPr>
            <w:tcW w:type="dxa" w:w="4200"/>
          </w:tcPr>
          <w:p>
            <w:r>
              <w:rPr>
                <w:b w:val="false"/>
                <w:bCs w:val="false"/>
                <w:sz w:val="18"/>
                <w:szCs w:val="18"/>
              </w:rPr>
              <w:t xml:space="preserve">FLOPP internal held-out test</w:t>
            </w:r>
          </w:p>
        </w:tc>
        <w:tc>
          <w:tcPr>
            <w:tcW w:type="dxa" w:w="1200"/>
          </w:tcPr>
          <w:p>
            <w:r>
              <w:rPr>
                <w:b w:val="false"/>
                <w:bCs w:val="false"/>
                <w:sz w:val="18"/>
                <w:szCs w:val="18"/>
              </w:rPr>
              <w:t xml:space="preserve">37</w:t>
            </w:r>
          </w:p>
        </w:tc>
        <w:tc>
          <w:tcPr>
            <w:tcW w:type="dxa" w:w="1600"/>
          </w:tcPr>
          <w:p>
            <w:r>
              <w:rPr>
                <w:b w:val="false"/>
                <w:bCs w:val="false"/>
                <w:sz w:val="18"/>
                <w:szCs w:val="18"/>
              </w:rPr>
              <w:t xml:space="preserve">78.4%</w:t>
            </w:r>
          </w:p>
        </w:tc>
        <w:tc>
          <w:tcPr>
            <w:tcW w:type="dxa" w:w="1600"/>
          </w:tcPr>
          <w:p>
            <w:r>
              <w:rPr>
                <w:b w:val="false"/>
                <w:bCs w:val="false"/>
                <w:sz w:val="18"/>
                <w:szCs w:val="18"/>
              </w:rPr>
              <w:t xml:space="preserve">0.78</w:t>
            </w:r>
          </w:p>
        </w:tc>
        <w:tc>
          <w:tcPr>
            <w:tcW w:type="dxa" w:w="2200"/>
          </w:tcPr>
          <w:p>
            <w:r>
              <w:rPr>
                <w:b w:val="false"/>
                <w:bCs w:val="false"/>
                <w:sz w:val="18"/>
                <w:szCs w:val="18"/>
              </w:rPr>
              <w:t xml:space="preserve">0.97</w:t>
            </w:r>
          </w:p>
        </w:tc>
      </w:tr>
      <w:tr>
        <w:tc>
          <w:tcPr>
            <w:tcW w:type="dxa" w:w="4200"/>
          </w:tcPr>
          <w:p>
            <w:r>
              <w:rPr>
                <w:b w:val="false"/>
                <w:bCs w:val="false"/>
                <w:sz w:val="18"/>
                <w:szCs w:val="18"/>
              </w:rPr>
              <w:t xml:space="preserve">FLOPP-e external validation (weathered)</w:t>
            </w:r>
          </w:p>
        </w:tc>
        <w:tc>
          <w:tcPr>
            <w:tcW w:type="dxa" w:w="1200"/>
          </w:tcPr>
          <w:p>
            <w:r>
              <w:rPr>
                <w:b w:val="false"/>
                <w:bCs w:val="false"/>
                <w:sz w:val="18"/>
                <w:szCs w:val="18"/>
              </w:rPr>
              <w:t xml:space="preserve">172</w:t>
            </w:r>
          </w:p>
        </w:tc>
        <w:tc>
          <w:tcPr>
            <w:tcW w:type="dxa" w:w="1600"/>
          </w:tcPr>
          <w:p>
            <w:r>
              <w:rPr>
                <w:b w:val="false"/>
                <w:bCs w:val="false"/>
                <w:sz w:val="18"/>
                <w:szCs w:val="18"/>
              </w:rPr>
              <w:t xml:space="preserve">72.1%</w:t>
            </w:r>
          </w:p>
        </w:tc>
        <w:tc>
          <w:tcPr>
            <w:tcW w:type="dxa" w:w="1600"/>
          </w:tcPr>
          <w:p>
            <w:r>
              <w:rPr>
                <w:b w:val="false"/>
                <w:bCs w:val="false"/>
                <w:sz w:val="18"/>
                <w:szCs w:val="18"/>
              </w:rPr>
              <w:t xml:space="preserve">0.44</w:t>
            </w:r>
          </w:p>
        </w:tc>
        <w:tc>
          <w:tcPr>
            <w:tcW w:type="dxa" w:w="2200"/>
          </w:tcPr>
          <w:p>
            <w:r>
              <w:rPr>
                <w:b w:val="false"/>
                <w:bCs w:val="false"/>
                <w:sz w:val="18"/>
                <w:szCs w:val="18"/>
              </w:rPr>
              <w:t xml:space="preserve">—</w:t>
            </w:r>
          </w:p>
        </w:tc>
      </w:tr>
    </w:tbl>
    <w:p>
      <w:pPr>
        <w:spacing w:after="240"/>
        <w:jc w:val="center"/>
      </w:pPr>
      <w:r>
        <w:rPr>
          <w:i/>
          <w:iCs/>
          <w:sz w:val="18"/>
          <w:szCs w:val="18"/>
        </w:rPr>
        <w:t xml:space="preserve">Table 3. Spectral polymer classifier performance — a clean, non-confounded result.</w:t>
      </w:r>
    </w:p>
    <w:p>
      <w:pPr>
        <w:jc w:val="center"/>
      </w:pPr>
      <w:r>
        <w:drawing>
          <wp:inline distT="0" distB="0" distL="0" distR="0">
            <wp:extent cx="30480000" cy="2438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0" cy="24384000"/>
                    </a:xfrm>
                    <a:prstGeom prst="rect">
                      <a:avLst/>
                    </a:prstGeom>
                  </pic:spPr>
                </pic:pic>
              </a:graphicData>
            </a:graphic>
          </wp:inline>
        </w:drawing>
      </w:r>
    </w:p>
    <w:p>
      <w:pPr>
        <w:spacing w:after="240"/>
        <w:jc w:val="center"/>
      </w:pPr>
      <w:r>
        <w:rPr>
          <w:i/>
          <w:iCs/>
          <w:sz w:val="18"/>
          <w:szCs w:val="18"/>
        </w:rPr>
        <w:t xml:space="preserve">Figure 1. Confusion matrix, FLOPP spectral classifier, held-out test set (14 polymer classes).</w:t>
      </w:r>
    </w:p>
    <w:p>
      <w:pPr>
        <w:jc w:val="center"/>
      </w:pPr>
      <w:r>
        <w:drawing>
          <wp:inline distT="0" distB="0" distL="0" distR="0">
            <wp:extent cx="30480000" cy="2438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0" cy="24384000"/>
                    </a:xfrm>
                    <a:prstGeom prst="rect">
                      <a:avLst/>
                    </a:prstGeom>
                  </pic:spPr>
                </pic:pic>
              </a:graphicData>
            </a:graphic>
          </wp:inline>
        </w:drawing>
      </w:r>
    </w:p>
    <w:p>
      <w:pPr>
        <w:spacing w:after="240"/>
        <w:jc w:val="center"/>
      </w:pPr>
      <w:r>
        <w:rPr>
          <w:i/>
          <w:iCs/>
          <w:sz w:val="18"/>
          <w:szCs w:val="18"/>
        </w:rPr>
        <w:t xml:space="preserve">Figure 2. One-vs-rest ROC curves, FLOPP spectral classifier, held-out test set (macro AUC = 0.97).</w:t>
      </w:r>
    </w:p>
    <w:p>
      <w:pPr>
        <w:jc w:val="center"/>
      </w:pPr>
      <w:r>
        <w:drawing>
          <wp:inline distT="0" distB="0" distL="0" distR="0">
            <wp:extent cx="30480000" cy="2438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0" cy="24384000"/>
                    </a:xfrm>
                    <a:prstGeom prst="rect">
                      <a:avLst/>
                    </a:prstGeom>
                  </pic:spPr>
                </pic:pic>
              </a:graphicData>
            </a:graphic>
          </wp:inline>
        </w:drawing>
      </w:r>
    </w:p>
    <w:p>
      <w:pPr>
        <w:spacing w:after="240"/>
        <w:jc w:val="center"/>
      </w:pPr>
      <w:r>
        <w:rPr>
          <w:i/>
          <w:iCs/>
          <w:sz w:val="18"/>
          <w:szCs w:val="18"/>
        </w:rPr>
        <w:t xml:space="preserve">Figure 3. Confusion matrix on FLOPP-e (weathered spectra), external validation of the FLOPP-trained model. Accuracy holds (72%) but macro-F1 drops to 0.44, showing weathering degrades polymer ID on less-common classes — a genuine, citable motivating finding for the proposed work.</w:t>
      </w:r>
    </w:p>
    <w:p>
      <w:r>
        <w:br w:type="page"/>
      </w:r>
    </w:p>
    <w:p>
      <w:pPr>
        <w:pStyle w:val="Heading1"/>
        <w:spacing w:after="150" w:before="300"/>
      </w:pPr>
      <w:r>
        <w:t xml:space="preserve">4. Preliminary AI Pipeline — SEM Shape Classifier (Infrastructure Evidence Only)</w:t>
      </w:r>
    </w:p>
    <w:p>
      <w:pPr>
        <w:spacing w:after="120"/>
      </w:pPr>
      <w:r>
        <w:t xml:space="preserve">Swin-T, ResNet50, and EfficientNet-B0 were fine-tuned on the Microplastics_SEM dataset (fibre/bead/fragment shape classes; this dataset has no chemical polymer labels). This section is included to demonstrate the training/evaluation/explainability/robustness pipeline is built and functional — the specific accuracy figures below must NOT be cited as evidence of classification capability (see caveat below).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600"/>
        <w:gridCol w:w="1600"/>
        <w:gridCol w:w="1200"/>
      </w:tblGrid>
      <w:tr>
        <w:trPr>
          <w:tblHeader/>
        </w:trPr>
        <w:tc>
          <w:tcPr>
            <w:tcW w:type="dxa" w:w="2600"/>
            <w:shd w:fill="D9E2F3" w:val="clear"/>
          </w:tcPr>
          <w:p>
            <w:r>
              <w:rPr>
                <w:b/>
                <w:bCs/>
                <w:sz w:val="18"/>
                <w:szCs w:val="18"/>
              </w:rPr>
              <w:t xml:space="preserve">Model</w:t>
            </w:r>
          </w:p>
        </w:tc>
        <w:tc>
          <w:tcPr>
            <w:tcW w:type="dxa" w:w="3400"/>
            <w:shd w:fill="D9E2F3" w:val="clear"/>
          </w:tcPr>
          <w:p>
            <w:r>
              <w:rPr>
                <w:b/>
                <w:bCs/>
                <w:sz w:val="18"/>
                <w:szCs w:val="18"/>
              </w:rPr>
              <w:t xml:space="preserve">Split type</w:t>
            </w:r>
          </w:p>
        </w:tc>
        <w:tc>
          <w:tcPr>
            <w:tcW w:type="dxa" w:w="1600"/>
            <w:shd w:fill="D9E2F3" w:val="clear"/>
          </w:tcPr>
          <w:p>
            <w:r>
              <w:rPr>
                <w:b/>
                <w:bCs/>
                <w:sz w:val="18"/>
                <w:szCs w:val="18"/>
              </w:rPr>
              <w:t xml:space="preserve">Val accuracy</w:t>
            </w:r>
          </w:p>
        </w:tc>
        <w:tc>
          <w:tcPr>
            <w:tcW w:type="dxa" w:w="1600"/>
            <w:shd w:fill="D9E2F3" w:val="clear"/>
          </w:tcPr>
          <w:p>
            <w:r>
              <w:rPr>
                <w:b/>
                <w:bCs/>
                <w:sz w:val="18"/>
                <w:szCs w:val="18"/>
              </w:rPr>
              <w:t xml:space="preserve">Val macro F1</w:t>
            </w:r>
          </w:p>
        </w:tc>
        <w:tc>
          <w:tcPr>
            <w:tcW w:type="dxa" w:w="1200"/>
            <w:shd w:fill="D9E2F3" w:val="clear"/>
          </w:tcPr>
          <w:p>
            <w:r>
              <w:rPr>
                <w:b/>
                <w:bCs/>
                <w:sz w:val="18"/>
                <w:szCs w:val="18"/>
              </w:rPr>
              <w:t xml:space="preserve">Mean AUC</w:t>
            </w:r>
          </w:p>
        </w:tc>
      </w:tr>
      <w:tr>
        <w:tc>
          <w:tcPr>
            <w:tcW w:type="dxa" w:w="2600"/>
          </w:tcPr>
          <w:p>
            <w:r>
              <w:rPr>
                <w:b w:val="false"/>
                <w:bCs w:val="false"/>
                <w:sz w:val="18"/>
                <w:szCs w:val="18"/>
              </w:rPr>
              <w:t xml:space="preserve">Swin-T</w:t>
            </w:r>
          </w:p>
        </w:tc>
        <w:tc>
          <w:tcPr>
            <w:tcW w:type="dxa" w:w="3400"/>
          </w:tcPr>
          <w:p>
            <w:r>
              <w:rPr>
                <w:b w:val="false"/>
                <w:bCs w:val="false"/>
                <w:sz w:val="18"/>
                <w:szCs w:val="18"/>
              </w:rPr>
              <w:t xml:space="preserve">Original (file-stratified) split</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r>
        <w:tc>
          <w:tcPr>
            <w:tcW w:type="dxa" w:w="2600"/>
          </w:tcPr>
          <w:p>
            <w:r>
              <w:rPr>
                <w:b w:val="false"/>
                <w:bCs w:val="false"/>
                <w:sz w:val="18"/>
                <w:szCs w:val="18"/>
              </w:rPr>
              <w:t xml:space="preserve">ResNet50</w:t>
            </w:r>
          </w:p>
        </w:tc>
        <w:tc>
          <w:tcPr>
            <w:tcW w:type="dxa" w:w="3400"/>
          </w:tcPr>
          <w:p>
            <w:r>
              <w:rPr>
                <w:b w:val="false"/>
                <w:bCs w:val="false"/>
                <w:sz w:val="18"/>
                <w:szCs w:val="18"/>
              </w:rPr>
              <w:t xml:space="preserve">Original (file-stratified) split</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r>
        <w:tc>
          <w:tcPr>
            <w:tcW w:type="dxa" w:w="2600"/>
          </w:tcPr>
          <w:p>
            <w:r>
              <w:rPr>
                <w:b w:val="false"/>
                <w:bCs w:val="false"/>
                <w:sz w:val="18"/>
                <w:szCs w:val="18"/>
              </w:rPr>
              <w:t xml:space="preserve">EfficientNet-B0</w:t>
            </w:r>
          </w:p>
        </w:tc>
        <w:tc>
          <w:tcPr>
            <w:tcW w:type="dxa" w:w="3400"/>
          </w:tcPr>
          <w:p>
            <w:r>
              <w:rPr>
                <w:b w:val="false"/>
                <w:bCs w:val="false"/>
                <w:sz w:val="18"/>
                <w:szCs w:val="18"/>
              </w:rPr>
              <w:t xml:space="preserve">Original (file-stratified) split</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r>
        <w:tc>
          <w:tcPr>
            <w:tcW w:type="dxa" w:w="2600"/>
          </w:tcPr>
          <w:p>
            <w:r>
              <w:rPr>
                <w:b w:val="false"/>
                <w:bCs w:val="false"/>
                <w:sz w:val="18"/>
                <w:szCs w:val="18"/>
              </w:rPr>
              <w:t xml:space="preserve">Swin-T</w:t>
            </w:r>
          </w:p>
        </w:tc>
        <w:tc>
          <w:tcPr>
            <w:tcW w:type="dxa" w:w="3400"/>
          </w:tcPr>
          <w:p>
            <w:r>
              <w:rPr>
                <w:b w:val="false"/>
                <w:bCs w:val="false"/>
                <w:sz w:val="18"/>
                <w:szCs w:val="18"/>
              </w:rPr>
              <w:t xml:space="preserve">Session-grouped split (fibre vs. fragment only)</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bl>
    <w:p>
      <w:pPr>
        <w:spacing w:after="240"/>
        <w:jc w:val="center"/>
      </w:pPr>
      <w:r>
        <w:rPr>
          <w:i/>
          <w:iCs/>
          <w:sz w:val="18"/>
          <w:szCs w:val="18"/>
        </w:rPr>
        <w:t xml:space="preserve">Table 4. SEM shape classifier results across architectures and split strategies.</w:t>
      </w:r>
    </w:p>
    <w:p>
      <w:pPr>
        <w:jc w:val="center"/>
      </w:pPr>
      <w:r>
        <w:drawing>
          <wp:inline distT="0" distB="0" distL="0" distR="0">
            <wp:extent cx="26670000" cy="2133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0" cy="21336000"/>
                    </a:xfrm>
                    <a:prstGeom prst="rect">
                      <a:avLst/>
                    </a:prstGeom>
                  </pic:spPr>
                </pic:pic>
              </a:graphicData>
            </a:graphic>
          </wp:inline>
        </w:drawing>
      </w:r>
    </w:p>
    <w:p>
      <w:pPr>
        <w:spacing w:after="240"/>
        <w:jc w:val="center"/>
      </w:pPr>
      <w:r>
        <w:rPr>
          <w:i/>
          <w:iCs/>
          <w:sz w:val="18"/>
          <w:szCs w:val="18"/>
        </w:rPr>
        <w:t xml:space="preserve">Figure 4. Swin-T ROC curve, original split — perfect separation, diagnosed as invalid (see caveat).</w:t>
      </w:r>
    </w:p>
    <w:p>
      <w:pPr>
        <w:jc w:val="center"/>
      </w:pPr>
      <w:r>
        <w:drawing>
          <wp:inline distT="0" distB="0" distL="0" distR="0">
            <wp:extent cx="26670000" cy="2133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0" cy="21336000"/>
                    </a:xfrm>
                    <a:prstGeom prst="rect">
                      <a:avLst/>
                    </a:prstGeom>
                  </pic:spPr>
                </pic:pic>
              </a:graphicData>
            </a:graphic>
          </wp:inline>
        </w:drawing>
      </w:r>
    </w:p>
    <w:p>
      <w:pPr>
        <w:spacing w:after="240"/>
        <w:jc w:val="center"/>
      </w:pPr>
      <w:r>
        <w:rPr>
          <w:i/>
          <w:iCs/>
          <w:sz w:val="18"/>
          <w:szCs w:val="18"/>
        </w:rPr>
        <w:t xml:space="preserve">Figure 5. Grad-CAM example (fibre class, correctly classified) — activation was diffuse rather than tightly particle-focused, consistent with the confound explained below.</w:t>
      </w:r>
    </w:p>
    <w:p>
      <w:pPr>
        <w:pStyle w:val="Heading2"/>
        <w:spacing w:after="120" w:before="250"/>
      </w:pPr>
      <w:r>
        <w:t xml:space="preserve">Caveat — why these numbers are not valid classification evidence</w:t>
      </w:r>
    </w:p>
    <w:p>
      <w:pPr>
        <w:spacing w:after="120"/>
      </w:pPr>
      <w:r>
        <w:t xml:space="preserve">All three models converged to ~100% accuracy and AUC ≈ 1.0. Diagnostic testing traced this to a dataset design flaw, not genuine model performance: each shape class in the public dataset is drawn from a very small number of source imaging sessions/products (e.g., every 'bead' image across train/val/test originates from a single product), so a model can solve the task by recognizing session-level artifacts (background, lighting, scale bar) rather than particle morphology. A trivial classifier using only image width/height/aspect ratio (no pixel data) already reached 77% accuracy, confirming part of the shortcut; the SEM models showed zero accuracy degradation under any robustness perturbation (flip, brightness, rotation, contrast), which is itself further evidence of shortcut learning rather than genuine generalization. A session-grouped re-split removed literal train/test leakage but could not fully resolve the issue, since too few distinct source sessions exist per class in the public data. Full diagnostic methodology is documented in the project repository (data_leakage_notes.md).</w:t>
      </w:r>
    </w:p>
    <w:p>
      <w:pPr>
        <w:spacing w:after="120"/>
      </w:pPr>
      <w:r>
        <w:rPr>
          <w:b/>
          <w:bCs/>
        </w:rPr>
        <w:t xml:space="preserve">Conclusion: the training, evaluation, explainability, and robustness-testing pipeline is built, reproducible, and ready to apply to a properly-labeled dataset. A session/source-diverse labeled dataset — such as the pilot proposed in Aim 1 — is the identified next step to produce valid classification evidence.</w:t>
      </w:r>
    </w:p>
    <w:p>
      <w:r>
        <w:br w:type="page"/>
      </w:r>
    </w:p>
    <w:p>
      <w:pPr>
        <w:pStyle w:val="Heading1"/>
        <w:spacing w:after="150" w:before="300"/>
      </w:pPr>
      <w:r>
        <w:t xml:space="preserve">5. Cross-Dataset External Validation (Genuine Generalization Test)</w:t>
      </w:r>
    </w:p>
    <w:p>
      <w:pPr>
        <w:spacing w:after="120"/>
      </w:pPr>
      <w:r>
        <w:t xml:space="preserve">Per the request to validate the trained model on an independent public SEM/particle-imaging dataset, the three SEM shape models (trained only on the Toronto Microplastics_SEM dataset) were evaluated, without any retraining or fine-tuning, on a completely independent external dataset: the CUNY biosolids µFTIR dataset (different institution, different imaging setup, different sample source — wastewater treatment plant biosolids). The biosolids dataset's own shape-morphology field (FIBER, FRAGMENT, PELLET) was mapped onto the trained model's classes (fibre, fragment, bead respectively); the FILM category was excluded as it has no equivalent in the training classes. This yielded n=697 independently-labeled external images (fragment: 379, fibre: 311, bead: 7 — bead is rare in this dataset).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3800"/>
      </w:tblGrid>
      <w:tr>
        <w:trPr>
          <w:tblHeader/>
        </w:trPr>
        <w:tc>
          <w:tcPr>
            <w:tcW w:type="dxa" w:w="2600"/>
            <w:shd w:fill="D9E2F3" w:val="clear"/>
          </w:tcPr>
          <w:p>
            <w:r>
              <w:rPr>
                <w:b/>
                <w:bCs/>
                <w:sz w:val="18"/>
                <w:szCs w:val="18"/>
              </w:rPr>
              <w:t xml:space="preserve">Model</w:t>
            </w:r>
          </w:p>
        </w:tc>
        <w:tc>
          <w:tcPr>
            <w:tcW w:type="dxa" w:w="2200"/>
            <w:shd w:fill="D9E2F3" w:val="clear"/>
          </w:tcPr>
          <w:p>
            <w:r>
              <w:rPr>
                <w:b/>
                <w:bCs/>
                <w:sz w:val="18"/>
                <w:szCs w:val="18"/>
              </w:rPr>
              <w:t xml:space="preserve">External accuracy</w:t>
            </w:r>
          </w:p>
        </w:tc>
        <w:tc>
          <w:tcPr>
            <w:tcW w:type="dxa" w:w="2200"/>
            <w:shd w:fill="D9E2F3" w:val="clear"/>
          </w:tcPr>
          <w:p>
            <w:r>
              <w:rPr>
                <w:b/>
                <w:bCs/>
                <w:sz w:val="18"/>
                <w:szCs w:val="18"/>
              </w:rPr>
              <w:t xml:space="preserve">External macro F1</w:t>
            </w:r>
          </w:p>
        </w:tc>
        <w:tc>
          <w:tcPr>
            <w:tcW w:type="dxa" w:w="3800"/>
            <w:shd w:fill="D9E2F3" w:val="clear"/>
          </w:tcPr>
          <w:p>
            <w:r>
              <w:rPr>
                <w:b/>
                <w:bCs/>
                <w:sz w:val="18"/>
                <w:szCs w:val="18"/>
              </w:rPr>
              <w:t xml:space="preserve">Notes</w:t>
            </w:r>
          </w:p>
        </w:tc>
      </w:tr>
      <w:tr>
        <w:tc>
          <w:tcPr>
            <w:tcW w:type="dxa" w:w="2600"/>
          </w:tcPr>
          <w:p>
            <w:r>
              <w:rPr>
                <w:b w:val="false"/>
                <w:bCs w:val="false"/>
                <w:sz w:val="18"/>
                <w:szCs w:val="18"/>
              </w:rPr>
              <w:t xml:space="preserve">Swin-T</w:t>
            </w:r>
          </w:p>
        </w:tc>
        <w:tc>
          <w:tcPr>
            <w:tcW w:type="dxa" w:w="2200"/>
          </w:tcPr>
          <w:p>
            <w:r>
              <w:rPr>
                <w:b w:val="false"/>
                <w:bCs w:val="false"/>
                <w:sz w:val="18"/>
                <w:szCs w:val="18"/>
              </w:rPr>
              <w:t xml:space="preserve">67.4%</w:t>
            </w:r>
          </w:p>
        </w:tc>
        <w:tc>
          <w:tcPr>
            <w:tcW w:type="dxa" w:w="2200"/>
          </w:tcPr>
          <w:p>
            <w:r>
              <w:rPr>
                <w:b w:val="false"/>
                <w:bCs w:val="false"/>
                <w:sz w:val="18"/>
                <w:szCs w:val="18"/>
              </w:rPr>
              <w:t xml:space="preserve">0.51</w:t>
            </w:r>
          </w:p>
        </w:tc>
        <w:tc>
          <w:tcPr>
            <w:tcW w:type="dxa" w:w="3800"/>
          </w:tcPr>
          <w:p>
            <w:r>
              <w:rPr>
                <w:b w:val="false"/>
                <w:bCs w:val="false"/>
                <w:sz w:val="18"/>
                <w:szCs w:val="18"/>
              </w:rPr>
              <w:t xml:space="preserve">Best generalization; real signal on fibre (74% recall) and fragment (62% recall)</w:t>
            </w:r>
          </w:p>
        </w:tc>
      </w:tr>
      <w:tr>
        <w:tc>
          <w:tcPr>
            <w:tcW w:type="dxa" w:w="2600"/>
          </w:tcPr>
          <w:p>
            <w:r>
              <w:rPr>
                <w:b w:val="false"/>
                <w:bCs w:val="false"/>
                <w:sz w:val="18"/>
                <w:szCs w:val="18"/>
              </w:rPr>
              <w:t xml:space="preserve">EfficientNet-B0</w:t>
            </w:r>
          </w:p>
        </w:tc>
        <w:tc>
          <w:tcPr>
            <w:tcW w:type="dxa" w:w="2200"/>
          </w:tcPr>
          <w:p>
            <w:r>
              <w:rPr>
                <w:b w:val="false"/>
                <w:bCs w:val="false"/>
                <w:sz w:val="18"/>
                <w:szCs w:val="18"/>
              </w:rPr>
              <w:t xml:space="preserve">56.2%</w:t>
            </w:r>
          </w:p>
        </w:tc>
        <w:tc>
          <w:tcPr>
            <w:tcW w:type="dxa" w:w="2200"/>
          </w:tcPr>
          <w:p>
            <w:r>
              <w:rPr>
                <w:b w:val="false"/>
                <w:bCs w:val="false"/>
                <w:sz w:val="18"/>
                <w:szCs w:val="18"/>
              </w:rPr>
              <w:t xml:space="preserve">0.36</w:t>
            </w:r>
          </w:p>
        </w:tc>
        <w:tc>
          <w:tcPr>
            <w:tcW w:type="dxa" w:w="3800"/>
          </w:tcPr>
          <w:p>
            <w:r>
              <w:rPr>
                <w:b w:val="false"/>
                <w:bCs w:val="false"/>
                <w:sz w:val="18"/>
                <w:szCs w:val="18"/>
              </w:rPr>
              <w:t xml:space="preserve">Weaker; fibre recall drops to 21%</w:t>
            </w:r>
          </w:p>
        </w:tc>
      </w:tr>
      <w:tr>
        <w:tc>
          <w:tcPr>
            <w:tcW w:type="dxa" w:w="2600"/>
          </w:tcPr>
          <w:p>
            <w:r>
              <w:rPr>
                <w:b w:val="false"/>
                <w:bCs w:val="false"/>
                <w:sz w:val="18"/>
                <w:szCs w:val="18"/>
              </w:rPr>
              <w:t xml:space="preserve">ResNet50</w:t>
            </w:r>
          </w:p>
        </w:tc>
        <w:tc>
          <w:tcPr>
            <w:tcW w:type="dxa" w:w="2200"/>
          </w:tcPr>
          <w:p>
            <w:r>
              <w:rPr>
                <w:b w:val="false"/>
                <w:bCs w:val="false"/>
                <w:sz w:val="18"/>
                <w:szCs w:val="18"/>
              </w:rPr>
              <w:t xml:space="preserve">52.8%</w:t>
            </w:r>
          </w:p>
        </w:tc>
        <w:tc>
          <w:tcPr>
            <w:tcW w:type="dxa" w:w="2200"/>
          </w:tcPr>
          <w:p>
            <w:r>
              <w:rPr>
                <w:b w:val="false"/>
                <w:bCs w:val="false"/>
                <w:sz w:val="18"/>
                <w:szCs w:val="18"/>
              </w:rPr>
              <w:t xml:space="preserve">0.23</w:t>
            </w:r>
          </w:p>
        </w:tc>
        <w:tc>
          <w:tcPr>
            <w:tcW w:type="dxa" w:w="3800"/>
          </w:tcPr>
          <w:p>
            <w:r>
              <w:rPr>
                <w:b w:val="false"/>
                <w:bCs w:val="false"/>
                <w:sz w:val="18"/>
                <w:szCs w:val="18"/>
              </w:rPr>
              <w:t xml:space="preserve">Collapsed to predicting fragment almost exclusively; near majority-class baseline (54.4%)</w:t>
            </w:r>
          </w:p>
        </w:tc>
      </w:tr>
    </w:tbl>
    <w:p>
      <w:pPr>
        <w:spacing w:after="240"/>
        <w:jc w:val="center"/>
      </w:pPr>
      <w:r>
        <w:rPr>
          <w:i/>
          <w:iCs/>
          <w:sz w:val="18"/>
          <w:szCs w:val="18"/>
        </w:rPr>
        <w:t xml:space="preserve">Table 5. Genuine cross-dataset external validation — n=697 independently-sourced images, no retraining.</w:t>
      </w:r>
    </w:p>
    <w:p>
      <w:pPr>
        <w:jc w:val="center"/>
      </w:pPr>
      <w:r>
        <w:drawing>
          <wp:inline distT="0" distB="0" distL="0" distR="0">
            <wp:extent cx="28575000" cy="228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0" cy="22860000"/>
                    </a:xfrm>
                    <a:prstGeom prst="rect">
                      <a:avLst/>
                    </a:prstGeom>
                  </pic:spPr>
                </pic:pic>
              </a:graphicData>
            </a:graphic>
          </wp:inline>
        </w:drawing>
      </w:r>
    </w:p>
    <w:p>
      <w:pPr>
        <w:spacing w:after="240"/>
        <w:jc w:val="center"/>
      </w:pPr>
      <w:r>
        <w:rPr>
          <w:i/>
          <w:iCs/>
          <w:sz w:val="18"/>
          <w:szCs w:val="18"/>
        </w:rPr>
        <w:t xml:space="preserve">Figure 6. Swin-T confusion matrix on the external (CUNY biosolids) validation set — the model's best cross-dataset performance.</w:t>
      </w:r>
    </w:p>
    <w:p>
      <w:pPr>
        <w:spacing w:after="120"/>
      </w:pPr>
      <w:r>
        <w:t xml:space="preserve">Interpretation: this result is far more scientifically meaningful than the earlier same-dataset ~100% figure. A drop to 53–67% accuracy on genuinely independent data is expected and appropriate for a first-pass model trained on a small, session-limited public dataset, and confirms the earlier diagnosis that the in-dataset 100% was a session confound rather than genuine capability. Swin-T's above-majority-baseline performance (67.4% vs. 54.4% majority-class baseline) on fibre and fragment classes is legitimate evidence of some real morphological learning. This is a defensible, reviewer-credible preliminary result: not proof of a production-ready classifier, but genuine evidence the transfer-learning approach captures real signal, with clear, honestly-reported room for improvement (particularly for rare classes like bead, and for architecture choice — Swin-T outperformed the CNN baselines here).</w:t>
      </w:r>
    </w:p>
    <w:p>
      <w:pPr>
        <w:pStyle w:val="Heading2"/>
        <w:spacing w:after="120" w:before="250"/>
      </w:pPr>
      <w:r>
        <w:t xml:space="preserve">Follow-up: improved Swin-T (learning-rate sweep, early stopping)</w:t>
      </w:r>
    </w:p>
    <w:p>
      <w:pPr>
        <w:spacing w:after="120"/>
      </w:pPr>
      <w:r>
        <w:t xml:space="preserve">A small learning-rate sweep (3e-5, 1e-4, 3e-4) with early stopping on validation macro-F1 (model selection based only on held-out validation data, not on the external test set) was run to see whether Swin-T's cross-dataset generalization could be improved without new data. The best configuration (lr = 3e-5) was then re-evaluated on the same 697-image external CUNY biosolids set: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gridCol w:w="1800"/>
      </w:tblGrid>
      <w:tr>
        <w:trPr>
          <w:tblHeader/>
        </w:trPr>
        <w:tc>
          <w:tcPr>
            <w:tcW w:type="dxa" w:w="4200"/>
            <w:shd w:fill="D9E2F3" w:val="clear"/>
          </w:tcPr>
          <w:p>
            <w:r>
              <w:rPr>
                <w:b/>
                <w:bCs/>
                <w:sz w:val="18"/>
                <w:szCs w:val="18"/>
              </w:rPr>
              <w:t xml:space="preserve">Model</w:t>
            </w:r>
          </w:p>
        </w:tc>
        <w:tc>
          <w:tcPr>
            <w:tcW w:type="dxa" w:w="2400"/>
            <w:shd w:fill="D9E2F3" w:val="clear"/>
          </w:tcPr>
          <w:p>
            <w:r>
              <w:rPr>
                <w:b/>
                <w:bCs/>
                <w:sz w:val="18"/>
                <w:szCs w:val="18"/>
              </w:rPr>
              <w:t xml:space="preserve">External accuracy</w:t>
            </w:r>
          </w:p>
        </w:tc>
        <w:tc>
          <w:tcPr>
            <w:tcW w:type="dxa" w:w="2400"/>
            <w:shd w:fill="D9E2F3" w:val="clear"/>
          </w:tcPr>
          <w:p>
            <w:r>
              <w:rPr>
                <w:b/>
                <w:bCs/>
                <w:sz w:val="18"/>
                <w:szCs w:val="18"/>
              </w:rPr>
              <w:t xml:space="preserve">External macro F1</w:t>
            </w:r>
          </w:p>
        </w:tc>
        <w:tc>
          <w:tcPr>
            <w:tcW w:type="dxa" w:w="1800"/>
            <w:shd w:fill="D9E2F3" w:val="clear"/>
          </w:tcPr>
          <w:p>
            <w:r>
              <w:rPr>
                <w:b/>
                <w:bCs/>
                <w:sz w:val="18"/>
                <w:szCs w:val="18"/>
              </w:rPr>
              <w:t xml:space="preserve">Bead precision/recall</w:t>
            </w:r>
          </w:p>
        </w:tc>
      </w:tr>
      <w:tr>
        <w:tc>
          <w:tcPr>
            <w:tcW w:type="dxa" w:w="4200"/>
          </w:tcPr>
          <w:p>
            <w:r>
              <w:rPr>
                <w:b w:val="false"/>
                <w:bCs w:val="false"/>
                <w:sz w:val="18"/>
                <w:szCs w:val="18"/>
              </w:rPr>
              <w:t xml:space="preserve">Swin-T (original, 8 epochs)</w:t>
            </w:r>
          </w:p>
        </w:tc>
        <w:tc>
          <w:tcPr>
            <w:tcW w:type="dxa" w:w="2400"/>
          </w:tcPr>
          <w:p>
            <w:r>
              <w:rPr>
                <w:b w:val="false"/>
                <w:bCs w:val="false"/>
                <w:sz w:val="18"/>
                <w:szCs w:val="18"/>
              </w:rPr>
              <w:t xml:space="preserve">67.4%</w:t>
            </w:r>
          </w:p>
        </w:tc>
        <w:tc>
          <w:tcPr>
            <w:tcW w:type="dxa" w:w="2400"/>
          </w:tcPr>
          <w:p>
            <w:r>
              <w:rPr>
                <w:b w:val="false"/>
                <w:bCs w:val="false"/>
                <w:sz w:val="18"/>
                <w:szCs w:val="18"/>
              </w:rPr>
              <w:t xml:space="preserve">0.51</w:t>
            </w:r>
          </w:p>
        </w:tc>
        <w:tc>
          <w:tcPr>
            <w:tcW w:type="dxa" w:w="1800"/>
          </w:tcPr>
          <w:p>
            <w:r>
              <w:rPr>
                <w:b w:val="false"/>
                <w:bCs w:val="false"/>
                <w:sz w:val="18"/>
                <w:szCs w:val="18"/>
              </w:rPr>
              <w:t xml:space="preserve">2.6% / 42.9%</w:t>
            </w:r>
          </w:p>
        </w:tc>
      </w:tr>
      <w:tr>
        <w:tc>
          <w:tcPr>
            <w:tcW w:type="dxa" w:w="4200"/>
          </w:tcPr>
          <w:p>
            <w:r>
              <w:rPr>
                <w:b w:val="false"/>
                <w:bCs w:val="false"/>
                <w:sz w:val="18"/>
                <w:szCs w:val="18"/>
              </w:rPr>
              <w:t xml:space="preserve">Swin-T (improved, LR-tuned + early stopping)</w:t>
            </w:r>
          </w:p>
        </w:tc>
        <w:tc>
          <w:tcPr>
            <w:tcW w:type="dxa" w:w="2400"/>
          </w:tcPr>
          <w:p>
            <w:r>
              <w:rPr>
                <w:b w:val="false"/>
                <w:bCs w:val="false"/>
                <w:sz w:val="18"/>
                <w:szCs w:val="18"/>
              </w:rPr>
              <w:t xml:space="preserve">74.2%</w:t>
            </w:r>
          </w:p>
        </w:tc>
        <w:tc>
          <w:tcPr>
            <w:tcW w:type="dxa" w:w="2400"/>
          </w:tcPr>
          <w:p>
            <w:r>
              <w:rPr>
                <w:b w:val="false"/>
                <w:bCs w:val="false"/>
                <w:sz w:val="18"/>
                <w:szCs w:val="18"/>
              </w:rPr>
              <w:t xml:space="preserve">0.63</w:t>
            </w:r>
          </w:p>
        </w:tc>
        <w:tc>
          <w:tcPr>
            <w:tcW w:type="dxa" w:w="1800"/>
          </w:tcPr>
          <w:p>
            <w:r>
              <w:rPr>
                <w:b w:val="false"/>
                <w:bCs w:val="false"/>
                <w:sz w:val="18"/>
                <w:szCs w:val="18"/>
              </w:rPr>
              <w:t xml:space="preserve">100% / 28.6%</w:t>
            </w:r>
          </w:p>
        </w:tc>
      </w:tr>
    </w:tbl>
    <w:p>
      <w:pPr>
        <w:spacing w:after="240"/>
        <w:jc w:val="center"/>
      </w:pPr>
      <w:r>
        <w:rPr>
          <w:i/>
          <w:iCs/>
          <w:sz w:val="18"/>
          <w:szCs w:val="18"/>
        </w:rPr>
        <w:t xml:space="preserve">Table 6. Improved Swin-T vs. original — genuine improvement from hyperparameter tuning alone, no new data.</w:t>
      </w:r>
    </w:p>
    <w:p>
      <w:pPr>
        <w:spacing w:after="120"/>
      </w:pPr>
      <w:r>
        <w:t xml:space="preserve">This is a legitimate, non-cherry-picked improvement — accuracy rose 6.8 points and macro F1 rose 0.12, and bead precision improved from near-useless (2.6%) to perfect-but-conservative (100% precision, meaning zero false positives, though it now only catches 2 of 7 external bead examples). This demonstrates the modeling pipeline has headroom for improvement through standard tuning alone, ahead of any new data collection.</w:t>
      </w:r>
    </w:p>
    <w:p>
      <w:pPr>
        <w:jc w:val="center"/>
      </w:pPr>
      <w:r>
        <w:drawing>
          <wp:inline distT="0" distB="0" distL="0" distR="0">
            <wp:extent cx="28575000" cy="228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0" cy="22860000"/>
                    </a:xfrm>
                    <a:prstGeom prst="rect">
                      <a:avLst/>
                    </a:prstGeom>
                  </pic:spPr>
                </pic:pic>
              </a:graphicData>
            </a:graphic>
          </wp:inline>
        </w:drawing>
      </w:r>
    </w:p>
    <w:p>
      <w:pPr>
        <w:spacing w:after="240"/>
        <w:jc w:val="center"/>
      </w:pPr>
      <w:r>
        <w:rPr>
          <w:i/>
          <w:iCs/>
          <w:sz w:val="18"/>
          <w:szCs w:val="18"/>
        </w:rPr>
        <w:t xml:space="preserve">Figure 7. Improved Swin-T confusion matrix on the external validation set — bead false positives eliminated (100% precision), though recall remains low.</w:t>
      </w:r>
    </w:p>
    <w:p>
      <w:pPr>
        <w:pStyle w:val="Heading2"/>
        <w:spacing w:after="120" w:before="250"/>
      </w:pPr>
      <w:r>
        <w:t xml:space="preserve">Known limitation: the bead class</w:t>
      </w:r>
    </w:p>
    <w:p>
      <w:pPr>
        <w:spacing w:after="120"/>
      </w:pPr>
      <w:r>
        <w:t xml:space="preserve">The bead class is substantially underrepresented throughout this pilot and drives the weakest performance across all models. In the Toronto training data, bead accounts for only 36 of 166 training images and 8 of 36 validation images (vs. 63–67 for fibre and fragment); in the external CUNY validation set, bead has only 7 of 697 examples. All three architectures performed poorly on this class externally (original models: 0–3.7% precision), consistent with the earlier session-confound finding — bead's near-100% in-dataset accuracy likely reflected a narrow, session-specific visual signature (all bead training images come from a single source product) rather than generalizable morphology. Reliable bead classification will require substantially more bead-class data from multiple independent imaging sessions and source products before it can be considered trustworthy; until then, bead predictions from any of these models should be treated as unreliable.</w:t>
      </w:r>
    </w:p>
    <w:p>
      <w:pPr>
        <w:pStyle w:val="Heading1"/>
        <w:spacing w:after="150" w:before="300"/>
      </w:pPr>
      <w:r>
        <w:t xml:space="preserve">6. Summary and Recommendation</w:t>
      </w:r>
    </w:p>
    <w:p>
      <w:pPr>
        <w:spacing w:after="120"/>
      </w:pPr>
      <w:r>
        <w:t xml:space="preserve">• Public dataset survey (Task 1) and pilot feasibility assessment (Task 2) are complete and support the STTR's Aim 1 narrative directly.</w:t>
      </w:r>
    </w:p>
    <w:p>
      <w:pPr>
        <w:spacing w:after="120"/>
      </w:pPr>
      <w:r>
        <w:t xml:space="preserve">• The FLOPP/FLOPP-e spectral polymer classifier (Section 3) is legitimate, citable preliminary evidence: 78.4% accuracy across 14 real polymer classes, with a genuine, motivating finding that environmental weathering degrades classification performance.</w:t>
      </w:r>
    </w:p>
    <w:p>
      <w:pPr>
        <w:spacing w:after="120"/>
      </w:pPr>
      <w:r>
        <w:t xml:space="preserve">• The SEM shape classifier's in-dataset accuracy (Section 4) should not be cited due to a documented dataset confound — but the genuine cross-dataset external validation (Section 5) provides a legitimate, if modest, generalization result: 67.4% accuracy / 0.51 macro F1 (Swin-T) on fully independent external data.</w:t>
      </w:r>
    </w:p>
    <w:p>
      <w:pPr>
        <w:spacing w:after="120"/>
      </w:pPr>
      <w:r>
        <w:t xml:space="preserve">• All code, data-preparation scripts, metrics, and figures are version-controlled and public: github.com/SID-6921/polylung-bridge-ai (branch: microplastics-mendeley-setup).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2374d9691c13a7ec125bb95850946258d2d89cb.png"/><Relationship Id="rId8" Type="http://schemas.openxmlformats.org/officeDocument/2006/relationships/image" Target="media/b5e5a9bb496c327717cab94c0fc01dda55dfb68b.png"/><Relationship Id="rId9" Type="http://schemas.openxmlformats.org/officeDocument/2006/relationships/image" Target="media/46363f7f776a749451733ba894bc57628ec1a759.png"/><Relationship Id="rId10" Type="http://schemas.openxmlformats.org/officeDocument/2006/relationships/image" Target="media/13983298f177a9dcab8335c75b983801e89e1124.png"/><Relationship Id="rId11" Type="http://schemas.openxmlformats.org/officeDocument/2006/relationships/image" Target="media/90c6c6fb2a8fdaa5f302557dec0c6a283d8bec38.png"/><Relationship Id="rId12" Type="http://schemas.openxmlformats.org/officeDocument/2006/relationships/image" Target="media/f7de30d2385e95e3a2a93b9e0169911e7545d81d.png"/><Relationship Id="rId13" Type="http://schemas.openxmlformats.org/officeDocument/2006/relationships/image" Target="media/53e04fec1876365046a5fbb248133913b1a8129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2026-08-01T23:08:56.860Z</dcterms:created>
  <dcterms:modified xsi:type="dcterms:W3CDTF">2026-08-01T23:08:56.860Z</dcterms:modified>
</cp:coreProperties>
</file>

<file path=docProps/custom.xml><?xml version="1.0" encoding="utf-8"?>
<Properties xmlns="http://schemas.openxmlformats.org/officeDocument/2006/custom-properties" xmlns:vt="http://schemas.openxmlformats.org/officeDocument/2006/docPropsVTypes"/>
</file>