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SmartGrid PredictAI</w:t>
      </w:r>
    </w:p>
    <w:p>
      <w:pPr>
        <w:spacing w:after="260"/>
      </w:pPr>
      <w:r>
        <w:rPr>
          <w:color w:val="555555"/>
          <w:sz w:val="24"/>
          <w:szCs w:val="24"/>
        </w:rPr>
        <w:t xml:space="preserve">Panel presentation summary — talking points</w:t>
      </w:r>
    </w:p>
    <w:p>
      <w:pPr>
        <w:pStyle w:val="Heading1"/>
        <w:spacing w:after="120" w:before="280"/>
      </w:pPr>
      <w:r>
        <w:t xml:space="preserve">What this is</w:t>
      </w:r>
    </w:p>
    <w:p>
      <w:pPr>
        <w:spacing w:after="140"/>
      </w:pPr>
      <w:r>
        <w:t xml:space="preserve">A synthetic-data prototype demonstrating three predictive models for Eskom's distribution network: which transformers are likely to fail, which meters show signs of electricity theft, and which feeders are at risk of an outage in the next week. All three are working, tested, and viewable in a live planner dashboard.</w:t>
      </w:r>
    </w:p>
    <w:p>
      <w:pPr>
        <w:pStyle w:val="Heading1"/>
        <w:spacing w:after="120" w:before="280"/>
      </w:pPr>
      <w:r>
        <w:t xml:space="preserve">The three models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600"/>
        <w:gridCol w:w="1700"/>
        <w:gridCol w:w="1400"/>
      </w:tblGrid>
      <w:tr>
        <w:trPr>
          <w:tblHeader/>
        </w:trPr>
        <w:tc>
          <w:tcPr>
            <w:tcW w:type="dxa" w:w="1700"/>
            <w:shd w:fill="D9D9D9" w:val="clear"/>
            <w:tcMar>
              <w:top w:type="dxa" w:w="80"/>
              <w:left w:type="dxa" w:w="100"/>
              <w:bottom w:type="dxa" w:w="80"/>
              <w:right w:type="dxa" w:w="100"/>
            </w:tcMar>
          </w:tcPr>
          <w:p>
            <w:r>
              <w:rPr>
                <w:b/>
                <w:bCs/>
                <w:sz w:val="20"/>
                <w:szCs w:val="20"/>
              </w:rPr>
              <w:t xml:space="preserve">Model</w:t>
            </w:r>
          </w:p>
        </w:tc>
        <w:tc>
          <w:tcPr>
            <w:tcW w:type="dxa" w:w="2000"/>
            <w:shd w:fill="D9D9D9" w:val="clear"/>
            <w:tcMar>
              <w:top w:type="dxa" w:w="80"/>
              <w:left w:type="dxa" w:w="100"/>
              <w:bottom w:type="dxa" w:w="80"/>
              <w:right w:type="dxa" w:w="100"/>
            </w:tcMar>
          </w:tcPr>
          <w:p>
            <w:r>
              <w:rPr>
                <w:b/>
                <w:bCs/>
                <w:sz w:val="20"/>
                <w:szCs w:val="20"/>
              </w:rPr>
              <w:t xml:space="preserve">Approach</w:t>
            </w:r>
          </w:p>
        </w:tc>
        <w:tc>
          <w:tcPr>
            <w:tcW w:type="dxa" w:w="2600"/>
            <w:shd w:fill="D9D9D9" w:val="clear"/>
            <w:tcMar>
              <w:top w:type="dxa" w:w="80"/>
              <w:left w:type="dxa" w:w="100"/>
              <w:bottom w:type="dxa" w:w="80"/>
              <w:right w:type="dxa" w:w="100"/>
            </w:tcMar>
          </w:tcPr>
          <w:p>
            <w:r>
              <w:rPr>
                <w:b/>
                <w:bCs/>
                <w:sz w:val="20"/>
                <w:szCs w:val="20"/>
              </w:rPr>
              <w:t xml:space="preserve">Key signal</w:t>
            </w:r>
          </w:p>
        </w:tc>
        <w:tc>
          <w:tcPr>
            <w:tcW w:type="dxa" w:w="1700"/>
            <w:shd w:fill="D9D9D9" w:val="clear"/>
            <w:tcMar>
              <w:top w:type="dxa" w:w="80"/>
              <w:left w:type="dxa" w:w="100"/>
              <w:bottom w:type="dxa" w:w="80"/>
              <w:right w:type="dxa" w:w="100"/>
            </w:tcMar>
          </w:tcPr>
          <w:p>
            <w:r>
              <w:rPr>
                <w:b/>
                <w:bCs/>
                <w:sz w:val="20"/>
                <w:szCs w:val="20"/>
              </w:rPr>
              <w:t xml:space="preserve">Held-out AUC</w:t>
            </w:r>
          </w:p>
        </w:tc>
        <w:tc>
          <w:tcPr>
            <w:tcW w:type="dxa" w:w="1400"/>
            <w:shd w:fill="D9D9D9" w:val="clear"/>
            <w:tcMar>
              <w:top w:type="dxa" w:w="80"/>
              <w:left w:type="dxa" w:w="100"/>
              <w:bottom w:type="dxa" w:w="80"/>
              <w:right w:type="dxa" w:w="100"/>
            </w:tcMar>
          </w:tcPr>
          <w:p>
            <w:r>
              <w:rPr>
                <w:b/>
                <w:bCs/>
                <w:sz w:val="20"/>
                <w:szCs w:val="20"/>
              </w:rPr>
              <w:t xml:space="preserve">Status</w:t>
            </w:r>
          </w:p>
        </w:tc>
      </w:tr>
      <w:tr>
        <w:tc>
          <w:tcPr>
            <w:tcW w:type="dxa" w:w="1700"/>
            <w:tcMar>
              <w:top w:type="dxa" w:w="80"/>
              <w:left w:type="dxa" w:w="100"/>
              <w:bottom w:type="dxa" w:w="80"/>
              <w:right w:type="dxa" w:w="100"/>
            </w:tcMar>
          </w:tcPr>
          <w:p>
            <w:r>
              <w:rPr>
                <w:b w:val="false"/>
                <w:bCs w:val="false"/>
                <w:sz w:val="20"/>
                <w:szCs w:val="20"/>
              </w:rPr>
              <w:t xml:space="preserve">Transformer failure prediction</w:t>
            </w:r>
          </w:p>
        </w:tc>
        <w:tc>
          <w:tcPr>
            <w:tcW w:type="dxa" w:w="2000"/>
            <w:tcMar>
              <w:top w:type="dxa" w:w="80"/>
              <w:left w:type="dxa" w:w="100"/>
              <w:bottom w:type="dxa" w:w="80"/>
              <w:right w:type="dxa" w:w="100"/>
            </w:tcMar>
          </w:tcPr>
          <w:p>
            <w:r>
              <w:rPr>
                <w:b w:val="false"/>
                <w:bCs w:val="false"/>
                <w:sz w:val="20"/>
                <w:szCs w:val="20"/>
              </w:rPr>
              <w:t xml:space="preserve">Gradient Boosting (supervised)</w:t>
            </w:r>
          </w:p>
        </w:tc>
        <w:tc>
          <w:tcPr>
            <w:tcW w:type="dxa" w:w="2600"/>
            <w:tcMar>
              <w:top w:type="dxa" w:w="80"/>
              <w:left w:type="dxa" w:w="100"/>
              <w:bottom w:type="dxa" w:w="80"/>
              <w:right w:type="dxa" w:w="100"/>
            </w:tcMar>
          </w:tcPr>
          <w:p>
            <w:r>
              <w:rPr>
                <w:b w:val="false"/>
                <w:bCs w:val="false"/>
                <w:sz w:val="20"/>
                <w:szCs w:val="20"/>
              </w:rPr>
              <w:t xml:space="preserve">Age, load, maintenance score, oil quality, temperature rise</w:t>
            </w:r>
          </w:p>
        </w:tc>
        <w:tc>
          <w:tcPr>
            <w:tcW w:type="dxa" w:w="1700"/>
            <w:tcMar>
              <w:top w:type="dxa" w:w="80"/>
              <w:left w:type="dxa" w:w="100"/>
              <w:bottom w:type="dxa" w:w="80"/>
              <w:right w:type="dxa" w:w="100"/>
            </w:tcMar>
          </w:tcPr>
          <w:p>
            <w:r>
              <w:rPr>
                <w:b w:val="false"/>
                <w:bCs w:val="false"/>
                <w:sz w:val="20"/>
                <w:szCs w:val="20"/>
              </w:rPr>
              <w:t xml:space="preserve">~0.77</w:t>
            </w:r>
          </w:p>
        </w:tc>
        <w:tc>
          <w:tcPr>
            <w:tcW w:type="dxa" w:w="1400"/>
            <w:tcMar>
              <w:top w:type="dxa" w:w="80"/>
              <w:left w:type="dxa" w:w="100"/>
              <w:bottom w:type="dxa" w:w="80"/>
              <w:right w:type="dxa" w:w="100"/>
            </w:tcMar>
          </w:tcPr>
          <w:p>
            <w:r>
              <w:rPr>
                <w:b w:val="false"/>
                <w:bCs w:val="false"/>
                <w:sz w:val="20"/>
                <w:szCs w:val="20"/>
              </w:rPr>
              <w:t xml:space="preserve">Working</w:t>
            </w:r>
          </w:p>
        </w:tc>
      </w:tr>
      <w:tr>
        <w:tc>
          <w:tcPr>
            <w:tcW w:type="dxa" w:w="1700"/>
            <w:tcMar>
              <w:top w:type="dxa" w:w="80"/>
              <w:left w:type="dxa" w:w="100"/>
              <w:bottom w:type="dxa" w:w="80"/>
              <w:right w:type="dxa" w:w="100"/>
            </w:tcMar>
          </w:tcPr>
          <w:p>
            <w:r>
              <w:rPr>
                <w:b w:val="false"/>
                <w:bCs w:val="false"/>
                <w:sz w:val="20"/>
                <w:szCs w:val="20"/>
              </w:rPr>
              <w:t xml:space="preserve">Meter theft detection</w:t>
            </w:r>
          </w:p>
        </w:tc>
        <w:tc>
          <w:tcPr>
            <w:tcW w:type="dxa" w:w="2000"/>
            <w:tcMar>
              <w:top w:type="dxa" w:w="80"/>
              <w:left w:type="dxa" w:w="100"/>
              <w:bottom w:type="dxa" w:w="80"/>
              <w:right w:type="dxa" w:w="100"/>
            </w:tcMar>
          </w:tcPr>
          <w:p>
            <w:r>
              <w:rPr>
                <w:b w:val="false"/>
                <w:bCs w:val="false"/>
                <w:sz w:val="20"/>
                <w:szCs w:val="20"/>
              </w:rPr>
              <w:t xml:space="preserve">Isolation Forest (unsupervised)</w:t>
            </w:r>
          </w:p>
        </w:tc>
        <w:tc>
          <w:tcPr>
            <w:tcW w:type="dxa" w:w="2600"/>
            <w:tcMar>
              <w:top w:type="dxa" w:w="80"/>
              <w:left w:type="dxa" w:w="100"/>
              <w:bottom w:type="dxa" w:w="80"/>
              <w:right w:type="dxa" w:w="100"/>
            </w:tcMar>
          </w:tcPr>
          <w:p>
            <w:r>
              <w:rPr>
                <w:b w:val="false"/>
                <w:bCs w:val="false"/>
                <w:sz w:val="20"/>
                <w:szCs w:val="20"/>
              </w:rPr>
              <w:t xml:space="preserve">Feed-vs-declared ratio (bypass/tampering signature)</w:t>
            </w:r>
          </w:p>
        </w:tc>
        <w:tc>
          <w:tcPr>
            <w:tcW w:type="dxa" w:w="1700"/>
            <w:tcMar>
              <w:top w:type="dxa" w:w="80"/>
              <w:left w:type="dxa" w:w="100"/>
              <w:bottom w:type="dxa" w:w="80"/>
              <w:right w:type="dxa" w:w="100"/>
            </w:tcMar>
          </w:tcPr>
          <w:p>
            <w:r>
              <w:rPr>
                <w:b w:val="false"/>
                <w:bCs w:val="false"/>
                <w:sz w:val="20"/>
                <w:szCs w:val="20"/>
              </w:rPr>
              <w:t xml:space="preserve">~0.98</w:t>
            </w:r>
          </w:p>
        </w:tc>
        <w:tc>
          <w:tcPr>
            <w:tcW w:type="dxa" w:w="1400"/>
            <w:tcMar>
              <w:top w:type="dxa" w:w="80"/>
              <w:left w:type="dxa" w:w="100"/>
              <w:bottom w:type="dxa" w:w="80"/>
              <w:right w:type="dxa" w:w="100"/>
            </w:tcMar>
          </w:tcPr>
          <w:p>
            <w:r>
              <w:rPr>
                <w:b w:val="false"/>
                <w:bCs w:val="false"/>
                <w:sz w:val="20"/>
                <w:szCs w:val="20"/>
              </w:rPr>
              <w:t xml:space="preserve">Working</w:t>
            </w:r>
          </w:p>
        </w:tc>
      </w:tr>
      <w:tr>
        <w:tc>
          <w:tcPr>
            <w:tcW w:type="dxa" w:w="1700"/>
            <w:tcMar>
              <w:top w:type="dxa" w:w="80"/>
              <w:left w:type="dxa" w:w="100"/>
              <w:bottom w:type="dxa" w:w="80"/>
              <w:right w:type="dxa" w:w="100"/>
            </w:tcMar>
          </w:tcPr>
          <w:p>
            <w:r>
              <w:rPr>
                <w:b w:val="false"/>
                <w:bCs w:val="false"/>
                <w:sz w:val="20"/>
                <w:szCs w:val="20"/>
              </w:rPr>
              <w:t xml:space="preserve">Feeder outage forecasting</w:t>
            </w:r>
          </w:p>
        </w:tc>
        <w:tc>
          <w:tcPr>
            <w:tcW w:type="dxa" w:w="2000"/>
            <w:tcMar>
              <w:top w:type="dxa" w:w="80"/>
              <w:left w:type="dxa" w:w="100"/>
              <w:bottom w:type="dxa" w:w="80"/>
              <w:right w:type="dxa" w:w="100"/>
            </w:tcMar>
          </w:tcPr>
          <w:p>
            <w:r>
              <w:rPr>
                <w:b w:val="false"/>
                <w:bCs w:val="false"/>
                <w:sz w:val="20"/>
                <w:szCs w:val="20"/>
              </w:rPr>
              <w:t xml:space="preserve">Gradient Boosting (supervised)</w:t>
            </w:r>
          </w:p>
        </w:tc>
        <w:tc>
          <w:tcPr>
            <w:tcW w:type="dxa" w:w="2600"/>
            <w:tcMar>
              <w:top w:type="dxa" w:w="80"/>
              <w:left w:type="dxa" w:w="100"/>
              <w:bottom w:type="dxa" w:w="80"/>
              <w:right w:type="dxa" w:w="100"/>
            </w:tcMar>
          </w:tcPr>
          <w:p>
            <w:r>
              <w:rPr>
                <w:b w:val="false"/>
                <w:bCs w:val="false"/>
                <w:sz w:val="20"/>
                <w:szCs w:val="20"/>
              </w:rPr>
              <w:t xml:space="preserve">Feeder age/vegetation/load + count of already-critical transformers on it</w:t>
            </w:r>
          </w:p>
        </w:tc>
        <w:tc>
          <w:tcPr>
            <w:tcW w:type="dxa" w:w="1700"/>
            <w:tcMar>
              <w:top w:type="dxa" w:w="80"/>
              <w:left w:type="dxa" w:w="100"/>
              <w:bottom w:type="dxa" w:w="80"/>
              <w:right w:type="dxa" w:w="100"/>
            </w:tcMar>
          </w:tcPr>
          <w:p>
            <w:r>
              <w:rPr>
                <w:b w:val="false"/>
                <w:bCs w:val="false"/>
                <w:sz w:val="20"/>
                <w:szCs w:val="20"/>
              </w:rPr>
              <w:t xml:space="preserve">~0.73</w:t>
            </w:r>
          </w:p>
        </w:tc>
        <w:tc>
          <w:tcPr>
            <w:tcW w:type="dxa" w:w="1400"/>
            <w:tcMar>
              <w:top w:type="dxa" w:w="80"/>
              <w:left w:type="dxa" w:w="100"/>
              <w:bottom w:type="dxa" w:w="80"/>
              <w:right w:type="dxa" w:w="100"/>
            </w:tcMar>
          </w:tcPr>
          <w:p>
            <w:r>
              <w:rPr>
                <w:b w:val="false"/>
                <w:bCs w:val="false"/>
                <w:sz w:val="20"/>
                <w:szCs w:val="20"/>
              </w:rPr>
              <w:t xml:space="preserve">Working (new)</w:t>
            </w:r>
          </w:p>
        </w:tc>
      </w:tr>
    </w:tbl>
    <w:p>
      <w:pPr>
        <w:spacing w:after="160"/>
      </w:pPr>
    </w:p>
    <w:p>
      <w:pPr>
        <w:pStyle w:val="Heading1"/>
        <w:spacing w:after="120" w:before="280"/>
      </w:pPr>
      <w:r>
        <w:t xml:space="preserve">How they fit together</w:t>
      </w:r>
    </w:p>
    <w:p>
      <w:pPr>
        <w:spacing w:after="140"/>
      </w:pPr>
      <w:r>
        <w:t xml:space="preserve">These aren't three disconnected demos. The outage model consumes the failure model's output directly: a feeder carrying several transformers already flagged “critical” by the failure model is treated as a more plausible near-term outage than one judged on its own condition alone. That hand-off from one model to the next is the strongest evidence this is a coherent system, not three separate scripts.</w:t>
      </w:r>
    </w:p>
    <w:p>
      <w:pPr>
        <w:pStyle w:val="Heading1"/>
        <w:spacing w:after="120" w:before="280"/>
      </w:pPr>
      <w:r>
        <w:t xml:space="preserve">What's real vs. synthetic — say this proactively</w:t>
      </w:r>
    </w:p>
    <w:p>
      <w:pPr>
        <w:pStyle w:val="ListParagraph"/>
        <w:numPr>
          <w:ilvl w:val="0"/>
          <w:numId w:val="2"/>
        </w:numPr>
        <w:spacing w:after="60"/>
      </w:pPr>
      <w:r>
        <w:t xml:space="preserve">All data is synthetic, generated to have realistic, correlated signal — not real Eskom sensor, meter, or outage history.</w:t>
      </w:r>
    </w:p>
    <w:p>
      <w:pPr>
        <w:pStyle w:val="ListParagraph"/>
        <w:numPr>
          <w:ilvl w:val="0"/>
          <w:numId w:val="2"/>
        </w:numPr>
        <w:spacing w:after="60"/>
      </w:pPr>
      <w:r>
        <w:t xml:space="preserve">Alert thresholds (top 15% flagged for action, on both the failure and outage models) are placeholders standing in for real maintenance/dispatch capacity, which isn't known yet.</w:t>
      </w:r>
    </w:p>
    <w:p>
      <w:pPr>
        <w:pStyle w:val="ListParagraph"/>
        <w:numPr>
          <w:ilvl w:val="0"/>
          <w:numId w:val="2"/>
        </w:numPr>
        <w:spacing w:after="60"/>
      </w:pPr>
      <w:r>
        <w:t xml:space="preserve">The outage model trains on only 200 synthetic feeders, so its accuracy number is directionally right (“clearly better than guessing”) rather than a precise estimate.</w:t>
      </w:r>
    </w:p>
    <w:p>
      <w:pPr>
        <w:pStyle w:val="ListParagraph"/>
        <w:numPr>
          <w:ilvl w:val="0"/>
          <w:numId w:val="2"/>
        </w:numPr>
        <w:spacing w:after="60"/>
      </w:pPr>
      <w:r>
        <w:t xml:space="preserve">Evaluation is honest throughout: every model reports held-out performance, not scores inflated by testing on the same rows it trained on.</w:t>
      </w:r>
    </w:p>
    <w:p>
      <w:pPr>
        <w:pStyle w:val="Heading1"/>
        <w:spacing w:after="120" w:before="280"/>
      </w:pPr>
      <w:r>
        <w:t xml:space="preserve">Hardware needed for a real deployment</w:t>
      </w:r>
    </w:p>
    <w:p>
      <w:pPr>
        <w:spacing w:after="140"/>
      </w:pPr>
      <w:r>
        <w:t xml:space="preserve">The modelling itself is cheap to run. The real cost and complexity of turning this into a live system is the field hardware that would feed it real data — most of which may already exist in some form within Eskom's network and wouldn't need to be built from scratch.</w:t>
      </w:r>
    </w:p>
    <w:p>
      <w:pPr>
        <w:pStyle w:val="Heading2"/>
        <w:spacing w:after="100" w:before="220"/>
      </w:pPr>
      <w:r>
        <w:t xml:space="preserve">1. Compute to run the models — modest</w:t>
      </w:r>
    </w:p>
    <w:p>
      <w:pPr>
        <w:spacing w:after="140"/>
      </w:pPr>
      <w:r>
        <w:rPr>
          <w:i w:val="false"/>
          <w:iCs w:val="false"/>
        </w:rPr>
        <w:t xml:space="preserve">These are classical tabular models (Gradient Boosting, Random Forest, Isolation Forest), not deep learning — no GPU is required at any point.</w:t>
      </w:r>
    </w:p>
    <w:p>
      <w:pPr>
        <w:pStyle w:val="ListParagraph"/>
        <w:numPr>
          <w:ilvl w:val="0"/>
          <w:numId w:val="2"/>
        </w:numPr>
        <w:spacing w:after="60"/>
      </w:pPr>
      <w:r>
        <w:t xml:space="preserve">Training/retraining: one mid-size server or cloud VM (roughly 8–16 vCPU, 32–64 GB RAM) is enough to retrain all three models on a weekly or monthly cadence, even at full national scale.</w:t>
      </w:r>
    </w:p>
    <w:p>
      <w:pPr>
        <w:pStyle w:val="ListParagraph"/>
        <w:numPr>
          <w:ilvl w:val="0"/>
          <w:numId w:val="2"/>
        </w:numPr>
        <w:spacing w:after="60"/>
      </w:pPr>
      <w:r>
        <w:t xml:space="preserve">Serving: a small production web server (2–4 vCPU) to replace this prototype's Flask app and serve the planner dashboard to real users.</w:t>
      </w:r>
    </w:p>
    <w:p>
      <w:pPr>
        <w:pStyle w:val="ListParagraph"/>
        <w:numPr>
          <w:ilvl w:val="0"/>
          <w:numId w:val="2"/>
        </w:numPr>
        <w:spacing w:after="60"/>
      </w:pPr>
      <w:r>
        <w:t xml:space="preserve">Database: a proper time-series/relational database (e.g., PostgreSQL with a time-series extension) in place of the CSV files used here — sized by how often smart meters and sensors report, which is usually the biggest storage driver.</w:t>
      </w:r>
    </w:p>
    <w:p>
      <w:pPr>
        <w:pStyle w:val="Heading2"/>
        <w:spacing w:after="100" w:before="220"/>
      </w:pPr>
      <w:r>
        <w:t xml:space="preserve">2. Field &amp; sensing hardware — the real lift</w:t>
      </w:r>
    </w:p>
    <w:p>
      <w:pPr>
        <w:spacing w:after="140"/>
      </w:pPr>
      <w:r>
        <w:t xml:space="preserve">This is the infrastructure that generates the input data in the first place. Scope and cost here depend entirely on what Eskom already has deployed in the relevant network segment.</w:t>
      </w:r>
    </w:p>
    <w:p>
      <w:pPr>
        <w:pStyle w:val="ListParagraph"/>
        <w:numPr>
          <w:ilvl w:val="0"/>
          <w:numId w:val="2"/>
        </w:numPr>
        <w:spacing w:after="60"/>
      </w:pPr>
      <w:r>
        <w:t xml:space="preserve">Smart meters (AMI — Advanced Metering Infrastructure) at each connection, to supply the usage readings the theft model needs (declared vs. fed consumption, night usage patterns). This is typically the single largest capital item if not already rolled out.</w:t>
      </w:r>
    </w:p>
    <w:p>
      <w:pPr>
        <w:pStyle w:val="ListParagraph"/>
        <w:numPr>
          <w:ilvl w:val="0"/>
          <w:numId w:val="2"/>
        </w:numPr>
        <w:spacing w:after="60"/>
      </w:pPr>
      <w:r>
        <w:t xml:space="preserve">Transformer condition sensors — oil temperature, dissolved gas analysis (DGA), vibration, load monitoring. Retrofit kits exist for transformers that predate factory-fitted sensors.</w:t>
      </w:r>
    </w:p>
    <w:p>
      <w:pPr>
        <w:pStyle w:val="ListParagraph"/>
        <w:numPr>
          <w:ilvl w:val="0"/>
          <w:numId w:val="2"/>
        </w:numPr>
        <w:spacing w:after="60"/>
      </w:pPr>
      <w:r>
        <w:t xml:space="preserve">SCADA remote terminal units (RTUs) at substations/feeders, to supply the load and protection-equipment data the outage model needs.</w:t>
      </w:r>
    </w:p>
    <w:p>
      <w:pPr>
        <w:pStyle w:val="ListParagraph"/>
        <w:numPr>
          <w:ilvl w:val="0"/>
          <w:numId w:val="2"/>
        </w:numPr>
        <w:spacing w:after="60"/>
      </w:pPr>
      <w:r>
        <w:t xml:space="preserve">Communications backhaul — cellular, RF mesh, or power-line communication (PLC) — to get meter and sensor readings back to a central system reliably.</w:t>
      </w:r>
    </w:p>
    <w:p>
      <w:pPr>
        <w:pStyle w:val="ListParagraph"/>
        <w:numPr>
          <w:ilvl w:val="0"/>
          <w:numId w:val="2"/>
        </w:numPr>
        <w:spacing w:after="60"/>
      </w:pPr>
      <w:r>
        <w:t xml:space="preserve">Edge gateways at substations to aggregate and buffer data where backhaul bandwidth is limited.</w:t>
      </w:r>
    </w:p>
    <w:p>
      <w:pPr>
        <w:pStyle w:val="Heading2"/>
        <w:spacing w:after="100" w:before="220"/>
      </w:pPr>
      <w:r>
        <w:t xml:space="preserve">3. Operational reliability</w:t>
      </w:r>
    </w:p>
    <w:p>
      <w:pPr>
        <w:spacing w:after="140"/>
      </w:pPr>
      <w:r>
        <w:t xml:space="preserve">Because this would inform real maintenance and grid-operations decisions, a production deployment should run on redundant servers with backup power — standard practice for utility-facing systems, but not something this prototype needed to build.</w:t>
      </w:r>
    </w:p>
    <w:p>
      <w:pPr>
        <w:spacing w:before="160"/>
      </w:pPr>
      <w:r>
        <w:rPr>
          <w:i/>
          <w:iCs/>
          <w:color w:val="555555"/>
          <w:sz w:val="20"/>
          <w:szCs w:val="20"/>
        </w:rPr>
        <w:t xml:space="preserve">These are order-of-magnitude figures for planning conversations, not a procurement-grade estimate — a real hardware plan needs an audit of what Eskom already has deployed in the target network segment.</w:t>
      </w:r>
    </w:p>
    <w:p>
      <w:pPr>
        <w:pStyle w:val="Heading1"/>
        <w:spacing w:after="120" w:before="280"/>
      </w:pPr>
      <w:r>
        <w:t xml:space="preserve">Next steps</w:t>
      </w:r>
    </w:p>
    <w:p>
      <w:pPr>
        <w:pStyle w:val="ListParagraph"/>
        <w:numPr>
          <w:ilvl w:val="0"/>
          <w:numId w:val="2"/>
        </w:numPr>
        <w:spacing w:after="60"/>
      </w:pPr>
      <w:r>
        <w:t xml:space="preserve">Replace synthetic data with real Eskom data once available (same column schema, or update the generators/features to match).</w:t>
      </w:r>
    </w:p>
    <w:p>
      <w:pPr>
        <w:pStyle w:val="ListParagraph"/>
        <w:numPr>
          <w:ilvl w:val="0"/>
          <w:numId w:val="2"/>
        </w:numPr>
        <w:spacing w:after="60"/>
      </w:pPr>
      <w:r>
        <w:t xml:space="preserve">Validate the 15% alert-capacity placeholders against real maintenance/dispatch crew capacity.</w:t>
      </w:r>
    </w:p>
    <w:p>
      <w:pPr>
        <w:pStyle w:val="ListParagraph"/>
        <w:numPr>
          <w:ilvl w:val="0"/>
          <w:numId w:val="2"/>
        </w:numPr>
        <w:spacing w:after="60"/>
      </w:pPr>
      <w:r>
        <w:t xml:space="preserve">Add a feedback loop: confirmed theft/false-positive and confirmed failure/false-alarm outcomes flowing back in to improve precision over time.</w:t>
      </w:r>
    </w:p>
    <w:p>
      <w:pPr>
        <w:pStyle w:val="ListParagraph"/>
        <w:numPr>
          <w:ilvl w:val="0"/>
          <w:numId w:val="2"/>
        </w:numPr>
        <w:spacing w:after="60"/>
      </w:pPr>
      <w:r>
        <w:t xml:space="preserve">Grow the feeder dataset (only 200 today) for more stable outage-model evaluation.</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2026-07-25T09:21:57.615Z</dcterms:created>
  <dcterms:modified xsi:type="dcterms:W3CDTF">2026-07-25T09:21:57.616Z</dcterms:modified>
</cp:coreProperties>
</file>

<file path=docProps/custom.xml><?xml version="1.0" encoding="utf-8"?>
<Properties xmlns="http://schemas.openxmlformats.org/officeDocument/2006/custom-properties" xmlns:vt="http://schemas.openxmlformats.org/officeDocument/2006/docPropsVTypes"/>
</file>