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STOMP Technical Areas: Cross-Field Insights Analysis</w:t>
      </w:r>
    </w:p>
    <w:p>
      <w:pPr>
        <w:jc w:val="center"/>
      </w:pPr>
      <w:r>
        <w:t>Mapping ARPA-H STOMP Requirements to Existing NIH Research Expertise</w:t>
      </w:r>
    </w:p>
    <w:p>
      <w:r>
        <w:t>Analysis generated using the Microplastics Research Trendspotter Cross-Field Insights database</w:t>
      </w:r>
    </w:p>
    <w:p>
      <w:r>
        <w:t>Date: April 2026</w:t>
      </w:r>
    </w:p>
    <w:p/>
    <w:p>
      <w:pPr>
        <w:pStyle w:val="Heading1"/>
      </w:pPr>
      <w:r>
        <w:t>Executive Summary</w:t>
      </w:r>
    </w:p>
    <w:p>
      <w:r>
        <w:t>This analysis maps the technical requirements from ARPA-H's STOMP (Systematic Targeting of MicroPlastics) program solicitation to existing NIH-funded research expertise across related pollutant fields. The Cross-Field Insights database contains 2,948 grants studying heavy metals, PFAS, pesticides, air pollution, and other environmental exposures—researchers whose validated methods and mechanistic insights may be directly transferable to microplastics research.</w:t>
      </w:r>
    </w:p>
    <w:p>
      <w:pPr>
        <w:pStyle w:val="Heading1"/>
      </w:pPr>
      <w:r>
        <w:t>Cross-Field Database Overview</w:t>
      </w:r>
    </w:p>
    <w:p>
      <w:r>
        <w:t>The database includes grants across the following pollutant categories:</w:t>
      </w:r>
    </w:p>
    <w:tbl>
      <w:tblPr>
        <w:tblStyle w:val="TableGrid"/>
        <w:tblW w:type="auto" w:w="0"/>
        <w:tblLook w:firstColumn="1" w:firstRow="1" w:lastColumn="0" w:lastRow="0" w:noHBand="0" w:noVBand="1" w:val="04A0"/>
      </w:tblPr>
      <w:tblGrid>
        <w:gridCol w:w="4320"/>
        <w:gridCol w:w="4320"/>
      </w:tblGrid>
      <w:tr>
        <w:tc>
          <w:tcPr>
            <w:tcW w:type="dxa" w:w="4320"/>
          </w:tcPr>
          <w:p>
            <w:r>
              <w:t>Pollutant Category</w:t>
            </w:r>
          </w:p>
        </w:tc>
        <w:tc>
          <w:tcPr>
            <w:tcW w:type="dxa" w:w="4320"/>
          </w:tcPr>
          <w:p>
            <w:r>
              <w:t>Number of Grants</w:t>
            </w:r>
          </w:p>
        </w:tc>
      </w:tr>
      <w:tr>
        <w:tc>
          <w:tcPr>
            <w:tcW w:type="dxa" w:w="4320"/>
          </w:tcPr>
          <w:p>
            <w:r>
              <w:t>Air Pollution</w:t>
            </w:r>
          </w:p>
        </w:tc>
        <w:tc>
          <w:tcPr>
            <w:tcW w:type="dxa" w:w="4320"/>
          </w:tcPr>
          <w:p>
            <w:r>
              <w:t>908 grants</w:t>
            </w:r>
          </w:p>
        </w:tc>
      </w:tr>
      <w:tr>
        <w:tc>
          <w:tcPr>
            <w:tcW w:type="dxa" w:w="4320"/>
          </w:tcPr>
          <w:p>
            <w:r>
              <w:t>Heavy Metals</w:t>
            </w:r>
          </w:p>
        </w:tc>
        <w:tc>
          <w:tcPr>
            <w:tcW w:type="dxa" w:w="4320"/>
          </w:tcPr>
          <w:p>
            <w:r>
              <w:t>547 grants</w:t>
            </w:r>
          </w:p>
        </w:tc>
      </w:tr>
      <w:tr>
        <w:tc>
          <w:tcPr>
            <w:tcW w:type="dxa" w:w="4320"/>
          </w:tcPr>
          <w:p>
            <w:r>
              <w:t>Pesticides</w:t>
            </w:r>
          </w:p>
        </w:tc>
        <w:tc>
          <w:tcPr>
            <w:tcW w:type="dxa" w:w="4320"/>
          </w:tcPr>
          <w:p>
            <w:r>
              <w:t>458 grants</w:t>
            </w:r>
          </w:p>
        </w:tc>
      </w:tr>
      <w:tr>
        <w:tc>
          <w:tcPr>
            <w:tcW w:type="dxa" w:w="4320"/>
          </w:tcPr>
          <w:p>
            <w:r>
              <w:t>PAHs/Dioxins/PCBs</w:t>
            </w:r>
          </w:p>
        </w:tc>
        <w:tc>
          <w:tcPr>
            <w:tcW w:type="dxa" w:w="4320"/>
          </w:tcPr>
          <w:p>
            <w:r>
              <w:t>349 grants</w:t>
            </w:r>
          </w:p>
        </w:tc>
      </w:tr>
      <w:tr>
        <w:tc>
          <w:tcPr>
            <w:tcW w:type="dxa" w:w="4320"/>
          </w:tcPr>
          <w:p>
            <w:r>
              <w:t>PFAS</w:t>
            </w:r>
          </w:p>
        </w:tc>
        <w:tc>
          <w:tcPr>
            <w:tcW w:type="dxa" w:w="4320"/>
          </w:tcPr>
          <w:p>
            <w:r>
              <w:t>266 grants</w:t>
            </w:r>
          </w:p>
        </w:tc>
      </w:tr>
      <w:tr>
        <w:tc>
          <w:tcPr>
            <w:tcW w:type="dxa" w:w="4320"/>
          </w:tcPr>
          <w:p>
            <w:r>
              <w:t>Microplastics</w:t>
            </w:r>
          </w:p>
        </w:tc>
        <w:tc>
          <w:tcPr>
            <w:tcW w:type="dxa" w:w="4320"/>
          </w:tcPr>
          <w:p>
            <w:r>
              <w:t>232 grants</w:t>
            </w:r>
          </w:p>
        </w:tc>
      </w:tr>
      <w:tr>
        <w:tc>
          <w:tcPr>
            <w:tcW w:type="dxa" w:w="4320"/>
          </w:tcPr>
          <w:p>
            <w:r>
              <w:t>Phthalates/BPA</w:t>
            </w:r>
          </w:p>
        </w:tc>
        <w:tc>
          <w:tcPr>
            <w:tcW w:type="dxa" w:w="4320"/>
          </w:tcPr>
          <w:p>
            <w:r>
              <w:t>230 grants</w:t>
            </w:r>
          </w:p>
        </w:tc>
      </w:tr>
      <w:tr>
        <w:tc>
          <w:tcPr>
            <w:tcW w:type="dxa" w:w="4320"/>
          </w:tcPr>
          <w:p>
            <w:r>
              <w:t>Nitrates</w:t>
            </w:r>
          </w:p>
        </w:tc>
        <w:tc>
          <w:tcPr>
            <w:tcW w:type="dxa" w:w="4320"/>
          </w:tcPr>
          <w:p>
            <w:r>
              <w:t>179 grants</w:t>
            </w:r>
          </w:p>
        </w:tc>
      </w:tr>
      <w:tr>
        <w:tc>
          <w:tcPr>
            <w:tcW w:type="dxa" w:w="4320"/>
          </w:tcPr>
          <w:p>
            <w:r>
              <w:t>Solvents</w:t>
            </w:r>
          </w:p>
        </w:tc>
        <w:tc>
          <w:tcPr>
            <w:tcW w:type="dxa" w:w="4320"/>
          </w:tcPr>
          <w:p>
            <w:r>
              <w:t>131 grants</w:t>
            </w:r>
          </w:p>
        </w:tc>
      </w:tr>
      <w:tr>
        <w:tc>
          <w:tcPr>
            <w:tcW w:type="dxa" w:w="4320"/>
          </w:tcPr>
          <w:p>
            <w:r>
              <w:t>Flame Retardants</w:t>
            </w:r>
          </w:p>
        </w:tc>
        <w:tc>
          <w:tcPr>
            <w:tcW w:type="dxa" w:w="4320"/>
          </w:tcPr>
          <w:p>
            <w:r>
              <w:t>74 grants</w:t>
            </w:r>
          </w:p>
        </w:tc>
      </w:tr>
    </w:tbl>
    <w:p/>
    <w:p>
      <w:pPr>
        <w:pStyle w:val="Heading1"/>
      </w:pPr>
      <w:r>
        <w:t>TA1: Measurement</w:t>
      </w:r>
    </w:p>
    <w:p>
      <w:pPr>
        <w:pStyle w:val="Heading2"/>
      </w:pPr>
      <w:r>
        <w:t>STOMP Requirements</w:t>
      </w:r>
    </w:p>
    <w:p>
      <w:r>
        <w:t>• Best-in-class MNP quantification methods (Py-GC-MS, SRS, SERS, flow cytometry)</w:t>
      </w:r>
    </w:p>
    <w:p>
      <w:r>
        <w:t>• Clinical assay development (&lt;$50, &lt;15 min/sample)</w:t>
      </w:r>
    </w:p>
    <w:p>
      <w:r>
        <w:t>• Biofluid-tissue correlation studies</w:t>
      </w:r>
    </w:p>
    <w:p>
      <w:pPr>
        <w:pStyle w:val="Heading2"/>
      </w:pPr>
      <w:r>
        <w:t>Cross-Field Expertise Available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Grants</w:t>
            </w:r>
          </w:p>
        </w:tc>
        <w:tc>
          <w:tcPr>
            <w:tcW w:type="dxa" w:w="2880"/>
          </w:tcPr>
          <w:p>
            <w:r>
              <w:t>Example</w:t>
            </w:r>
          </w:p>
        </w:tc>
      </w:tr>
      <w:tr>
        <w:tc>
          <w:tcPr>
            <w:tcW w:type="dxa" w:w="2880"/>
          </w:tcPr>
          <w:p>
            <w:r>
              <w:t>Mass spectrometry</w:t>
            </w:r>
          </w:p>
        </w:tc>
        <w:tc>
          <w:tcPr>
            <w:tcW w:type="dxa" w:w="2880"/>
          </w:tcPr>
          <w:p>
            <w:r>
              <w:t>93</w:t>
            </w:r>
          </w:p>
        </w:tc>
        <w:tc>
          <w:tcPr>
            <w:tcW w:type="dxa" w:w="2880"/>
          </w:tcPr>
          <w:p>
            <w:r>
              <w:t>CACHET Environmental Biomarkers Core (U Chicago)</w:t>
            </w:r>
          </w:p>
        </w:tc>
      </w:tr>
      <w:tr>
        <w:tc>
          <w:tcPr>
            <w:tcW w:type="dxa" w:w="2880"/>
          </w:tcPr>
          <w:p>
            <w:r>
              <w:t>Raman spectroscopy</w:t>
            </w:r>
          </w:p>
        </w:tc>
        <w:tc>
          <w:tcPr>
            <w:tcW w:type="dxa" w:w="2880"/>
          </w:tcPr>
          <w:p>
            <w:r>
              <w:t>29</w:t>
            </w:r>
          </w:p>
        </w:tc>
        <w:tc>
          <w:tcPr>
            <w:tcW w:type="dxa" w:w="2880"/>
          </w:tcPr>
          <w:p>
            <w:r>
              <w:t>UC Davis brain imaging; Baylor PAH detection</w:t>
            </w:r>
          </w:p>
        </w:tc>
      </w:tr>
      <w:tr>
        <w:tc>
          <w:tcPr>
            <w:tcW w:type="dxa" w:w="2880"/>
          </w:tcPr>
          <w:p>
            <w:r>
              <w:t>Flow cytometry</w:t>
            </w:r>
          </w:p>
        </w:tc>
        <w:tc>
          <w:tcPr>
            <w:tcW w:type="dxa" w:w="2880"/>
          </w:tcPr>
          <w:p>
            <w:r>
              <w:t>20</w:t>
            </w:r>
          </w:p>
        </w:tc>
        <w:tc>
          <w:tcPr>
            <w:tcW w:type="dxa" w:w="2880"/>
          </w:tcPr>
          <w:p>
            <w:r>
              <w:t>Developmental immunotoxicity of PFAS (U Rochester)</w:t>
            </w:r>
          </w:p>
        </w:tc>
      </w:tr>
      <w:tr>
        <w:tc>
          <w:tcPr>
            <w:tcW w:type="dxa" w:w="2880"/>
          </w:tcPr>
          <w:p>
            <w:r>
              <w:t>LC-MS/MS</w:t>
            </w:r>
          </w:p>
        </w:tc>
        <w:tc>
          <w:tcPr>
            <w:tcW w:type="dxa" w:w="2880"/>
          </w:tcPr>
          <w:p>
            <w:r>
              <w:t>10</w:t>
            </w:r>
          </w:p>
        </w:tc>
        <w:tc>
          <w:tcPr>
            <w:tcW w:type="dxa" w:w="2880"/>
          </w:tcPr>
          <w:p>
            <w:r>
              <w:t>Emerging contaminants analysis (U Florida)</w:t>
            </w:r>
          </w:p>
        </w:tc>
      </w:tr>
      <w:tr>
        <w:tc>
          <w:tcPr>
            <w:tcW w:type="dxa" w:w="2880"/>
          </w:tcPr>
          <w:p>
            <w:r>
              <w:t>GC-MS</w:t>
            </w:r>
          </w:p>
        </w:tc>
        <w:tc>
          <w:tcPr>
            <w:tcW w:type="dxa" w:w="2880"/>
          </w:tcPr>
          <w:p>
            <w:r>
              <w:t>12</w:t>
            </w:r>
          </w:p>
        </w:tc>
        <w:tc>
          <w:tcPr>
            <w:tcW w:type="dxa" w:w="2880"/>
          </w:tcPr>
          <w:p>
            <w:r>
              <w:t>In utero exposome studies (Public Health Institute)</w:t>
            </w:r>
          </w:p>
        </w:tc>
      </w:tr>
      <w:tr>
        <w:tc>
          <w:tcPr>
            <w:tcW w:type="dxa" w:w="2880"/>
          </w:tcPr>
          <w:p>
            <w:r>
              <w:t>Point-of-care</w:t>
            </w:r>
          </w:p>
        </w:tc>
        <w:tc>
          <w:tcPr>
            <w:tcW w:type="dxa" w:w="2880"/>
          </w:tcPr>
          <w:p>
            <w:r>
              <w:t>6</w:t>
            </w:r>
          </w:p>
        </w:tc>
        <w:tc>
          <w:tcPr>
            <w:tcW w:type="dxa" w:w="2880"/>
          </w:tcPr>
          <w:p>
            <w:r>
              <w:t>Mobile health tech (UNC Charlotte)</w:t>
            </w:r>
          </w:p>
        </w:tc>
      </w:tr>
    </w:tbl>
    <w:p>
      <w:pPr>
        <w:pStyle w:val="Heading2"/>
      </w:pPr>
      <w:r>
        <w:t>Directly Relevant MNP Measurement Grants</w:t>
      </w:r>
    </w:p>
    <w:p>
      <w:r>
        <w:rPr>
          <w:b/>
        </w:rPr>
        <w:t>• Standing Wave Acoustics for Nanoplastics Separations (SWANS)</w:t>
      </w:r>
      <w:r>
        <w:br/>
        <w:t xml:space="preserve">  PI: Steven Graves, University of New Mexico (R21ES037164)</w:t>
      </w:r>
    </w:p>
    <w:p>
      <w:r>
        <w:rPr>
          <w:b/>
        </w:rPr>
        <w:t>• Rapid Single-Particle Chemical Imaging by SRS Microscopy</w:t>
      </w:r>
      <w:r>
        <w:br/>
        <w:t xml:space="preserve">  PI: Naixin Qian, Columbia University (CONF_3182)</w:t>
      </w:r>
    </w:p>
    <w:p>
      <w:r>
        <w:rPr>
          <w:b/>
        </w:rPr>
        <w:t>• p-CAPture: Novel method to identify/quantify MNPs</w:t>
      </w:r>
      <w:r>
        <w:br/>
        <w:t xml:space="preserve">  PI: Alba Torrents de la Peña, Scripps Research (CONF_3192)</w:t>
      </w:r>
    </w:p>
    <w:p>
      <w:r>
        <w:rPr>
          <w:b/>
        </w:rPr>
        <w:t>• Trace Level Quantitation via Py-GC/MS with SIM</w:t>
      </w:r>
      <w:r>
        <w:br/>
        <w:t xml:space="preserve">  PI: Justin Scott, Cove Sciences (CONF_3194)</w:t>
      </w:r>
    </w:p>
    <w:p/>
    <w:p>
      <w:pPr>
        <w:pStyle w:val="Heading1"/>
      </w:pPr>
      <w:r>
        <w:t>TA2.1: Understanding - Bioaccumulation</w:t>
      </w:r>
    </w:p>
    <w:p>
      <w:pPr>
        <w:pStyle w:val="Heading2"/>
      </w:pPr>
      <w:r>
        <w:t>STOMP Requirements</w:t>
      </w:r>
    </w:p>
    <w:p>
      <w:r>
        <w:t>• Whole-body biodistribution mapping</w:t>
      </w:r>
    </w:p>
    <w:p>
      <w:r>
        <w:t>• Organ-level bioaccumulation half-lives</w:t>
      </w:r>
    </w:p>
    <w:p>
      <w:r>
        <w:t>• Blood-organ concentration correlations</w:t>
      </w:r>
    </w:p>
    <w:p>
      <w:pPr>
        <w:pStyle w:val="Heading2"/>
      </w:pPr>
      <w:r>
        <w:t>Cross-Field Expertise Available</w:t>
      </w:r>
    </w:p>
    <w:tbl>
      <w:tblPr>
        <w:tblStyle w:val="TableGrid"/>
        <w:tblW w:type="auto" w:w="0"/>
        <w:tblLook w:firstColumn="1" w:firstRow="1" w:lastColumn="0" w:lastRow="0" w:noHBand="0" w:noVBand="1" w:val="04A0"/>
      </w:tblPr>
      <w:tblGrid>
        <w:gridCol w:w="2880"/>
        <w:gridCol w:w="2880"/>
        <w:gridCol w:w="2880"/>
      </w:tblGrid>
      <w:tr>
        <w:tc>
          <w:tcPr>
            <w:tcW w:type="dxa" w:w="2880"/>
          </w:tcPr>
          <w:p>
            <w:r>
              <w:t>Topic</w:t>
            </w:r>
          </w:p>
        </w:tc>
        <w:tc>
          <w:tcPr>
            <w:tcW w:type="dxa" w:w="2880"/>
          </w:tcPr>
          <w:p>
            <w:r>
              <w:t>Grants</w:t>
            </w:r>
          </w:p>
        </w:tc>
        <w:tc>
          <w:tcPr>
            <w:tcW w:type="dxa" w:w="2880"/>
          </w:tcPr>
          <w:p>
            <w:r>
              <w:t>Key Pollutant Areas</w:t>
            </w:r>
          </w:p>
        </w:tc>
      </w:tr>
      <w:tr>
        <w:tc>
          <w:tcPr>
            <w:tcW w:type="dxa" w:w="2880"/>
          </w:tcPr>
          <w:p>
            <w:r>
              <w:t>Bioaccumulation studies</w:t>
            </w:r>
          </w:p>
        </w:tc>
        <w:tc>
          <w:tcPr>
            <w:tcW w:type="dxa" w:w="2880"/>
          </w:tcPr>
          <w:p>
            <w:r>
              <w:t>43</w:t>
            </w:r>
          </w:p>
        </w:tc>
        <w:tc>
          <w:tcPr>
            <w:tcW w:type="dxa" w:w="2880"/>
          </w:tcPr>
          <w:p>
            <w:r>
              <w:t>PFAS (extensive half-life data)</w:t>
            </w:r>
          </w:p>
        </w:tc>
      </w:tr>
      <w:tr>
        <w:tc>
          <w:tcPr>
            <w:tcW w:type="dxa" w:w="2880"/>
          </w:tcPr>
          <w:p>
            <w:r>
              <w:t>Biodistribution imaging</w:t>
            </w:r>
          </w:p>
        </w:tc>
        <w:tc>
          <w:tcPr>
            <w:tcW w:type="dxa" w:w="2880"/>
          </w:tcPr>
          <w:p>
            <w:r>
              <w:t>21</w:t>
            </w:r>
          </w:p>
        </w:tc>
        <w:tc>
          <w:tcPr>
            <w:tcW w:type="dxa" w:w="2880"/>
          </w:tcPr>
          <w:p>
            <w:r>
              <w:t>PET imaging, tissue mapping</w:t>
            </w:r>
          </w:p>
        </w:tc>
      </w:tr>
      <w:tr>
        <w:tc>
          <w:tcPr>
            <w:tcW w:type="dxa" w:w="2880"/>
          </w:tcPr>
          <w:p>
            <w:r>
              <w:t>Pharmacokinetics</w:t>
            </w:r>
          </w:p>
        </w:tc>
        <w:tc>
          <w:tcPr>
            <w:tcW w:type="dxa" w:w="2880"/>
          </w:tcPr>
          <w:p>
            <w:r>
              <w:t>31</w:t>
            </w:r>
          </w:p>
        </w:tc>
        <w:tc>
          <w:tcPr>
            <w:tcW w:type="dxa" w:w="2880"/>
          </w:tcPr>
          <w:p>
            <w:r>
              <w:t>Clearance mechanisms</w:t>
            </w:r>
          </w:p>
        </w:tc>
      </w:tr>
      <w:tr>
        <w:tc>
          <w:tcPr>
            <w:tcW w:type="dxa" w:w="2880"/>
          </w:tcPr>
          <w:p>
            <w:r>
              <w:t>Half-life studies</w:t>
            </w:r>
          </w:p>
        </w:tc>
        <w:tc>
          <w:tcPr>
            <w:tcW w:type="dxa" w:w="2880"/>
          </w:tcPr>
          <w:p>
            <w:r>
              <w:t>25</w:t>
            </w:r>
          </w:p>
        </w:tc>
        <w:tc>
          <w:tcPr>
            <w:tcW w:type="dxa" w:w="2880"/>
          </w:tcPr>
          <w:p>
            <w:r>
              <w:t>Cadmium (30-year half-life), PFAS</w:t>
            </w:r>
          </w:p>
        </w:tc>
      </w:tr>
    </w:tbl>
    <w:p>
      <w:pPr>
        <w:pStyle w:val="Heading2"/>
      </w:pPr>
      <w:r>
        <w:t>Directly Relevant MNP Biodistribution Grants</w:t>
      </w:r>
    </w:p>
    <w:p>
      <w:r>
        <w:rPr>
          <w:b/>
        </w:rPr>
        <w:t>• Harnessing PET to Study In Vivo Fate of MNPs</w:t>
      </w:r>
      <w:r>
        <w:br/>
        <w:t xml:space="preserve">  PI: Outi Keinaenen, UAB (R00ES034053)</w:t>
      </w:r>
    </w:p>
    <w:p>
      <w:r>
        <w:rPr>
          <w:b/>
        </w:rPr>
        <w:t>• Accumulation of MNPs in mammalian tissues: a translational study</w:t>
      </w:r>
      <w:r>
        <w:br/>
        <w:t xml:space="preserve">  PI: Rebecca Florsheim &amp; Phoebe Stapleton, NYU/Rutgers (R01ES036575)</w:t>
      </w:r>
    </w:p>
    <w:p>
      <w:r>
        <w:rPr>
          <w:b/>
        </w:rPr>
        <w:t>• Unexpectedly High Accumulation of Nanoplastics in Human Placenta</w:t>
      </w:r>
      <w:r>
        <w:br/>
        <w:t xml:space="preserve">  PI: Yasue Mitsukura, Keio University (CONF_3181)</w:t>
      </w:r>
    </w:p>
    <w:p>
      <w:r>
        <w:rPr>
          <w:b/>
        </w:rPr>
        <w:t>• Biodistribution and circulatory persistence of hyper-compliant microcarriers</w:t>
      </w:r>
      <w:r>
        <w:br/>
        <w:t xml:space="preserve">  PI: Eric Darling, Brown University (R24GM141194)</w:t>
      </w:r>
    </w:p>
    <w:p>
      <w:r>
        <w:rPr>
          <w:b/>
        </w:rPr>
        <w:t>• Intestinal uptake, translocation, biodistribution of MNPs</w:t>
      </w:r>
      <w:r>
        <w:br/>
        <w:t xml:space="preserve">  PI: Philip Demokritou, Rutgers (R01ES036043)</w:t>
      </w:r>
    </w:p>
    <w:p/>
    <w:p>
      <w:pPr>
        <w:pStyle w:val="Heading1"/>
      </w:pPr>
      <w:r>
        <w:t>TA2.2: Understanding - Mechanisms of Toxicity</w:t>
      </w:r>
    </w:p>
    <w:p>
      <w:pPr>
        <w:pStyle w:val="Heading2"/>
      </w:pPr>
      <w:r>
        <w:t>STOMP Requirements</w:t>
      </w:r>
    </w:p>
    <w:p>
      <w:r>
        <w:t>• Trafficking mechanisms (endocytosis, M cell uptake, transcytosis)</w:t>
      </w:r>
    </w:p>
    <w:p>
      <w:r>
        <w:t>• Cellular pathways (oxidative stress, inflammation, protein dyshomeostasis)</w:t>
      </w:r>
    </w:p>
    <w:p>
      <w:r>
        <w:t>• Cell types affected</w:t>
      </w:r>
    </w:p>
    <w:p>
      <w:r>
        <w:t>• Innate clearance mechanisms</w:t>
      </w:r>
    </w:p>
    <w:p>
      <w:pPr>
        <w:pStyle w:val="Heading2"/>
      </w:pPr>
      <w:r>
        <w:t>Cross-Field Expertise by Mechanism (LLM-Verified)</w:t>
      </w:r>
    </w:p>
    <w:tbl>
      <w:tblPr>
        <w:tblStyle w:val="TableGrid"/>
        <w:tblW w:type="auto" w:w="0"/>
        <w:tblLook w:firstColumn="1" w:firstRow="1" w:lastColumn="0" w:lastRow="0" w:noHBand="0" w:noVBand="1" w:val="04A0"/>
      </w:tblPr>
      <w:tblGrid>
        <w:gridCol w:w="2880"/>
        <w:gridCol w:w="2880"/>
        <w:gridCol w:w="2880"/>
      </w:tblGrid>
      <w:tr>
        <w:tc>
          <w:tcPr>
            <w:tcW w:type="dxa" w:w="2880"/>
          </w:tcPr>
          <w:p>
            <w:r>
              <w:t>Mechanism</w:t>
            </w:r>
          </w:p>
        </w:tc>
        <w:tc>
          <w:tcPr>
            <w:tcW w:type="dxa" w:w="2880"/>
          </w:tcPr>
          <w:p>
            <w:r>
              <w:t>Grants</w:t>
            </w:r>
          </w:p>
        </w:tc>
        <w:tc>
          <w:tcPr>
            <w:tcW w:type="dxa" w:w="2880"/>
          </w:tcPr>
          <w:p>
            <w:r>
              <w:t>Transferable Expertise</w:t>
            </w:r>
          </w:p>
        </w:tc>
      </w:tr>
      <w:tr>
        <w:tc>
          <w:tcPr>
            <w:tcW w:type="dxa" w:w="2880"/>
          </w:tcPr>
          <w:p>
            <w:r>
              <w:t>Barrier disruption</w:t>
            </w:r>
          </w:p>
        </w:tc>
        <w:tc>
          <w:tcPr>
            <w:tcW w:type="dxa" w:w="2880"/>
          </w:tcPr>
          <w:p>
            <w:r>
              <w:t>26</w:t>
            </w:r>
          </w:p>
        </w:tc>
        <w:tc>
          <w:tcPr>
            <w:tcW w:type="dxa" w:w="2880"/>
          </w:tcPr>
          <w:p>
            <w:r>
              <w:t>BBB: 39 grants; Gut epithelium: 16 grants</w:t>
            </w:r>
          </w:p>
        </w:tc>
      </w:tr>
      <w:tr>
        <w:tc>
          <w:tcPr>
            <w:tcW w:type="dxa" w:w="2880"/>
          </w:tcPr>
          <w:p>
            <w:r>
              <w:t>Inflammation/NLRP3</w:t>
            </w:r>
          </w:p>
        </w:tc>
        <w:tc>
          <w:tcPr>
            <w:tcW w:type="dxa" w:w="2880"/>
          </w:tcPr>
          <w:p>
            <w:r>
              <w:t>25</w:t>
            </w:r>
          </w:p>
        </w:tc>
        <w:tc>
          <w:tcPr>
            <w:tcW w:type="dxa" w:w="2880"/>
          </w:tcPr>
          <w:p>
            <w:r>
              <w:t>PM2.5, PFAS inflammatory pathways</w:t>
            </w:r>
          </w:p>
        </w:tc>
      </w:tr>
      <w:tr>
        <w:tc>
          <w:tcPr>
            <w:tcW w:type="dxa" w:w="2880"/>
          </w:tcPr>
          <w:p>
            <w:r>
              <w:t>Oxidative stress/ROS</w:t>
            </w:r>
          </w:p>
        </w:tc>
        <w:tc>
          <w:tcPr>
            <w:tcW w:type="dxa" w:w="2880"/>
          </w:tcPr>
          <w:p>
            <w:r>
              <w:t>19</w:t>
            </w:r>
          </w:p>
        </w:tc>
        <w:tc>
          <w:tcPr>
            <w:tcW w:type="dxa" w:w="2880"/>
          </w:tcPr>
          <w:p>
            <w:r>
              <w:t>Air pollution, heavy metals</w:t>
            </w:r>
          </w:p>
        </w:tc>
      </w:tr>
      <w:tr>
        <w:tc>
          <w:tcPr>
            <w:tcW w:type="dxa" w:w="2880"/>
          </w:tcPr>
          <w:p>
            <w:r>
              <w:t>Neurodegeneration</w:t>
            </w:r>
          </w:p>
        </w:tc>
        <w:tc>
          <w:tcPr>
            <w:tcW w:type="dxa" w:w="2880"/>
          </w:tcPr>
          <w:p>
            <w:r>
              <w:t>19</w:t>
            </w:r>
          </w:p>
        </w:tc>
        <w:tc>
          <w:tcPr>
            <w:tcW w:type="dxa" w:w="2880"/>
          </w:tcPr>
          <w:p>
            <w:r>
              <w:t>α-synuclein, tau, amyloid</w:t>
            </w:r>
          </w:p>
        </w:tc>
      </w:tr>
      <w:tr>
        <w:tc>
          <w:tcPr>
            <w:tcW w:type="dxa" w:w="2880"/>
          </w:tcPr>
          <w:p>
            <w:r>
              <w:t>Cell death pathways</w:t>
            </w:r>
          </w:p>
        </w:tc>
        <w:tc>
          <w:tcPr>
            <w:tcW w:type="dxa" w:w="2880"/>
          </w:tcPr>
          <w:p>
            <w:r>
              <w:t>15</w:t>
            </w:r>
          </w:p>
        </w:tc>
        <w:tc>
          <w:tcPr>
            <w:tcW w:type="dxa" w:w="2880"/>
          </w:tcPr>
          <w:p>
            <w:r>
              <w:t>Apoptosis, autophagy, ferroptosis</w:t>
            </w:r>
          </w:p>
        </w:tc>
      </w:tr>
      <w:tr>
        <w:tc>
          <w:tcPr>
            <w:tcW w:type="dxa" w:w="2880"/>
          </w:tcPr>
          <w:p>
            <w:r>
              <w:t>Microbiome effects</w:t>
            </w:r>
          </w:p>
        </w:tc>
        <w:tc>
          <w:tcPr>
            <w:tcW w:type="dxa" w:w="2880"/>
          </w:tcPr>
          <w:p>
            <w:r>
              <w:t>9</w:t>
            </w:r>
          </w:p>
        </w:tc>
        <w:tc>
          <w:tcPr>
            <w:tcW w:type="dxa" w:w="2880"/>
          </w:tcPr>
          <w:p>
            <w:r>
              <w:t>Gut-brain axis disruption</w:t>
            </w:r>
          </w:p>
        </w:tc>
      </w:tr>
      <w:tr>
        <w:tc>
          <w:tcPr>
            <w:tcW w:type="dxa" w:w="2880"/>
          </w:tcPr>
          <w:p>
            <w:r>
              <w:t>Endocytosis/trafficking</w:t>
            </w:r>
          </w:p>
        </w:tc>
        <w:tc>
          <w:tcPr>
            <w:tcW w:type="dxa" w:w="2880"/>
          </w:tcPr>
          <w:p>
            <w:r>
              <w:t>8</w:t>
            </w:r>
          </w:p>
        </w:tc>
        <w:tc>
          <w:tcPr>
            <w:tcW w:type="dxa" w:w="2880"/>
          </w:tcPr>
          <w:p>
            <w:r>
              <w:t>Nanoparticle uptake studies</w:t>
            </w:r>
          </w:p>
        </w:tc>
      </w:tr>
    </w:tbl>
    <w:p>
      <w:pPr>
        <w:pStyle w:val="Heading2"/>
      </w:pPr>
      <w:r>
        <w:t>Cellular Pathway-Specific Expertise</w:t>
      </w:r>
    </w:p>
    <w:tbl>
      <w:tblPr>
        <w:tblStyle w:val="TableGrid"/>
        <w:tblW w:type="auto" w:w="0"/>
        <w:tblLook w:firstColumn="1" w:firstRow="1" w:lastColumn="0" w:lastRow="0" w:noHBand="0" w:noVBand="1" w:val="04A0"/>
      </w:tblPr>
      <w:tblGrid>
        <w:gridCol w:w="4320"/>
        <w:gridCol w:w="4320"/>
      </w:tblGrid>
      <w:tr>
        <w:tc>
          <w:tcPr>
            <w:tcW w:type="dxa" w:w="4320"/>
          </w:tcPr>
          <w:p>
            <w:r>
              <w:t>Cellular Pathway</w:t>
            </w:r>
          </w:p>
        </w:tc>
        <w:tc>
          <w:tcPr>
            <w:tcW w:type="dxa" w:w="4320"/>
          </w:tcPr>
          <w:p>
            <w:r>
              <w:t>Number of Grants</w:t>
            </w:r>
          </w:p>
        </w:tc>
      </w:tr>
      <w:tr>
        <w:tc>
          <w:tcPr>
            <w:tcW w:type="dxa" w:w="4320"/>
          </w:tcPr>
          <w:p>
            <w:r>
              <w:t>Autophagy impairment</w:t>
            </w:r>
          </w:p>
        </w:tc>
        <w:tc>
          <w:tcPr>
            <w:tcW w:type="dxa" w:w="4320"/>
          </w:tcPr>
          <w:p>
            <w:r>
              <w:t>24</w:t>
            </w:r>
          </w:p>
        </w:tc>
      </w:tr>
      <w:tr>
        <w:tc>
          <w:tcPr>
            <w:tcW w:type="dxa" w:w="4320"/>
          </w:tcPr>
          <w:p>
            <w:r>
              <w:t>ER stress/UPR</w:t>
            </w:r>
          </w:p>
        </w:tc>
        <w:tc>
          <w:tcPr>
            <w:tcW w:type="dxa" w:w="4320"/>
          </w:tcPr>
          <w:p>
            <w:r>
              <w:t>19</w:t>
            </w:r>
          </w:p>
        </w:tc>
      </w:tr>
      <w:tr>
        <w:tc>
          <w:tcPr>
            <w:tcW w:type="dxa" w:w="4320"/>
          </w:tcPr>
          <w:p>
            <w:r>
              <w:t>Lysosomal dysfunction</w:t>
            </w:r>
          </w:p>
        </w:tc>
        <w:tc>
          <w:tcPr>
            <w:tcW w:type="dxa" w:w="4320"/>
          </w:tcPr>
          <w:p>
            <w:r>
              <w:t>18</w:t>
            </w:r>
          </w:p>
        </w:tc>
      </w:tr>
      <w:tr>
        <w:tc>
          <w:tcPr>
            <w:tcW w:type="dxa" w:w="4320"/>
          </w:tcPr>
          <w:p>
            <w:r>
              <w:t>Mitophagy</w:t>
            </w:r>
          </w:p>
        </w:tc>
        <w:tc>
          <w:tcPr>
            <w:tcW w:type="dxa" w:w="4320"/>
          </w:tcPr>
          <w:p>
            <w:r>
              <w:t>6</w:t>
            </w:r>
          </w:p>
        </w:tc>
      </w:tr>
      <w:tr>
        <w:tc>
          <w:tcPr>
            <w:tcW w:type="dxa" w:w="4320"/>
          </w:tcPr>
          <w:p>
            <w:r>
              <w:t>Glymphatic clearance</w:t>
            </w:r>
          </w:p>
        </w:tc>
        <w:tc>
          <w:tcPr>
            <w:tcW w:type="dxa" w:w="4320"/>
          </w:tcPr>
          <w:p>
            <w:r>
              <w:t>3</w:t>
            </w:r>
          </w:p>
        </w:tc>
      </w:tr>
      <w:tr>
        <w:tc>
          <w:tcPr>
            <w:tcW w:type="dxa" w:w="4320"/>
          </w:tcPr>
          <w:p>
            <w:r>
              <w:t>Ferroptosis</w:t>
            </w:r>
          </w:p>
        </w:tc>
        <w:tc>
          <w:tcPr>
            <w:tcW w:type="dxa" w:w="4320"/>
          </w:tcPr>
          <w:p>
            <w:r>
              <w:t>2</w:t>
            </w:r>
          </w:p>
        </w:tc>
      </w:tr>
    </w:tbl>
    <w:p>
      <w:pPr>
        <w:pStyle w:val="Heading2"/>
      </w:pPr>
      <w:r>
        <w:t>Key Cross-Field Expert Groups for STOMP TA2.2</w:t>
      </w:r>
    </w:p>
    <w:p>
      <w:pPr>
        <w:pStyle w:val="Heading3"/>
      </w:pPr>
      <w:r>
        <w:t>Protein Dyshomeostasis (STOMP-critical)</w:t>
      </w:r>
    </w:p>
    <w:p>
      <w:r>
        <w:rPr>
          <w:b/>
        </w:rPr>
        <w:t>• Briana De Miranda</w:t>
      </w:r>
      <w:r>
        <w:t xml:space="preserve"> (UAB) - "Lysosomal impairment in TCE-induced Parkinsonism" - proteostasis, α-synuclein</w:t>
      </w:r>
    </w:p>
    <w:p>
      <w:r>
        <w:rPr>
          <w:b/>
        </w:rPr>
        <w:t>• Juyong Brian Kim</w:t>
      </w:r>
      <w:r>
        <w:t xml:space="preserve"> (Stanford) - "Misfolded proteins in smooth muscle" - proteostasis networks</w:t>
      </w:r>
    </w:p>
    <w:p>
      <w:r>
        <w:rPr>
          <w:b/>
        </w:rPr>
        <w:t>• Michael Aschner</w:t>
      </w:r>
      <w:r>
        <w:t xml:space="preserve"> (Einstein) - "Methylmercury neuronal toxicity" - proteostasis mechanisms</w:t>
      </w:r>
    </w:p>
    <w:p>
      <w:r>
        <w:rPr>
          <w:b/>
        </w:rPr>
        <w:t>• Alison Elder</w:t>
      </w:r>
      <w:r>
        <w:t xml:space="preserve"> (U Rochester) - "Glymphatic impairment and PM exposure" - brain clearance</w:t>
      </w:r>
    </w:p>
    <w:p>
      <w:pPr>
        <w:pStyle w:val="Heading3"/>
      </w:pPr>
      <w:r>
        <w:t>Barrier Crossing (STOMP-critical)</w:t>
      </w:r>
    </w:p>
    <w:p>
      <w:r>
        <w:rPr>
          <w:b/>
        </w:rPr>
        <w:t>• Amarbir Gill</w:t>
      </w:r>
      <w:r>
        <w:t xml:space="preserve"> (U Michigan) - "PM size and epithelial barrier dysfunction"</w:t>
      </w:r>
    </w:p>
    <w:p>
      <w:r>
        <w:rPr>
          <w:b/>
        </w:rPr>
        <w:t>• Staci Bilbo</w:t>
      </w:r>
      <w:r>
        <w:t xml:space="preserve"> (Duke) - "Gut-brain dysfunction from prenatal stressors"</w:t>
      </w:r>
    </w:p>
    <w:p>
      <w:r>
        <w:rPr>
          <w:b/>
        </w:rPr>
        <w:t>• Keith Bein</w:t>
      </w:r>
      <w:r>
        <w:t xml:space="preserve"> (UC Davis) - "Traffic-related air pollution and BBB in AD models"</w:t>
      </w:r>
    </w:p>
    <w:p>
      <w:pPr>
        <w:pStyle w:val="Heading3"/>
      </w:pPr>
      <w:r>
        <w:t>Cellular Trafficking</w:t>
      </w:r>
    </w:p>
    <w:p>
      <w:r>
        <w:rPr>
          <w:b/>
        </w:rPr>
        <w:t>• Katherine Zychowski</w:t>
      </w:r>
      <w:r>
        <w:t xml:space="preserve"> (UNM) - "Extracellular vesicle endocytosis after PM exposure"</w:t>
      </w:r>
    </w:p>
    <w:p>
      <w:r>
        <w:rPr>
          <w:b/>
        </w:rPr>
        <w:t>• Philip Demokritou</w:t>
      </w:r>
      <w:r>
        <w:t xml:space="preserve"> (Rutgers) - "Intestinal uptake and translocation of MNPs - advanced cellular models"</w:t>
      </w:r>
    </w:p>
    <w:p>
      <w:r>
        <w:rPr>
          <w:b/>
        </w:rPr>
        <w:t>• Patrick Drew &amp; William Hancock</w:t>
      </w:r>
      <w:r>
        <w:t xml:space="preserve"> (Penn State) - "Mechanisms of nanoplastic transport in brain"</w:t>
      </w:r>
    </w:p>
    <w:p/>
    <w:p>
      <w:pPr>
        <w:pStyle w:val="Heading1"/>
      </w:pPr>
      <w:r>
        <w:t>Organ System Coverage for STOMP</w:t>
      </w:r>
    </w:p>
    <w:tbl>
      <w:tblPr>
        <w:tblStyle w:val="TableGrid"/>
        <w:tblW w:type="auto" w:w="0"/>
        <w:tblLook w:firstColumn="1" w:firstRow="1" w:lastColumn="0" w:lastRow="0" w:noHBand="0" w:noVBand="1" w:val="04A0"/>
      </w:tblPr>
      <w:tblGrid>
        <w:gridCol w:w="2880"/>
        <w:gridCol w:w="2880"/>
        <w:gridCol w:w="2880"/>
      </w:tblGrid>
      <w:tr>
        <w:tc>
          <w:tcPr>
            <w:tcW w:type="dxa" w:w="2880"/>
          </w:tcPr>
          <w:p>
            <w:r>
              <w:t>Organ System</w:t>
            </w:r>
          </w:p>
        </w:tc>
        <w:tc>
          <w:tcPr>
            <w:tcW w:type="dxa" w:w="2880"/>
          </w:tcPr>
          <w:p>
            <w:r>
              <w:t>Grants</w:t>
            </w:r>
          </w:p>
        </w:tc>
        <w:tc>
          <w:tcPr>
            <w:tcW w:type="dxa" w:w="2880"/>
          </w:tcPr>
          <w:p>
            <w:r>
              <w:t>Relevance to STOMP</w:t>
            </w:r>
          </w:p>
        </w:tc>
      </w:tr>
      <w:tr>
        <w:tc>
          <w:tcPr>
            <w:tcW w:type="dxa" w:w="2880"/>
          </w:tcPr>
          <w:p>
            <w:r>
              <w:t>Respiratory</w:t>
            </w:r>
          </w:p>
        </w:tc>
        <w:tc>
          <w:tcPr>
            <w:tcW w:type="dxa" w:w="2880"/>
          </w:tcPr>
          <w:p>
            <w:r>
              <w:t>664</w:t>
            </w:r>
          </w:p>
        </w:tc>
        <w:tc>
          <w:tcPr>
            <w:tcW w:type="dxa" w:w="2880"/>
          </w:tcPr>
          <w:p>
            <w:r>
              <w:t>TA2.1 - inhalation exposure route</w:t>
            </w:r>
          </w:p>
        </w:tc>
      </w:tr>
      <w:tr>
        <w:tc>
          <w:tcPr>
            <w:tcW w:type="dxa" w:w="2880"/>
          </w:tcPr>
          <w:p>
            <w:r>
              <w:t>Cardiovascular</w:t>
            </w:r>
          </w:p>
        </w:tc>
        <w:tc>
          <w:tcPr>
            <w:tcW w:type="dxa" w:w="2880"/>
          </w:tcPr>
          <w:p>
            <w:r>
              <w:t>484</w:t>
            </w:r>
          </w:p>
        </w:tc>
        <w:tc>
          <w:tcPr>
            <w:tcW w:type="dxa" w:w="2880"/>
          </w:tcPr>
          <w:p>
            <w:r>
              <w:t>TA2.2 - systemic distribution</w:t>
            </w:r>
          </w:p>
        </w:tc>
      </w:tr>
      <w:tr>
        <w:tc>
          <w:tcPr>
            <w:tcW w:type="dxa" w:w="2880"/>
          </w:tcPr>
          <w:p>
            <w:r>
              <w:t>Immune</w:t>
            </w:r>
          </w:p>
        </w:tc>
        <w:tc>
          <w:tcPr>
            <w:tcW w:type="dxa" w:w="2880"/>
          </w:tcPr>
          <w:p>
            <w:r>
              <w:t>403</w:t>
            </w:r>
          </w:p>
        </w:tc>
        <w:tc>
          <w:tcPr>
            <w:tcW w:type="dxa" w:w="2880"/>
          </w:tcPr>
          <w:p>
            <w:r>
              <w:t>TA2.2 - macrophage/phagocyte response</w:t>
            </w:r>
          </w:p>
        </w:tc>
      </w:tr>
      <w:tr>
        <w:tc>
          <w:tcPr>
            <w:tcW w:type="dxa" w:w="2880"/>
          </w:tcPr>
          <w:p>
            <w:r>
              <w:t>Brain/Nervous</w:t>
            </w:r>
          </w:p>
        </w:tc>
        <w:tc>
          <w:tcPr>
            <w:tcW w:type="dxa" w:w="2880"/>
          </w:tcPr>
          <w:p>
            <w:r>
              <w:t>267</w:t>
            </w:r>
          </w:p>
        </w:tc>
        <w:tc>
          <w:tcPr>
            <w:tcW w:type="dxa" w:w="2880"/>
          </w:tcPr>
          <w:p>
            <w:r>
              <w:t>TA2 - neurodegeneration, BBB</w:t>
            </w:r>
          </w:p>
        </w:tc>
      </w:tr>
      <w:tr>
        <w:tc>
          <w:tcPr>
            <w:tcW w:type="dxa" w:w="2880"/>
          </w:tcPr>
          <w:p>
            <w:r>
              <w:t>Reproductive</w:t>
            </w:r>
          </w:p>
        </w:tc>
        <w:tc>
          <w:tcPr>
            <w:tcW w:type="dxa" w:w="2880"/>
          </w:tcPr>
          <w:p>
            <w:r>
              <w:t>259</w:t>
            </w:r>
          </w:p>
        </w:tc>
        <w:tc>
          <w:tcPr>
            <w:tcW w:type="dxa" w:w="2880"/>
          </w:tcPr>
          <w:p>
            <w:r>
              <w:t>TA2.1 - placental transfer</w:t>
            </w:r>
          </w:p>
        </w:tc>
      </w:tr>
      <w:tr>
        <w:tc>
          <w:tcPr>
            <w:tcW w:type="dxa" w:w="2880"/>
          </w:tcPr>
          <w:p>
            <w:r>
              <w:t>Endocrine</w:t>
            </w:r>
          </w:p>
        </w:tc>
        <w:tc>
          <w:tcPr>
            <w:tcW w:type="dxa" w:w="2880"/>
          </w:tcPr>
          <w:p>
            <w:r>
              <w:t>159</w:t>
            </w:r>
          </w:p>
        </w:tc>
        <w:tc>
          <w:tcPr>
            <w:tcW w:type="dxa" w:w="2880"/>
          </w:tcPr>
          <w:p>
            <w:r>
              <w:t>TA2.2 - hormonal disruption</w:t>
            </w:r>
          </w:p>
        </w:tc>
      </w:tr>
      <w:tr>
        <w:tc>
          <w:tcPr>
            <w:tcW w:type="dxa" w:w="2880"/>
          </w:tcPr>
          <w:p>
            <w:r>
              <w:t>GI/Gut</w:t>
            </w:r>
          </w:p>
        </w:tc>
        <w:tc>
          <w:tcPr>
            <w:tcW w:type="dxa" w:w="2880"/>
          </w:tcPr>
          <w:p>
            <w:r>
              <w:t>103</w:t>
            </w:r>
          </w:p>
        </w:tc>
        <w:tc>
          <w:tcPr>
            <w:tcW w:type="dxa" w:w="2880"/>
          </w:tcPr>
          <w:p>
            <w:r>
              <w:t>TA2.2 - ingestion route, M cells</w:t>
            </w:r>
          </w:p>
        </w:tc>
      </w:tr>
      <w:tr>
        <w:tc>
          <w:tcPr>
            <w:tcW w:type="dxa" w:w="2880"/>
          </w:tcPr>
          <w:p>
            <w:r>
              <w:t>Liver</w:t>
            </w:r>
          </w:p>
        </w:tc>
        <w:tc>
          <w:tcPr>
            <w:tcW w:type="dxa" w:w="2880"/>
          </w:tcPr>
          <w:p>
            <w:r>
              <w:t>79</w:t>
            </w:r>
          </w:p>
        </w:tc>
        <w:tc>
          <w:tcPr>
            <w:tcW w:type="dxa" w:w="2880"/>
          </w:tcPr>
          <w:p>
            <w:r>
              <w:t>TA2.1 - bioaccumulation</w:t>
            </w:r>
          </w:p>
        </w:tc>
      </w:tr>
      <w:tr>
        <w:tc>
          <w:tcPr>
            <w:tcW w:type="dxa" w:w="2880"/>
          </w:tcPr>
          <w:p>
            <w:r>
              <w:t>Kidney</w:t>
            </w:r>
          </w:p>
        </w:tc>
        <w:tc>
          <w:tcPr>
            <w:tcW w:type="dxa" w:w="2880"/>
          </w:tcPr>
          <w:p>
            <w:r>
              <w:t>69</w:t>
            </w:r>
          </w:p>
        </w:tc>
        <w:tc>
          <w:tcPr>
            <w:tcW w:type="dxa" w:w="2880"/>
          </w:tcPr>
          <w:p>
            <w:r>
              <w:t>TA3 - clearance pathways</w:t>
            </w:r>
          </w:p>
        </w:tc>
      </w:tr>
      <w:tr>
        <w:tc>
          <w:tcPr>
            <w:tcW w:type="dxa" w:w="2880"/>
          </w:tcPr>
          <w:p>
            <w:r>
              <w:t>Skin</w:t>
            </w:r>
          </w:p>
        </w:tc>
        <w:tc>
          <w:tcPr>
            <w:tcW w:type="dxa" w:w="2880"/>
          </w:tcPr>
          <w:p>
            <w:r>
              <w:t>38</w:t>
            </w:r>
          </w:p>
        </w:tc>
        <w:tc>
          <w:tcPr>
            <w:tcW w:type="dxa" w:w="2880"/>
          </w:tcPr>
          <w:p>
            <w:r>
              <w:t>TA2.1 - dermal exposure</w:t>
            </w:r>
          </w:p>
        </w:tc>
      </w:tr>
    </w:tbl>
    <w:p/>
    <w:p>
      <w:pPr>
        <w:pStyle w:val="Heading1"/>
      </w:pPr>
      <w:r>
        <w:t>Promising Cross-Pollutant Analogs for STOMP</w:t>
      </w:r>
    </w:p>
    <w:p>
      <w:r>
        <w:t>Based on STOMP's specific technical needs, these pollutant fields have the most transferable expertise:</w:t>
      </w:r>
    </w:p>
    <w:p>
      <w:pPr>
        <w:pStyle w:val="Heading2"/>
      </w:pPr>
      <w:r>
        <w:t>1. PFAS (266 grants)</w:t>
      </w:r>
    </w:p>
    <w:p>
      <w:r>
        <w:t>Best analog for:</w:t>
      </w:r>
    </w:p>
    <w:p>
      <w:r>
        <w:t>• Long half-life/bioaccumulation studies</w:t>
      </w:r>
    </w:p>
    <w:p>
      <w:r>
        <w:t>• Serum protein binding</w:t>
      </w:r>
    </w:p>
    <w:p>
      <w:r>
        <w:t>• Placental transfer mechanisms</w:t>
      </w:r>
    </w:p>
    <w:p>
      <w:pPr>
        <w:pStyle w:val="Heading2"/>
      </w:pPr>
      <w:r>
        <w:t>2. Air Pollution/PM2.5 (908 grants)</w:t>
      </w:r>
    </w:p>
    <w:p>
      <w:r>
        <w:t>Best analog for:</w:t>
      </w:r>
    </w:p>
    <w:p>
      <w:r>
        <w:t>• Particle uptake mechanisms</w:t>
      </w:r>
    </w:p>
    <w:p>
      <w:r>
        <w:t>• BBB crossing</w:t>
      </w:r>
    </w:p>
    <w:p>
      <w:r>
        <w:t>• Neuroinflammation</w:t>
      </w:r>
    </w:p>
    <w:p>
      <w:r>
        <w:t>• Glymphatic clearance</w:t>
      </w:r>
    </w:p>
    <w:p>
      <w:pPr>
        <w:pStyle w:val="Heading2"/>
      </w:pPr>
      <w:r>
        <w:t>3. Heavy Metals (547 grants)</w:t>
      </w:r>
    </w:p>
    <w:p>
      <w:r>
        <w:t>Best analog for:</w:t>
      </w:r>
    </w:p>
    <w:p>
      <w:r>
        <w:t>• Cadmium neurodegeneration (long half-life analog)</w:t>
      </w:r>
    </w:p>
    <w:p>
      <w:r>
        <w:t>• Lead/mercury protein aggregation</w:t>
      </w:r>
    </w:p>
    <w:p>
      <w:r>
        <w:t>• Tissue accumulation patterns</w:t>
      </w:r>
    </w:p>
    <w:p>
      <w:pPr>
        <w:pStyle w:val="Heading2"/>
      </w:pPr>
      <w:r>
        <w:t>4. Pesticides (458 grants)</w:t>
      </w:r>
    </w:p>
    <w:p>
      <w:r>
        <w:t>Best analog for:</w:t>
      </w:r>
    </w:p>
    <w:p>
      <w:r>
        <w:t>• α-synuclein aggregation (TCE, rotenone)</w:t>
      </w:r>
    </w:p>
    <w:p>
      <w:r>
        <w:t>• Lysosomal/autophagy dysfunction</w:t>
      </w:r>
    </w:p>
    <w:p>
      <w:r>
        <w:t>• Dopaminergic neurotoxicity</w:t>
      </w:r>
    </w:p>
    <w:p/>
    <w:p>
      <w:pPr>
        <w:pStyle w:val="Heading1"/>
      </w:pPr>
      <w:r>
        <w:t>Conclusion</w:t>
      </w:r>
    </w:p>
    <w:p>
      <w:r>
        <w:t>This analysis demonstrates that substantial expertise exists across related pollutant fields that could accelerate STOMP program objectives. The Cross-Field Insights database identifies researchers with decades of validated methods and mechanistic insights directly applicable to microplastics research. STOMP program teams could use this tool to identify collaborators for measurement development (TA1), biodistribution studies (TA2.1), and mechanistic toxicology (TA2.2).</w:t>
      </w:r>
    </w:p>
    <w:p/>
    <w:p>
      <w:r>
        <w:t>Data source: Microplastics Research Trendspotter (https://microplasticschemexpexplorer.streamlit.app)</w:t>
      </w:r>
    </w:p>
    <w:p>
      <w:r>
        <w:t>Analysis tool: Cross-Field Insights database with 2,948 NIH grants on environmental exposures</w:t>
      </w:r>
    </w:p>
    <w:p>
      <w:pPr>
        <w:pStyle w:val="Heading1"/>
      </w:pPr>
      <w:r>
        <w:t>Rationale for Cross-Pollutant Analog Recommendations</w:t>
      </w:r>
    </w:p>
    <w:p>
      <w:r>
        <w:t>This section explains the scientific basis for recommending specific pollutant fields as analogs for STOMP program objectives. Each recommendation is based on physical/chemical similarity, mechanistic relevance, and the depth of existing research.</w:t>
      </w:r>
    </w:p>
    <w:p>
      <w:pPr>
        <w:pStyle w:val="Heading2"/>
      </w:pPr>
      <w:r>
        <w:t>1. PFAS → Bioaccumulation &amp; Half-Life Studies</w:t>
      </w:r>
    </w:p>
    <w:p>
      <w:pPr>
        <w:pStyle w:val="Heading3"/>
      </w:pPr>
      <w:r>
        <w:t>Physical/Chemical Similarity</w:t>
      </w:r>
    </w:p>
    <w:p>
      <w:r>
        <w:t>• Both PFAS and MNPs are persistent - they resist environmental and biological degradation</w:t>
      </w:r>
    </w:p>
    <w:p>
      <w:r>
        <w:t>• Both are lipophilic/amphiphilic - they partition into tissues and bind to proteins</w:t>
      </w:r>
    </w:p>
    <w:p>
      <w:r>
        <w:t>• Both form protein coronas in biological fluids</w:t>
      </w:r>
    </w:p>
    <w:p>
      <w:pPr>
        <w:pStyle w:val="Heading3"/>
      </w:pPr>
      <w:r>
        <w:t>Why PFAS researchers have transferable expertise</w:t>
      </w:r>
    </w:p>
    <w:p>
      <w:r>
        <w:t>PFAS half-lives in humans are 3-8 years (PFOA/PFOS), making them the best model for studying slow clearance kinetics. PFAS researchers have developed pharmacokinetic frameworks for modeling long-term accumulation, extensive work on serum protein binding (albumin, fatty acid binding proteins) - directly relevant to STOMP's question about MNP-protein interactions, and strong placental transfer literature.</w:t>
      </w:r>
    </w:p>
    <w:p>
      <w:pPr>
        <w:pStyle w:val="Heading3"/>
      </w:pPr>
      <w:r>
        <w:t>STOMP alignment</w:t>
      </w:r>
    </w:p>
    <w:p>
      <w:r>
        <w:t>TA2.1 requires "bioaccumulation studies" with "half-life determination across organs" and "blood-organ concentration correlations" - exactly what PFAS toxicologists have been doing for 20+ years.</w:t>
      </w:r>
    </w:p>
    <w:p>
      <w:pPr>
        <w:pStyle w:val="Heading2"/>
      </w:pPr>
      <w:r>
        <w:t>2. Air Pollution/PM2.5 → Particle Uptake &amp; Neurological Effects</w:t>
      </w:r>
    </w:p>
    <w:p>
      <w:pPr>
        <w:pStyle w:val="Heading3"/>
      </w:pPr>
      <w:r>
        <w:t>Physical Similarity</w:t>
      </w:r>
    </w:p>
    <w:p>
      <w:r>
        <w:t>• PM2.5/ultrafine particles (UFPs) are in the same size range as nanoplastics</w:t>
      </w:r>
    </w:p>
    <w:p>
      <w:r>
        <w:t>• Both are inhaled particles that can translocate from lungs to circulation</w:t>
      </w:r>
    </w:p>
    <w:p>
      <w:r>
        <w:t>• Both are heterogeneous mixtures (unlike pure chemicals)</w:t>
      </w:r>
    </w:p>
    <w:p>
      <w:pPr>
        <w:pStyle w:val="Heading3"/>
      </w:pPr>
      <w:r>
        <w:t>Why PM researchers have transferable expertise</w:t>
      </w:r>
    </w:p>
    <w:p>
      <w:r>
        <w:rPr>
          <w:b/>
        </w:rPr>
        <w:t xml:space="preserve">Particle uptake mechanisms: </w:t>
      </w:r>
      <w:r>
        <w:t>PM research has characterized endocytosis, phagocytosis, and macrophage responses to particulates - the same cellular machinery handles MNPs.</w:t>
      </w:r>
    </w:p>
    <w:p>
      <w:r>
        <w:rPr>
          <w:b/>
        </w:rPr>
        <w:t xml:space="preserve">BBB crossing: </w:t>
      </w:r>
      <w:r>
        <w:t>39 grants in the database specifically study how inhaled particles reach the brain. STOMP TA2.2 asks about MNP neurological effects.</w:t>
      </w:r>
    </w:p>
    <w:p>
      <w:r>
        <w:rPr>
          <w:b/>
        </w:rPr>
        <w:t xml:space="preserve">Neuroinflammation: </w:t>
      </w:r>
      <w:r>
        <w:t>The PM2.5-Alzheimer's/Parkinson's link is established. Researchers have identified pathways (microglial activation, NLRP3 inflammasome) that may apply to MNPs.</w:t>
      </w:r>
    </w:p>
    <w:p>
      <w:r>
        <w:rPr>
          <w:b/>
        </w:rPr>
        <w:t xml:space="preserve">Glymphatic clearance: </w:t>
      </w:r>
      <w:r>
        <w:t>PM researchers are studying how particle exposure impairs brain waste clearance - directly relevant to STOMP's "innate clearance mechanisms" question.</w:t>
      </w:r>
    </w:p>
    <w:p>
      <w:pPr>
        <w:pStyle w:val="Heading3"/>
      </w:pPr>
      <w:r>
        <w:t>STOMP alignment</w:t>
      </w:r>
    </w:p>
    <w:p>
      <w:r>
        <w:t>TA2.2 asks about "trafficking mechanisms" and effects on different "cell types" - PM researchers have done this for particles of similar size and route of exposure.</w:t>
      </w:r>
    </w:p>
    <w:p>
      <w:pPr>
        <w:pStyle w:val="Heading2"/>
      </w:pPr>
      <w:r>
        <w:t>3. Heavy Metals → Tissue Accumulation &amp; Protein Aggregation</w:t>
      </w:r>
    </w:p>
    <w:p>
      <w:pPr>
        <w:pStyle w:val="Heading3"/>
      </w:pPr>
      <w:r>
        <w:t>Why this analog?</w:t>
      </w:r>
    </w:p>
    <w:p>
      <w:r>
        <w:t>Cadmium has a 10-30 year biological half-life in humans (accumulates in kidney) - the longest of any well-studied toxicant. This provides methods for studying very slow clearance. Lead and mercury induce protein misfolding and aggregation - exactly what STOMP TA2.2 identifies as "protein dyshomeostasis." Heavy metal researchers have developed tissue distribution mapping methods (imaging mass spectrometry, ICP-MS) adaptable to MNP studies.</w:t>
      </w:r>
    </w:p>
    <w:p>
      <w:pPr>
        <w:pStyle w:val="Heading3"/>
      </w:pPr>
      <w:r>
        <w:t>Mechanistic relevance</w:t>
      </w:r>
    </w:p>
    <w:p>
      <w:r>
        <w:t>• Mercury disrupts proteostasis by binding to sulfhydryl groups, causing protein misfolding</w:t>
      </w:r>
    </w:p>
    <w:p>
      <w:r>
        <w:t>• Lead causes alpha-synuclein aggregation in neurodegeneration models</w:t>
      </w:r>
    </w:p>
    <w:p>
      <w:r>
        <w:t>• These are the same pathways STOMP asks about for MNPs</w:t>
      </w:r>
    </w:p>
    <w:p>
      <w:pPr>
        <w:pStyle w:val="Heading3"/>
      </w:pPr>
      <w:r>
        <w:t>STOMP alignment</w:t>
      </w:r>
    </w:p>
    <w:p>
      <w:r>
        <w:t>TA2.1 biodistribution + TA2.2 protein dyshomeostasis</w:t>
      </w:r>
    </w:p>
    <w:p>
      <w:pPr>
        <w:pStyle w:val="Heading2"/>
      </w:pPr>
      <w:r>
        <w:t>4. Pesticides → Neurodegeneration Mechanisms</w:t>
      </w:r>
    </w:p>
    <w:p>
      <w:pPr>
        <w:pStyle w:val="Heading3"/>
      </w:pPr>
      <w:r>
        <w:t>Why this analog?</w:t>
      </w:r>
    </w:p>
    <w:p>
      <w:r>
        <w:t>This is the most mechanism-specific recommendation:</w:t>
      </w:r>
    </w:p>
    <w:p>
      <w:r>
        <w:t>• TCE (trichloroethylene) and rotenone are established models for Parkinson's disease</w:t>
      </w:r>
    </w:p>
    <w:p>
      <w:r>
        <w:t>• They cause α-synuclein aggregation - the specific protein pathology STOMP mentions</w:t>
      </w:r>
    </w:p>
    <w:p>
      <w:r>
        <w:t>• Pesticide researchers (especially the UAB group with Briana De Miranda) have characterized lysosomal/autophagy dysfunction - the cellular degradation pathways STOMP asks about</w:t>
      </w:r>
    </w:p>
    <w:p>
      <w:r>
        <w:t>• The dopaminergic neurotoxicity pathway is well-characterized</w:t>
      </w:r>
    </w:p>
    <w:p>
      <w:pPr>
        <w:pStyle w:val="Heading3"/>
      </w:pPr>
      <w:r>
        <w:t>Specific expertise</w:t>
      </w:r>
    </w:p>
    <w:p>
      <w:r>
        <w:t>• How environmental toxicants trigger protein aggregation in specific neuronal populations</w:t>
      </w:r>
    </w:p>
    <w:p>
      <w:r>
        <w:t>• Lysosomal impairment leading to failed clearance of aggregated proteins</w:t>
      </w:r>
    </w:p>
    <w:p>
      <w:r>
        <w:t>• Mitochondrial dysfunction → oxidative stress → neurodegeneration cascade</w:t>
      </w:r>
    </w:p>
    <w:p>
      <w:pPr>
        <w:pStyle w:val="Heading3"/>
      </w:pPr>
      <w:r>
        <w:t>STOMP alignment</w:t>
      </w:r>
    </w:p>
    <w:p>
      <w:r>
        <w:t>TA2.2 explicitly lists "oxidative stress, inflammation, protein dyshomeostasis" as mechanisms of interest. Pesticide neurotoxicology has the deepest expertise in the protein dyshomeostasis arm.</w:t>
      </w:r>
    </w:p>
    <w:p>
      <w:pPr>
        <w:pStyle w:val="Heading2"/>
      </w:pPr>
      <w:r>
        <w:t>Summary: Why These Four Analogs?</w:t>
      </w:r>
    </w:p>
    <w:tbl>
      <w:tblPr>
        <w:tblStyle w:val="TableGrid"/>
        <w:tblW w:type="auto" w:w="0"/>
        <w:tblLook w:firstColumn="1" w:firstRow="1" w:lastColumn="0" w:lastRow="0" w:noHBand="0" w:noVBand="1" w:val="04A0"/>
      </w:tblPr>
      <w:tblGrid>
        <w:gridCol w:w="2880"/>
        <w:gridCol w:w="2880"/>
        <w:gridCol w:w="2880"/>
      </w:tblGrid>
      <w:tr>
        <w:tc>
          <w:tcPr>
            <w:tcW w:type="dxa" w:w="2880"/>
          </w:tcPr>
          <w:p>
            <w:r>
              <w:t>Pollutant</w:t>
            </w:r>
          </w:p>
        </w:tc>
        <w:tc>
          <w:tcPr>
            <w:tcW w:type="dxa" w:w="2880"/>
          </w:tcPr>
          <w:p>
            <w:r>
              <w:t>Primary STOMP Alignment</w:t>
            </w:r>
          </w:p>
        </w:tc>
        <w:tc>
          <w:tcPr>
            <w:tcW w:type="dxa" w:w="2880"/>
          </w:tcPr>
          <w:p>
            <w:r>
              <w:t>Key Transferable Methods</w:t>
            </w:r>
          </w:p>
        </w:tc>
      </w:tr>
      <w:tr>
        <w:tc>
          <w:tcPr>
            <w:tcW w:type="dxa" w:w="2880"/>
          </w:tcPr>
          <w:p>
            <w:r>
              <w:t>PFAS</w:t>
            </w:r>
          </w:p>
        </w:tc>
        <w:tc>
          <w:tcPr>
            <w:tcW w:type="dxa" w:w="2880"/>
          </w:tcPr>
          <w:p>
            <w:r>
              <w:t>TA2.1 Bioaccumulation</w:t>
            </w:r>
          </w:p>
        </w:tc>
        <w:tc>
          <w:tcPr>
            <w:tcW w:type="dxa" w:w="2880"/>
          </w:tcPr>
          <w:p>
            <w:r>
              <w:t>PK modeling, half-life studies, protein binding</w:t>
            </w:r>
          </w:p>
        </w:tc>
      </w:tr>
      <w:tr>
        <w:tc>
          <w:tcPr>
            <w:tcW w:type="dxa" w:w="2880"/>
          </w:tcPr>
          <w:p>
            <w:r>
              <w:t>PM2.5</w:t>
            </w:r>
          </w:p>
        </w:tc>
        <w:tc>
          <w:tcPr>
            <w:tcW w:type="dxa" w:w="2880"/>
          </w:tcPr>
          <w:p>
            <w:r>
              <w:t>TA2.2 Trafficking</w:t>
            </w:r>
          </w:p>
        </w:tc>
        <w:tc>
          <w:tcPr>
            <w:tcW w:type="dxa" w:w="2880"/>
          </w:tcPr>
          <w:p>
            <w:r>
              <w:t>Particle uptake, BBB crossing, neuroinflammation</w:t>
            </w:r>
          </w:p>
        </w:tc>
      </w:tr>
      <w:tr>
        <w:tc>
          <w:tcPr>
            <w:tcW w:type="dxa" w:w="2880"/>
          </w:tcPr>
          <w:p>
            <w:r>
              <w:t>Heavy Metals</w:t>
            </w:r>
          </w:p>
        </w:tc>
        <w:tc>
          <w:tcPr>
            <w:tcW w:type="dxa" w:w="2880"/>
          </w:tcPr>
          <w:p>
            <w:r>
              <w:t>TA2.1 + TA2.2</w:t>
            </w:r>
          </w:p>
        </w:tc>
        <w:tc>
          <w:tcPr>
            <w:tcW w:type="dxa" w:w="2880"/>
          </w:tcPr>
          <w:p>
            <w:r>
              <w:t>Tissue mapping, long-term accumulation</w:t>
            </w:r>
          </w:p>
        </w:tc>
      </w:tr>
      <w:tr>
        <w:tc>
          <w:tcPr>
            <w:tcW w:type="dxa" w:w="2880"/>
          </w:tcPr>
          <w:p>
            <w:r>
              <w:t>Pesticides</w:t>
            </w:r>
          </w:p>
        </w:tc>
        <w:tc>
          <w:tcPr>
            <w:tcW w:type="dxa" w:w="2880"/>
          </w:tcPr>
          <w:p>
            <w:r>
              <w:t>TA2.2 Mechanisms</w:t>
            </w:r>
          </w:p>
        </w:tc>
        <w:tc>
          <w:tcPr>
            <w:tcW w:type="dxa" w:w="2880"/>
          </w:tcPr>
          <w:p>
            <w:r>
              <w:t>Proteostasis, lysosomal function, neurodegeneration</w:t>
            </w:r>
          </w:p>
        </w:tc>
      </w:tr>
    </w:tbl>
    <w:p/>
    <w:p>
      <w:r>
        <w:t>The ranking reflects both volume of research and biological plausibility of mechanism transfer to MNPs.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