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keepNext w:val="false"/>
        <w:keepLines w:val="false"/>
        <w:pBdr/>
        <w:spacing w:after="60" w:before="1200"/>
        <w:ind/>
        <w:rPr/>
      </w:pPr>
      <w:r>
        <w:rPr>
          <w:rFonts w:ascii="Aptos" w:hAnsi="Aptos" w:eastAsia="Aptos" w:cs="Aptos"/>
          <w:b/>
          <w:bCs/>
          <w:i w:val="0"/>
          <w:iCs w:val="0"/>
          <w:color w:val="374151"/>
          <w:sz w:val="32"/>
          <w:szCs w:val="32"/>
        </w:rPr>
        <w:t xml:space="preserve">MANUAL DE</w:t>
      </w:r>
      <w:r/>
    </w:p>
    <w:p>
      <w:pPr>
        <w:pStyle w:val="915"/>
        <w:pBdr/>
        <w:spacing/>
        <w:ind/>
        <w:rPr/>
      </w:pPr>
      <w:r>
        <w:rPr>
          <w:rFonts w:ascii="Aptos" w:hAnsi="Aptos" w:eastAsia="Aptos" w:cs="Aptos"/>
        </w:rPr>
        <w:t xml:space="preserve">UI/UX &amp; DESIGN SYSTEM</w:t>
      </w:r>
      <w:r/>
    </w:p>
    <w:p>
      <w:pPr>
        <w:keepNext w:val="false"/>
        <w:keepLines w:val="false"/>
        <w:pBdr/>
        <w:spacing w:after="80" w:before="0"/>
        <w:ind/>
        <w:rPr/>
      </w:pPr>
      <w:r>
        <w:rPr>
          <w:rFonts w:ascii="Aptos" w:hAnsi="Aptos" w:eastAsia="Aptos" w:cs="Aptos"/>
          <w:b/>
          <w:bCs/>
          <w:i w:val="0"/>
          <w:iCs w:val="0"/>
          <w:color w:val="1f2937"/>
          <w:sz w:val="40"/>
          <w:szCs w:val="40"/>
        </w:rPr>
        <w:t xml:space="preserve">Sistema de diseño corporativo</w:t>
      </w:r>
      <w:r/>
    </w:p>
    <w:p>
      <w:pPr>
        <w:keepNext w:val="false"/>
        <w:keepLines w:val="false"/>
        <w:pBdr/>
        <w:spacing w:after="300" w:before="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6b7280"/>
          <w:sz w:val="22"/>
          <w:szCs w:val="22"/>
        </w:rPr>
        <w:t xml:space="preserve">Paleta azul · Temas claro y oscuro · Componentes · Accesibilidad</w:t>
      </w:r>
      <w:r/>
    </w:p>
    <w:tbl>
      <w:tblPr>
        <w:tblW w:w="936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single" w:color="ffffff" w:sz="24" w:space="0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rHeight w:val="720" w:hRule="exact"/>
        </w:trPr>
        <w:tc>
          <w:tcPr>
            <w:shd w:val="clear" w:color="auto" w:fill="1d4ed8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1872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shd w:val="clear" w:color="auto" w:fill="dbeafe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1872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shd w:val="clear" w:color="auto" w:fill="f3f4f6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1872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shd w:val="clear" w:color="auto" w:fill="1f2937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1872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shd w:val="clear" w:color="auto" w:fill="0b1120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1872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</w:tr>
    </w:tbl>
    <w:p>
      <w:pPr>
        <w:keepNext w:val="false"/>
        <w:keepLines w:val="false"/>
        <w:pBdr/>
        <w:spacing w:after="200" w:before="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</w:r>
      <w:r/>
    </w:p>
    <w:tbl>
      <w:tblPr>
        <w:tblW w:w="9360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>
          <w:cantSplit/>
        </w:trPr>
        <w:tc>
          <w:tcPr>
            <w:shd w:val="clear" w:color="auto" w:fill="eff6ff"/>
            <w:tcBorders>
              <w:top w:val="none" w:color="ffffff" w:sz="0" w:space="0"/>
              <w:left w:val="single" w:color="1d4ed8" w:sz="24" w:space="0"/>
              <w:bottom w:val="none" w:color="ffffff" w:sz="0" w:space="0"/>
              <w:right w:val="none" w:color="ffffff" w:sz="0" w:space="0"/>
            </w:tcBorders>
            <w:tcMar>
              <w:left w:w="180" w:type="dxa"/>
              <w:top w:w="130" w:type="dxa"/>
              <w:right w:w="180" w:type="dxa"/>
              <w:bottom w:w="130" w:type="dxa"/>
            </w:tcMar>
            <w:tcW w:w="93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1d4ed8"/>
                <w:sz w:val="19"/>
                <w:szCs w:val="19"/>
              </w:rPr>
              <w:t xml:space="preserve">Color de marca  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9"/>
                <w:szCs w:val="19"/>
              </w:rPr>
              <w:t xml:space="preserve">Azul corporativo Primary Blue #1D4ED8. Se conserva como referencia visual principal; los colores de texto y estados se ajustan según contraste y contexto.</w:t>
            </w:r>
            <w:r/>
          </w:p>
        </w:tc>
      </w:tr>
    </w:tbl>
    <w:p>
      <w:pPr>
        <w:keepNext w:val="false"/>
        <w:keepLines w:val="false"/>
        <w:pBdr/>
        <w:spacing w:after="0" w:before="90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6b7280"/>
          <w:sz w:val="18"/>
          <w:szCs w:val="18"/>
        </w:rPr>
        <w:t xml:space="preserve">Versión 1.1  |  12 de octubre de 2026  |  Documento de referencia para diseño y desarrollo</w:t>
      </w:r>
      <w:r/>
    </w:p>
    <w:p>
      <w:pPr>
        <w:keepNext w:val="false"/>
        <w:keepLines w:val="false"/>
        <w:pBdr/>
        <w:spacing w:after="0" w:before="0"/>
        <w:ind/>
        <w:rPr/>
      </w:pPr>
      <w:r>
        <w:br w:type="page" w:clear="all"/>
      </w:r>
      <w:r/>
    </w:p>
    <w:p>
      <w:pPr>
        <w:pStyle w:val="916"/>
        <w:keepNext w:val="true"/>
        <w:pBdr/>
        <w:spacing/>
        <w:ind/>
        <w:rPr/>
      </w:pPr>
      <w:r>
        <w:rPr>
          <w:rFonts w:ascii="Aptos" w:hAnsi="Aptos" w:eastAsia="Aptos" w:cs="Aptos"/>
        </w:rPr>
        <w:t xml:space="preserve">Control del documento</w:t>
      </w:r>
      <w:r/>
    </w:p>
    <w:tbl>
      <w:tblPr>
        <w:tblW w:w="936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>
        <w:trPr>
          <w:cantSplit/>
        </w:trPr>
        <w:tc>
          <w:tcPr>
            <w:shd w:val="clear" w:color="auto" w:fill="111827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6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ffffff"/>
                <w:sz w:val="18"/>
                <w:szCs w:val="18"/>
              </w:rPr>
              <w:t xml:space="preserve">Campo</w:t>
            </w:r>
            <w:r/>
          </w:p>
        </w:tc>
        <w:tc>
          <w:tcPr>
            <w:shd w:val="clear" w:color="auto" w:fill="111827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67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ffffff"/>
                <w:sz w:val="18"/>
                <w:szCs w:val="18"/>
              </w:rPr>
              <w:t xml:space="preserve">Definición</w:t>
            </w:r>
            <w:r/>
          </w:p>
        </w:tc>
      </w:tr>
      <w:tr>
        <w:trPr>
          <w:cantSplit/>
        </w:trPr>
        <w:tc>
          <w:tcPr>
            <w:shd w:val="clear" w:color="auto" w:fill="f3f4f6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6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111827"/>
                <w:sz w:val="18"/>
                <w:szCs w:val="18"/>
              </w:rPr>
              <w:t xml:space="preserve">Nombre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67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8"/>
                <w:szCs w:val="18"/>
              </w:rPr>
              <w:t xml:space="preserve">Manual UI/UX — Sistema de diseño corporativo</w:t>
            </w:r>
            <w:r/>
          </w:p>
        </w:tc>
      </w:tr>
      <w:tr>
        <w:trPr>
          <w:cantSplit/>
        </w:trPr>
        <w:tc>
          <w:tcPr>
            <w:shd w:val="clear" w:color="auto" w:fill="f3f4f6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6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111827"/>
                <w:sz w:val="18"/>
                <w:szCs w:val="18"/>
              </w:rPr>
              <w:t xml:space="preserve">Versión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67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8"/>
                <w:szCs w:val="18"/>
              </w:rPr>
              <w:t xml:space="preserve">1.1</w:t>
            </w:r>
            <w:r/>
          </w:p>
        </w:tc>
      </w:tr>
      <w:tr>
        <w:trPr>
          <w:cantSplit/>
        </w:trPr>
        <w:tc>
          <w:tcPr>
            <w:shd w:val="clear" w:color="auto" w:fill="f3f4f6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6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111827"/>
                <w:sz w:val="18"/>
                <w:szCs w:val="18"/>
              </w:rPr>
              <w:t xml:space="preserve">Fecha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67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8"/>
                <w:szCs w:val="18"/>
              </w:rPr>
              <w:t xml:space="preserve">12 de octubre de 2026</w:t>
            </w:r>
            <w:r/>
          </w:p>
        </w:tc>
      </w:tr>
      <w:tr>
        <w:trPr>
          <w:cantSplit/>
        </w:trPr>
        <w:tc>
          <w:tcPr>
            <w:shd w:val="clear" w:color="auto" w:fill="f3f4f6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6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111827"/>
                <w:sz w:val="18"/>
                <w:szCs w:val="18"/>
              </w:rPr>
              <w:t xml:space="preserve">Marca principal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67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8"/>
                <w:szCs w:val="18"/>
              </w:rPr>
              <w:t xml:space="preserve">Primary Blue #1D4ED8</w:t>
            </w:r>
            <w:r/>
          </w:p>
        </w:tc>
      </w:tr>
      <w:tr>
        <w:trPr>
          <w:cantSplit/>
        </w:trPr>
        <w:tc>
          <w:tcPr>
            <w:shd w:val="clear" w:color="auto" w:fill="f3f4f6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6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111827"/>
                <w:sz w:val="18"/>
                <w:szCs w:val="18"/>
              </w:rPr>
              <w:t xml:space="preserve">Ámbito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67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8"/>
                <w:szCs w:val="18"/>
              </w:rPr>
              <w:t xml:space="preserve">Aplicación web corporativa adaptable a escritorio y móvil</w:t>
            </w:r>
            <w:r/>
          </w:p>
        </w:tc>
      </w:tr>
      <w:tr>
        <w:trPr>
          <w:cantSplit/>
        </w:trPr>
        <w:tc>
          <w:tcPr>
            <w:shd w:val="clear" w:color="auto" w:fill="f3f4f6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6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111827"/>
                <w:sz w:val="18"/>
                <w:szCs w:val="18"/>
              </w:rPr>
              <w:t xml:space="preserve">Estado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67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8"/>
                <w:szCs w:val="18"/>
              </w:rPr>
              <w:t xml:space="preserve">Base inicial; validar tokens y contraste en la interfaz real antes de producción</w:t>
            </w:r>
            <w:r/>
          </w:p>
        </w:tc>
      </w:tr>
      <w:tr>
        <w:trPr>
          <w:cantSplit/>
        </w:trPr>
        <w:tc>
          <w:tcPr>
            <w:shd w:val="clear" w:color="auto" w:fill="f3f4f6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6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111827"/>
                <w:sz w:val="18"/>
                <w:szCs w:val="18"/>
              </w:rPr>
              <w:t xml:space="preserve">Historial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67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8"/>
                <w:szCs w:val="18"/>
              </w:rPr>
              <w:t xml:space="preserve">1.0 (9 de octubre de 2026): paleta naranja #EA580C. 1.1 (12 de octubre de 2026): migración a paleta azul #1D4ED8, neutros fríos y tokens por tema</w:t>
            </w:r>
            <w:r/>
          </w:p>
        </w:tc>
      </w:tr>
    </w:tbl>
    <w:p>
      <w:pPr>
        <w:pStyle w:val="916"/>
        <w:keepNext w:val="true"/>
        <w:pBdr/>
        <w:spacing/>
        <w:ind/>
        <w:rPr/>
      </w:pPr>
      <w:r>
        <w:rPr>
          <w:rFonts w:ascii="Aptos" w:hAnsi="Aptos" w:eastAsia="Aptos" w:cs="Aptos"/>
        </w:rPr>
        <w:t xml:space="preserve">Índice</w:t>
      </w:r>
      <w:r/>
    </w:p>
    <w:p>
      <w:pPr>
        <w:pStyle w:val="907"/>
        <w:numPr>
          <w:ilvl w:val="0"/>
          <w:numId w:val="2"/>
        </w:numPr>
        <w:pBdr/>
        <w:spacing w:after="7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1. Propósito y principios</w:t>
      </w:r>
      <w:r/>
    </w:p>
    <w:p>
      <w:pPr>
        <w:pStyle w:val="907"/>
        <w:numPr>
          <w:ilvl w:val="0"/>
          <w:numId w:val="2"/>
        </w:numPr>
        <w:pBdr/>
        <w:spacing w:after="7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2. Fundamentos cromáticos</w:t>
      </w:r>
      <w:r/>
    </w:p>
    <w:p>
      <w:pPr>
        <w:pStyle w:val="907"/>
        <w:numPr>
          <w:ilvl w:val="0"/>
          <w:numId w:val="2"/>
        </w:numPr>
        <w:pBdr/>
        <w:spacing w:after="7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3. Color primario de marca</w:t>
      </w:r>
      <w:r/>
    </w:p>
    <w:p>
      <w:pPr>
        <w:pStyle w:val="907"/>
        <w:numPr>
          <w:ilvl w:val="0"/>
          <w:numId w:val="2"/>
        </w:numPr>
        <w:pBdr/>
        <w:spacing w:after="7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4. Escala neutral completa</w:t>
      </w:r>
      <w:r/>
    </w:p>
    <w:p>
      <w:pPr>
        <w:pStyle w:val="907"/>
        <w:numPr>
          <w:ilvl w:val="0"/>
          <w:numId w:val="2"/>
        </w:numPr>
        <w:pBdr/>
        <w:spacing w:after="7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5. Colores semánticos de apoyo</w:t>
      </w:r>
      <w:r/>
    </w:p>
    <w:p>
      <w:pPr>
        <w:pStyle w:val="907"/>
        <w:numPr>
          <w:ilvl w:val="0"/>
          <w:numId w:val="2"/>
        </w:numPr>
        <w:pBdr/>
        <w:spacing w:after="7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6. Temas claro y oscuro</w:t>
      </w:r>
      <w:r/>
    </w:p>
    <w:p>
      <w:pPr>
        <w:pStyle w:val="907"/>
        <w:numPr>
          <w:ilvl w:val="0"/>
          <w:numId w:val="2"/>
        </w:numPr>
        <w:pBdr/>
        <w:spacing w:after="7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7. Tipografía y jerarquía</w:t>
      </w:r>
      <w:r/>
    </w:p>
    <w:p>
      <w:pPr>
        <w:pStyle w:val="907"/>
        <w:numPr>
          <w:ilvl w:val="0"/>
          <w:numId w:val="2"/>
        </w:numPr>
        <w:pBdr/>
        <w:spacing w:after="7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8. Componentes UI</w:t>
      </w:r>
      <w:r/>
    </w:p>
    <w:p>
      <w:pPr>
        <w:pStyle w:val="907"/>
        <w:numPr>
          <w:ilvl w:val="0"/>
          <w:numId w:val="2"/>
        </w:numPr>
        <w:pBdr/>
        <w:spacing w:after="7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9. Layout, espaciado y navegación</w:t>
      </w:r>
      <w:r/>
    </w:p>
    <w:p>
      <w:pPr>
        <w:pStyle w:val="907"/>
        <w:numPr>
          <w:ilvl w:val="0"/>
          <w:numId w:val="2"/>
        </w:numPr>
        <w:pBdr/>
        <w:spacing w:after="7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10. Accesibilidad y contraste</w:t>
      </w:r>
      <w:r/>
    </w:p>
    <w:p>
      <w:pPr>
        <w:pStyle w:val="907"/>
        <w:numPr>
          <w:ilvl w:val="0"/>
          <w:numId w:val="2"/>
        </w:numPr>
        <w:pBdr/>
        <w:spacing w:after="7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11. Tokens y variables CSS</w:t>
      </w:r>
      <w:r/>
    </w:p>
    <w:p>
      <w:pPr>
        <w:pStyle w:val="907"/>
        <w:numPr>
          <w:ilvl w:val="0"/>
          <w:numId w:val="2"/>
        </w:numPr>
        <w:pBdr/>
        <w:spacing w:after="7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12. Criterios de aceptación</w:t>
      </w:r>
      <w:r/>
    </w:p>
    <w:p>
      <w:pPr>
        <w:pStyle w:val="907"/>
        <w:numPr>
          <w:ilvl w:val="0"/>
          <w:numId w:val="2"/>
        </w:numPr>
        <w:pBdr/>
        <w:spacing w:after="7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13. Gobernanza y mantenimiento</w:t>
      </w:r>
      <w:r/>
    </w:p>
    <w:p>
      <w:pPr>
        <w:pStyle w:val="916"/>
        <w:keepNext w:val="true"/>
        <w:pBdr/>
        <w:spacing/>
        <w:ind/>
        <w:rPr/>
      </w:pPr>
      <w:r>
        <w:rPr>
          <w:rFonts w:ascii="Aptos" w:hAnsi="Aptos" w:eastAsia="Aptos" w:cs="Aptos"/>
        </w:rPr>
        <w:t xml:space="preserve">1. Propósito y principios</w:t>
      </w:r>
      <w:r/>
    </w:p>
    <w:p>
      <w:pPr>
        <w:keepNext w:val="false"/>
        <w:keepLines w:val="false"/>
        <w:pBdr/>
        <w:spacing w:after="120" w:before="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Este manual establece las reglas visuales y de interacción que deben compartir todos los módulos del software. Su objetivo es reducir inconsistencias, facilitar el mantenimiento y ofrecer una experiencia predecible.</w:t>
      </w:r>
      <w:r/>
    </w:p>
    <w:p>
      <w:pPr>
        <w:pStyle w:val="907"/>
        <w:numPr>
          <w:ilvl w:val="0"/>
          <w:numId w:val="2"/>
        </w:numPr>
        <w:pBdr/>
        <w:spacing w:after="70"/>
        <w:ind/>
        <w:rPr/>
      </w:pPr>
      <w:r>
        <w:rPr>
          <w:rFonts w:ascii="Aptos" w:hAnsi="Aptos" w:eastAsia="Aptos" w:cs="Aptos"/>
          <w:b/>
          <w:bCs/>
          <w:i w:val="0"/>
          <w:iCs w:val="0"/>
          <w:color w:val="111827"/>
          <w:sz w:val="20"/>
          <w:szCs w:val="20"/>
        </w:rPr>
        <w:t xml:space="preserve">Consistencia: </w:t>
      </w: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un componente debe verse y comportarse igual en toda la aplicación.</w:t>
      </w:r>
      <w:r/>
    </w:p>
    <w:p>
      <w:pPr>
        <w:pStyle w:val="907"/>
        <w:numPr>
          <w:ilvl w:val="0"/>
          <w:numId w:val="2"/>
        </w:numPr>
        <w:pBdr/>
        <w:spacing w:after="70"/>
        <w:ind/>
        <w:rPr/>
      </w:pPr>
      <w:r>
        <w:rPr>
          <w:rFonts w:ascii="Aptos" w:hAnsi="Aptos" w:eastAsia="Aptos" w:cs="Aptos"/>
          <w:b/>
          <w:bCs/>
          <w:i w:val="0"/>
          <w:iCs w:val="0"/>
          <w:color w:val="111827"/>
          <w:sz w:val="20"/>
          <w:szCs w:val="20"/>
        </w:rPr>
        <w:t xml:space="preserve">Jerarquía: </w:t>
      </w: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el azul de marca destaca las acciones primarias y la navegación seleccionada, no todos los elementos a la vez.</w:t>
      </w:r>
      <w:r/>
    </w:p>
    <w:p>
      <w:pPr>
        <w:pStyle w:val="907"/>
        <w:numPr>
          <w:ilvl w:val="0"/>
          <w:numId w:val="2"/>
        </w:numPr>
        <w:pBdr/>
        <w:spacing w:after="70"/>
        <w:ind/>
        <w:rPr/>
      </w:pPr>
      <w:r>
        <w:rPr>
          <w:rFonts w:ascii="Aptos" w:hAnsi="Aptos" w:eastAsia="Aptos" w:cs="Aptos"/>
          <w:b/>
          <w:bCs/>
          <w:i w:val="0"/>
          <w:iCs w:val="0"/>
          <w:color w:val="111827"/>
          <w:sz w:val="20"/>
          <w:szCs w:val="20"/>
        </w:rPr>
        <w:t xml:space="preserve">Claridad: </w:t>
      </w: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el contenido y las acciones deben ser comprensibles sin depender únicamente del color.</w:t>
      </w:r>
      <w:r/>
    </w:p>
    <w:p>
      <w:pPr>
        <w:pStyle w:val="907"/>
        <w:numPr>
          <w:ilvl w:val="0"/>
          <w:numId w:val="2"/>
        </w:numPr>
        <w:pBdr/>
        <w:spacing w:after="70"/>
        <w:ind/>
        <w:rPr/>
      </w:pPr>
      <w:r>
        <w:rPr>
          <w:rFonts w:ascii="Aptos" w:hAnsi="Aptos" w:eastAsia="Aptos" w:cs="Aptos"/>
          <w:b/>
          <w:bCs/>
          <w:i w:val="0"/>
          <w:iCs w:val="0"/>
          <w:color w:val="111827"/>
          <w:sz w:val="20"/>
          <w:szCs w:val="20"/>
        </w:rPr>
        <w:t xml:space="preserve">Accesibilidad: </w:t>
      </w: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contraste suficiente, foco visible, navegación por teclado y estados perceptibles.</w:t>
      </w:r>
      <w:r/>
    </w:p>
    <w:p>
      <w:pPr>
        <w:pStyle w:val="907"/>
        <w:numPr>
          <w:ilvl w:val="0"/>
          <w:numId w:val="2"/>
        </w:numPr>
        <w:pBdr/>
        <w:spacing w:after="70"/>
        <w:ind/>
        <w:rPr/>
      </w:pPr>
      <w:r>
        <w:rPr>
          <w:rFonts w:ascii="Aptos" w:hAnsi="Aptos" w:eastAsia="Aptos" w:cs="Aptos"/>
          <w:b/>
          <w:bCs/>
          <w:i w:val="0"/>
          <w:iCs w:val="0"/>
          <w:color w:val="111827"/>
          <w:sz w:val="20"/>
          <w:szCs w:val="20"/>
        </w:rPr>
        <w:t xml:space="preserve">Adaptabilidad: </w:t>
      </w: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los componentes deben funcionar en modo claro, oscuro y distintos tamaños de pantalla.</w:t>
      </w:r>
      <w:r/>
    </w:p>
    <w:p>
      <w:pPr>
        <w:pStyle w:val="907"/>
        <w:numPr>
          <w:ilvl w:val="0"/>
          <w:numId w:val="2"/>
        </w:numPr>
        <w:pBdr/>
        <w:spacing w:after="70"/>
        <w:ind/>
        <w:rPr/>
      </w:pPr>
      <w:r>
        <w:rPr>
          <w:rFonts w:ascii="Aptos" w:hAnsi="Aptos" w:eastAsia="Aptos" w:cs="Aptos"/>
          <w:b/>
          <w:bCs/>
          <w:i w:val="0"/>
          <w:iCs w:val="0"/>
          <w:color w:val="111827"/>
          <w:sz w:val="20"/>
          <w:szCs w:val="20"/>
        </w:rPr>
        <w:t xml:space="preserve">Mantenibilidad: </w:t>
      </w: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los componentes consumen tokens semánticos en lugar de valores HEX aislados.</w:t>
      </w:r>
      <w:r/>
    </w:p>
    <w:p>
      <w:pPr>
        <w:pStyle w:val="916"/>
        <w:keepNext w:val="true"/>
        <w:pBdr/>
        <w:spacing/>
        <w:ind/>
        <w:rPr/>
      </w:pPr>
      <w:r>
        <w:rPr>
          <w:rFonts w:ascii="Aptos" w:hAnsi="Aptos" w:eastAsia="Aptos" w:cs="Aptos"/>
        </w:rPr>
        <w:t xml:space="preserve">2. Fundamentos cromáticos</w:t>
      </w:r>
      <w:r/>
    </w:p>
    <w:p>
      <w:pPr>
        <w:keepNext w:val="false"/>
        <w:keepLines w:val="false"/>
        <w:pBdr/>
        <w:spacing w:after="120" w:before="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El sistema parte del azul Primary Blue #1D4ED8 y se organiza en tres familias: la escala de marca (50–900), l</w:t>
      </w: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os neutros fríos (50–950) y los colores semánticos con variantes tenues para fondos. Los valores HSB (H en grados; S y B en porcentaje) se documentan como referencia aproximada de la intención cromática; el HEX es el valor normativo para la implementación.</w:t>
      </w:r>
      <w:r/>
    </w:p>
    <w:tbl>
      <w:tblPr>
        <w:tblW w:w="9360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>
          <w:cantSplit/>
        </w:trPr>
        <w:tc>
          <w:tcPr>
            <w:shd w:val="clear" w:color="auto" w:fill="eff6ff"/>
            <w:tcBorders>
              <w:top w:val="none" w:color="ffffff" w:sz="0" w:space="0"/>
              <w:left w:val="single" w:color="1d4ed8" w:sz="24" w:space="0"/>
              <w:bottom w:val="none" w:color="ffffff" w:sz="0" w:space="0"/>
              <w:right w:val="none" w:color="ffffff" w:sz="0" w:space="0"/>
            </w:tcBorders>
            <w:tcMar>
              <w:left w:w="180" w:type="dxa"/>
              <w:top w:w="130" w:type="dxa"/>
              <w:right w:w="180" w:type="dxa"/>
              <w:bottom w:w="130" w:type="dxa"/>
            </w:tcMar>
            <w:tcW w:w="93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1d4ed8"/>
                <w:sz w:val="19"/>
                <w:szCs w:val="19"/>
              </w:rPr>
              <w:t xml:space="preserve">Precisión  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9"/>
                <w:szCs w:val="19"/>
              </w:rPr>
              <w:t xml:space="preserve">El HEX #1D4ED8 es la fuente de verdad de la marca. Su HSB aproximado es 225°, 87%, 85% (la conversión directa da 224°, 87%, 85%); la diferencia se debe al redondeo.</w:t>
            </w:r>
            <w:r/>
          </w:p>
        </w:tc>
      </w:tr>
    </w:tbl>
    <w:p>
      <w:pPr>
        <w:keepNext w:val="false"/>
        <w:keepLines w:val="false"/>
        <w:pBdr/>
        <w:spacing w:after="80" w:before="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</w:r>
      <w:r/>
    </w:p>
    <w:p>
      <w:pPr>
        <w:keepNext w:val="false"/>
        <w:keepLines w:val="false"/>
        <w:pBdr/>
        <w:spacing w:after="120" w:before="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Los colores semánticos no replican la saturación y el brillo de la marca: se </w:t>
      </w: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eligieron con significado reconocible y contraste verificable. La armonía cromática no garantiza accesibilidad por sí sola; el contraste se calcula con la luminancia relativa sRGB, por lo que cada combinación de texto y fondo debe comprobarse por separado.</w:t>
      </w:r>
      <w:r/>
    </w:p>
    <w:p>
      <w:pPr>
        <w:pStyle w:val="916"/>
        <w:keepNext w:val="true"/>
        <w:pBdr/>
        <w:spacing/>
        <w:ind/>
        <w:rPr/>
      </w:pPr>
      <w:r>
        <w:rPr>
          <w:rFonts w:ascii="Aptos" w:hAnsi="Aptos" w:eastAsia="Aptos" w:cs="Aptos"/>
        </w:rPr>
        <w:t xml:space="preserve">3. Color primario de marca</w:t>
      </w:r>
      <w:r/>
    </w:p>
    <w:tbl>
      <w:tblPr>
        <w:tblW w:w="936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ook w:val="04A0" w:firstRow="1" w:lastRow="0" w:firstColumn="1" w:lastColumn="0" w:noHBand="0" w:noVBand="1"/>
      </w:tblPr>
      <w:tblGrid>
        <w:gridCol w:w="1100"/>
        <w:gridCol w:w="8260"/>
      </w:tblGrid>
      <w:tr>
        <w:trPr>
          <w:cantSplit/>
          <w:trHeight w:val="960"/>
        </w:trPr>
        <w:tc>
          <w:tcPr>
            <w:shd w:val="clear" w:color="auto" w:fill="1d4ed8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11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tcBorders/>
            <w:tcMar>
              <w:left w:w="200" w:type="dxa"/>
              <w:top w:w="110" w:type="dxa"/>
              <w:right w:w="140" w:type="dxa"/>
              <w:bottom w:w="110" w:type="dxa"/>
            </w:tcMar>
            <w:tcW w:w="8260" w:type="dxa"/>
            <w:vAlign w:val="center"/>
          </w:tcPr>
          <w:p>
            <w:pPr>
              <w:keepNext w:val="true"/>
              <w:keepLines w:val="false"/>
              <w:pBdr/>
              <w:spacing w:after="3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111827"/>
                <w:sz w:val="26"/>
                <w:szCs w:val="26"/>
              </w:rPr>
              <w:t xml:space="preserve">Primary Blue</w:t>
            </w:r>
            <w:r/>
          </w:p>
          <w:p>
            <w:pPr>
              <w:keepNext w:val="true"/>
              <w:keepLines w:val="false"/>
              <w:pBdr/>
              <w:spacing w:after="3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6b7280"/>
                <w:sz w:val="17"/>
                <w:szCs w:val="17"/>
              </w:rPr>
              <w:t xml:space="preserve">Identidad principal, botones, enlaces y navegación seleccionada.</w:t>
            </w:r>
            <w:r/>
          </w:p>
          <w:p>
            <w:pPr>
              <w:keepNext w:val="tru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HSB aproximado: 225°, 87%, 85%   </w:t>
            </w: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1d4ed8"/>
                <w:sz w:val="21"/>
                <w:szCs w:val="21"/>
              </w:rPr>
              <w:t xml:space="preserve">#1D4ED8</w:t>
            </w:r>
            <w:r/>
          </w:p>
        </w:tc>
      </w:tr>
    </w:tbl>
    <w:p>
      <w:pPr>
        <w:pBdr/>
        <w:spacing w:after="0" w:before="0" w:line="60" w:lineRule="exact"/>
        <w:ind/>
        <w:rPr/>
      </w:pPr>
      <w:r/>
      <w:r/>
    </w:p>
    <w:p>
      <w:pPr>
        <w:keepNext w:val="true"/>
        <w:keepLines w:val="false"/>
        <w:pBdr/>
        <w:spacing w:after="60" w:before="160"/>
        <w:ind/>
        <w:rPr/>
      </w:pPr>
      <w:r>
        <w:rPr>
          <w:rFonts w:ascii="Aptos" w:hAnsi="Aptos" w:eastAsia="Aptos" w:cs="Aptos"/>
          <w:b/>
          <w:bCs/>
          <w:i w:val="0"/>
          <w:iCs w:val="0"/>
          <w:color w:val="374151"/>
          <w:sz w:val="22"/>
          <w:szCs w:val="22"/>
        </w:rPr>
        <w:t xml:space="preserve">Escala de marca 50–900</w:t>
      </w:r>
      <w:r/>
    </w:p>
    <w:tbl>
      <w:tblPr>
        <w:tblW w:w="936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single" w:color="ffffff" w:sz="24" w:space="0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rHeight w:val="620" w:hRule="exact"/>
        </w:trPr>
        <w:tc>
          <w:tcPr>
            <w:shd w:val="clear" w:color="auto" w:fill="eff6ff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1872" w:type="dxa"/>
            <w:vAlign w:val="center"/>
          </w:tcPr>
          <w:p>
            <w:pPr>
              <w:keepNext w:val="tru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shd w:val="clear" w:color="auto" w:fill="dbeafe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1872" w:type="dxa"/>
            <w:vAlign w:val="center"/>
          </w:tcPr>
          <w:p>
            <w:pPr>
              <w:keepNext w:val="tru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shd w:val="clear" w:color="auto" w:fill="bfdbfe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1872" w:type="dxa"/>
            <w:vAlign w:val="center"/>
          </w:tcPr>
          <w:p>
            <w:pPr>
              <w:keepNext w:val="tru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shd w:val="clear" w:color="auto" w:fill="93c5fd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1872" w:type="dxa"/>
            <w:vAlign w:val="center"/>
          </w:tcPr>
          <w:p>
            <w:pPr>
              <w:keepNext w:val="tru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shd w:val="clear" w:color="auto" w:fill="60a5f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1872" w:type="dxa"/>
            <w:vAlign w:val="center"/>
          </w:tcPr>
          <w:p>
            <w:pPr>
              <w:keepNext w:val="tru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</w:tr>
      <w:tr>
        <w:trPr>
          <w:cantSplit/>
        </w:trPr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40" w:type="dxa"/>
              <w:top w:w="50" w:type="dxa"/>
              <w:right w:w="40" w:type="dxa"/>
              <w:bottom w:w="110" w:type="dxa"/>
            </w:tcMar>
            <w:tcW w:w="1872" w:type="dxa"/>
            <w:vAlign w:val="top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111827"/>
                <w:sz w:val="18"/>
                <w:szCs w:val="18"/>
              </w:rPr>
              <w:t xml:space="preserve">50</w:t>
            </w:r>
            <w:r/>
          </w:p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374151"/>
                <w:sz w:val="16"/>
                <w:szCs w:val="16"/>
              </w:rPr>
              <w:t xml:space="preserve">#EFF6FF</w:t>
            </w:r>
            <w:r/>
          </w:p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6b7280"/>
                <w:sz w:val="14"/>
                <w:szCs w:val="14"/>
              </w:rPr>
              <w:t xml:space="preserve">214°, 6%, 100%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40" w:type="dxa"/>
              <w:top w:w="50" w:type="dxa"/>
              <w:right w:w="40" w:type="dxa"/>
              <w:bottom w:w="110" w:type="dxa"/>
            </w:tcMar>
            <w:tcW w:w="1872" w:type="dxa"/>
            <w:vAlign w:val="top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111827"/>
                <w:sz w:val="18"/>
                <w:szCs w:val="18"/>
              </w:rPr>
              <w:t xml:space="preserve">100</w:t>
            </w:r>
            <w:r/>
          </w:p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374151"/>
                <w:sz w:val="16"/>
                <w:szCs w:val="16"/>
              </w:rPr>
              <w:t xml:space="preserve">#DBEAFE</w:t>
            </w:r>
            <w:r/>
          </w:p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6b7280"/>
                <w:sz w:val="14"/>
                <w:szCs w:val="14"/>
              </w:rPr>
              <w:t xml:space="preserve">214°, 14%, 100%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40" w:type="dxa"/>
              <w:top w:w="50" w:type="dxa"/>
              <w:right w:w="40" w:type="dxa"/>
              <w:bottom w:w="110" w:type="dxa"/>
            </w:tcMar>
            <w:tcW w:w="1872" w:type="dxa"/>
            <w:vAlign w:val="top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111827"/>
                <w:sz w:val="18"/>
                <w:szCs w:val="18"/>
              </w:rPr>
              <w:t xml:space="preserve">200</w:t>
            </w:r>
            <w:r/>
          </w:p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374151"/>
                <w:sz w:val="16"/>
                <w:szCs w:val="16"/>
              </w:rPr>
              <w:t xml:space="preserve">#BFDBFE</w:t>
            </w:r>
            <w:r/>
          </w:p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6b7280"/>
                <w:sz w:val="14"/>
                <w:szCs w:val="14"/>
              </w:rPr>
              <w:t xml:space="preserve">213°, 25%, 100%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40" w:type="dxa"/>
              <w:top w:w="50" w:type="dxa"/>
              <w:right w:w="40" w:type="dxa"/>
              <w:bottom w:w="110" w:type="dxa"/>
            </w:tcMar>
            <w:tcW w:w="1872" w:type="dxa"/>
            <w:vAlign w:val="top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111827"/>
                <w:sz w:val="18"/>
                <w:szCs w:val="18"/>
              </w:rPr>
              <w:t xml:space="preserve">300</w:t>
            </w:r>
            <w:r/>
          </w:p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374151"/>
                <w:sz w:val="16"/>
                <w:szCs w:val="16"/>
              </w:rPr>
              <w:t xml:space="preserve">#93C5FD</w:t>
            </w:r>
            <w:r/>
          </w:p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6b7280"/>
                <w:sz w:val="14"/>
                <w:szCs w:val="14"/>
              </w:rPr>
              <w:t xml:space="preserve">212°, 42%, 99%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40" w:type="dxa"/>
              <w:top w:w="50" w:type="dxa"/>
              <w:right w:w="40" w:type="dxa"/>
              <w:bottom w:w="110" w:type="dxa"/>
            </w:tcMar>
            <w:tcW w:w="1872" w:type="dxa"/>
            <w:vAlign w:val="top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111827"/>
                <w:sz w:val="18"/>
                <w:szCs w:val="18"/>
              </w:rPr>
              <w:t xml:space="preserve">400</w:t>
            </w:r>
            <w:r/>
          </w:p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374151"/>
                <w:sz w:val="16"/>
                <w:szCs w:val="16"/>
              </w:rPr>
              <w:t xml:space="preserve">#60A5FA</w:t>
            </w:r>
            <w:r/>
          </w:p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6b7280"/>
                <w:sz w:val="14"/>
                <w:szCs w:val="14"/>
              </w:rPr>
              <w:t xml:space="preserve">213°, 62%, 98%</w:t>
            </w:r>
            <w:r/>
          </w:p>
        </w:tc>
      </w:tr>
      <w:tr>
        <w:trPr>
          <w:cantSplit/>
          <w:trHeight w:val="620" w:hRule="exact"/>
        </w:trPr>
        <w:tc>
          <w:tcPr>
            <w:shd w:val="clear" w:color="auto" w:fill="3b82f6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1872" w:type="dxa"/>
            <w:vAlign w:val="center"/>
          </w:tcPr>
          <w:p>
            <w:pPr>
              <w:keepNext w:val="tru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shd w:val="clear" w:color="auto" w:fill="2563eb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1872" w:type="dxa"/>
            <w:vAlign w:val="center"/>
          </w:tcPr>
          <w:p>
            <w:pPr>
              <w:keepNext w:val="tru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shd w:val="clear" w:color="auto" w:fill="1d4ed8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1872" w:type="dxa"/>
            <w:vAlign w:val="center"/>
          </w:tcPr>
          <w:p>
            <w:pPr>
              <w:keepNext w:val="tru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shd w:val="clear" w:color="auto" w:fill="1e40af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1872" w:type="dxa"/>
            <w:vAlign w:val="center"/>
          </w:tcPr>
          <w:p>
            <w:pPr>
              <w:keepNext w:val="tru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shd w:val="clear" w:color="auto" w:fill="1e3a8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1872" w:type="dxa"/>
            <w:vAlign w:val="center"/>
          </w:tcPr>
          <w:p>
            <w:pPr>
              <w:keepNext w:val="tru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</w:tr>
      <w:tr>
        <w:trPr>
          <w:cantSplit/>
        </w:trPr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40" w:type="dxa"/>
              <w:top w:w="50" w:type="dxa"/>
              <w:right w:w="40" w:type="dxa"/>
              <w:bottom w:w="110" w:type="dxa"/>
            </w:tcMar>
            <w:tcW w:w="1872" w:type="dxa"/>
            <w:vAlign w:val="top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111827"/>
                <w:sz w:val="18"/>
                <w:szCs w:val="18"/>
              </w:rPr>
              <w:t xml:space="preserve">500</w:t>
            </w:r>
            <w:r/>
          </w:p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374151"/>
                <w:sz w:val="16"/>
                <w:szCs w:val="16"/>
              </w:rPr>
              <w:t xml:space="preserve">#3B82F6</w:t>
            </w:r>
            <w:r/>
          </w:p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6b7280"/>
                <w:sz w:val="14"/>
                <w:szCs w:val="14"/>
              </w:rPr>
              <w:t xml:space="preserve">217°, 76%, 96%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40" w:type="dxa"/>
              <w:top w:w="50" w:type="dxa"/>
              <w:right w:w="40" w:type="dxa"/>
              <w:bottom w:w="110" w:type="dxa"/>
            </w:tcMar>
            <w:tcW w:w="1872" w:type="dxa"/>
            <w:vAlign w:val="top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111827"/>
                <w:sz w:val="18"/>
                <w:szCs w:val="18"/>
              </w:rPr>
              <w:t xml:space="preserve">600</w:t>
            </w:r>
            <w:r/>
          </w:p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374151"/>
                <w:sz w:val="16"/>
                <w:szCs w:val="16"/>
              </w:rPr>
              <w:t xml:space="preserve">#2563EB</w:t>
            </w:r>
            <w:r/>
          </w:p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6b7280"/>
                <w:sz w:val="14"/>
                <w:szCs w:val="14"/>
              </w:rPr>
              <w:t xml:space="preserve">221°, 84%, 92%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40" w:type="dxa"/>
              <w:top w:w="50" w:type="dxa"/>
              <w:right w:w="40" w:type="dxa"/>
              <w:bottom w:w="110" w:type="dxa"/>
            </w:tcMar>
            <w:tcW w:w="1872" w:type="dxa"/>
            <w:vAlign w:val="top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111827"/>
                <w:sz w:val="18"/>
                <w:szCs w:val="18"/>
              </w:rPr>
              <w:t xml:space="preserve">700</w:t>
            </w:r>
            <w:r/>
          </w:p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374151"/>
                <w:sz w:val="16"/>
                <w:szCs w:val="16"/>
              </w:rPr>
              <w:t xml:space="preserve">#1D4ED8</w:t>
            </w:r>
            <w:r/>
          </w:p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6b7280"/>
                <w:sz w:val="14"/>
                <w:szCs w:val="14"/>
              </w:rPr>
              <w:t xml:space="preserve">224°, 87%, 85%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40" w:type="dxa"/>
              <w:top w:w="50" w:type="dxa"/>
              <w:right w:w="40" w:type="dxa"/>
              <w:bottom w:w="110" w:type="dxa"/>
            </w:tcMar>
            <w:tcW w:w="1872" w:type="dxa"/>
            <w:vAlign w:val="top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111827"/>
                <w:sz w:val="18"/>
                <w:szCs w:val="18"/>
              </w:rPr>
              <w:t xml:space="preserve">800</w:t>
            </w:r>
            <w:r/>
          </w:p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374151"/>
                <w:sz w:val="16"/>
                <w:szCs w:val="16"/>
              </w:rPr>
              <w:t xml:space="preserve">#1E40AF</w:t>
            </w:r>
            <w:r/>
          </w:p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6b7280"/>
                <w:sz w:val="14"/>
                <w:szCs w:val="14"/>
              </w:rPr>
              <w:t xml:space="preserve">226°, 83%, 69%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40" w:type="dxa"/>
              <w:top w:w="50" w:type="dxa"/>
              <w:right w:w="40" w:type="dxa"/>
              <w:bottom w:w="110" w:type="dxa"/>
            </w:tcMar>
            <w:tcW w:w="1872" w:type="dxa"/>
            <w:vAlign w:val="top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111827"/>
                <w:sz w:val="18"/>
                <w:szCs w:val="18"/>
              </w:rPr>
              <w:t xml:space="preserve">900</w:t>
            </w:r>
            <w:r/>
          </w:p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374151"/>
                <w:sz w:val="16"/>
                <w:szCs w:val="16"/>
              </w:rPr>
              <w:t xml:space="preserve">#1E3A8A</w:t>
            </w:r>
            <w:r/>
          </w:p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6b7280"/>
                <w:sz w:val="14"/>
                <w:szCs w:val="14"/>
              </w:rPr>
              <w:t xml:space="preserve">224°, 78%, 54%</w:t>
            </w:r>
            <w:r/>
          </w:p>
        </w:tc>
      </w:tr>
    </w:tbl>
    <w:p>
      <w:pPr>
        <w:keepNext w:val="false"/>
        <w:keepLines w:val="false"/>
        <w:pBdr/>
        <w:spacing w:after="60" w:before="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</w:r>
      <w:r/>
    </w:p>
    <w:tbl>
      <w:tblPr>
        <w:tblW w:w="936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ook w:val="04A0" w:firstRow="1" w:lastRow="0" w:firstColumn="1" w:lastColumn="0" w:noHBand="0" w:noVBand="1"/>
      </w:tblPr>
      <w:tblGrid>
        <w:gridCol w:w="520"/>
        <w:gridCol w:w="1200"/>
        <w:gridCol w:w="1900"/>
        <w:gridCol w:w="1100"/>
        <w:gridCol w:w="4640"/>
      </w:tblGrid>
      <w:tr>
        <w:trPr>
          <w:cantSplit/>
          <w:tblHeader/>
        </w:trPr>
        <w:tc>
          <w:tcPr>
            <w:shd w:val="clear" w:color="auto" w:fill="111827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2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ffffff"/>
                <w:sz w:val="17"/>
                <w:szCs w:val="17"/>
              </w:rPr>
            </w:r>
            <w:r/>
          </w:p>
        </w:tc>
        <w:tc>
          <w:tcPr>
            <w:shd w:val="clear" w:color="auto" w:fill="111827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2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Token</w:t>
            </w:r>
            <w:r/>
          </w:p>
        </w:tc>
        <w:tc>
          <w:tcPr>
            <w:shd w:val="clear" w:color="auto" w:fill="111827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9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HSB aprox.</w:t>
            </w:r>
            <w:r/>
          </w:p>
        </w:tc>
        <w:tc>
          <w:tcPr>
            <w:shd w:val="clear" w:color="auto" w:fill="111827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1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HEX</w:t>
            </w:r>
            <w:r/>
          </w:p>
        </w:tc>
        <w:tc>
          <w:tcPr>
            <w:shd w:val="clear" w:color="auto" w:fill="111827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464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Uso recomendado</w:t>
            </w:r>
            <w:r/>
          </w:p>
        </w:tc>
      </w:tr>
      <w:tr>
        <w:trPr>
          <w:cantSplit/>
        </w:trPr>
        <w:tc>
          <w:tcPr>
            <w:shd w:val="clear" w:color="auto" w:fill="eff6ff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52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2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blue-50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9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214°, 6%, 100%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1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#EFF6FF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464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Fondos muy suaves y hover de superficies</w:t>
            </w:r>
            <w:r/>
          </w:p>
        </w:tc>
      </w:tr>
      <w:tr>
        <w:trPr>
          <w:cantSplit/>
        </w:trPr>
        <w:tc>
          <w:tcPr>
            <w:shd w:val="clear" w:color="auto" w:fill="dbeafe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52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2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blue-100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9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214°, 14%, 100%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1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#DBEAFE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464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Fondo de navegación seleccionada (claro) y fondo info claro</w:t>
            </w:r>
            <w:r/>
          </w:p>
        </w:tc>
      </w:tr>
      <w:tr>
        <w:trPr>
          <w:cantSplit/>
        </w:trPr>
        <w:tc>
          <w:tcPr>
            <w:shd w:val="clear" w:color="auto" w:fill="bfdbfe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52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2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blue-200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9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213°, 25%, 100%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1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#BFDBFE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464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Bordes de elementos seleccionados; texto info en oscuro</w:t>
            </w:r>
            <w:r/>
          </w:p>
        </w:tc>
      </w:tr>
      <w:tr>
        <w:trPr>
          <w:cantSplit/>
        </w:trPr>
        <w:tc>
          <w:tcPr>
            <w:shd w:val="clear" w:color="auto" w:fill="93c5fd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52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2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blue-300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9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212°, 42%, 99%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1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#93C5FD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464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Indicador de foco visible en modo oscuro</w:t>
            </w:r>
            <w:r/>
          </w:p>
        </w:tc>
      </w:tr>
      <w:tr>
        <w:trPr>
          <w:cantSplit/>
        </w:trPr>
        <w:tc>
          <w:tcPr>
            <w:shd w:val="clear" w:color="auto" w:fill="60a5f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52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2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blue-400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9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213°, 62%, 98%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1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#60A5FA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464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Iconos y enlaces sobre fondo oscuro (propuesto)</w:t>
            </w:r>
            <w:r/>
          </w:p>
        </w:tc>
      </w:tr>
      <w:tr>
        <w:trPr>
          <w:cantSplit/>
        </w:trPr>
        <w:tc>
          <w:tcPr>
            <w:shd w:val="clear" w:color="auto" w:fill="3b82f6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52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2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blue-500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9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217°, 76%, 96%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1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#3B82F6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464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Acentos secundarios y series de gráficos</w:t>
            </w:r>
            <w:r/>
          </w:p>
        </w:tc>
      </w:tr>
      <w:tr>
        <w:trPr>
          <w:cantSplit/>
        </w:trPr>
        <w:tc>
          <w:tcPr>
            <w:shd w:val="clear" w:color="auto" w:fill="2563eb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52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2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blue-600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9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221°, 84%, 92%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1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#2563EB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464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Hover del botón primario en oscuro; color sólido info</w:t>
            </w:r>
            <w:r/>
          </w:p>
        </w:tc>
      </w:tr>
      <w:tr>
        <w:trPr>
          <w:cantSplit/>
        </w:trPr>
        <w:tc>
          <w:tcPr>
            <w:shd w:val="clear" w:color="auto" w:fill="1d4ed8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52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2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blue-700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9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224°, 87%, 85%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1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#1D4ED8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464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Color de marca: botones, enlaces y selección</w:t>
            </w:r>
            <w:r/>
          </w:p>
        </w:tc>
      </w:tr>
      <w:tr>
        <w:trPr>
          <w:cantSplit/>
        </w:trPr>
        <w:tc>
          <w:tcPr>
            <w:shd w:val="clear" w:color="auto" w:fill="1e40af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52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2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blue-800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9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226°, 83%, 69%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1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#1E40AF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464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Hover del botón primario en claro; texto info claro</w:t>
            </w:r>
            <w:r/>
          </w:p>
        </w:tc>
      </w:tr>
      <w:tr>
        <w:trPr>
          <w:cantSplit/>
        </w:trPr>
        <w:tc>
          <w:tcPr>
            <w:shd w:val="clear" w:color="auto" w:fill="1e3a8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52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2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blue-900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9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224°, 78%, 54%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1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#1E3A8A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464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Estado pressed (propuesto); fondo info oscuro</w:t>
            </w:r>
            <w:r/>
          </w:p>
        </w:tc>
      </w:tr>
    </w:tbl>
    <w:p>
      <w:pPr>
        <w:pStyle w:val="917"/>
        <w:keepNext w:val="true"/>
        <w:pBdr/>
        <w:spacing/>
        <w:ind/>
        <w:rPr/>
      </w:pPr>
      <w:r>
        <w:rPr>
          <w:rFonts w:ascii="Aptos" w:hAnsi="Aptos" w:eastAsia="Aptos" w:cs="Aptos"/>
        </w:rPr>
        <w:t xml:space="preserve">3.1. Estados de interacción de marca</w:t>
      </w:r>
      <w:r/>
    </w:p>
    <w:tbl>
      <w:tblPr>
        <w:tblW w:w="936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ook w:val="04A0" w:firstRow="1" w:lastRow="0" w:firstColumn="1" w:lastColumn="0" w:noHBand="0" w:noVBand="1"/>
      </w:tblPr>
      <w:tblGrid>
        <w:gridCol w:w="1900"/>
        <w:gridCol w:w="2300"/>
        <w:gridCol w:w="2300"/>
        <w:gridCol w:w="2860"/>
      </w:tblGrid>
      <w:tr>
        <w:trPr>
          <w:cantSplit/>
          <w:tblHeader/>
        </w:trPr>
        <w:tc>
          <w:tcPr>
            <w:shd w:val="clear" w:color="auto" w:fill="111827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9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Estado</w:t>
            </w:r>
            <w:r/>
          </w:p>
        </w:tc>
        <w:tc>
          <w:tcPr>
            <w:shd w:val="clear" w:color="auto" w:fill="111827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Modo claro</w:t>
            </w:r>
            <w:r/>
          </w:p>
        </w:tc>
        <w:tc>
          <w:tcPr>
            <w:shd w:val="clear" w:color="auto" w:fill="111827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Modo oscuro</w:t>
            </w:r>
            <w:r/>
          </w:p>
        </w:tc>
        <w:tc>
          <w:tcPr>
            <w:shd w:val="clear" w:color="auto" w:fill="111827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8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Regla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9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Normal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#1D4ED8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#1D4ED8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8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Acción primaria; texto blanco (6.70:1)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9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Hover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#1E40AF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#2563EB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8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Se oscurece en claro y se aclara en oscuro; texto blanco 8.72:1 y 5.17:1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9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Pressed (propuesto)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#1E3A8A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#1E40AF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8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Un paso más intenso que hover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9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Focus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Anillo #1D4ED8 (propuesto)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Anillo #93C5FD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8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Anillo visible de 2 px con separación; no depender solo del cambio de color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9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Disabled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Neutro #9CA3AF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Neutro #6B7280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8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Distinguible del estado activo; sin información esencial solo en ese texto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9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Navegación activa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Fondo #DBEAFE, texto #1D4ED8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Fondo #1D4ED8, texto #FFFFFF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8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Añadir indicador adicional al color (barra, peso o icono)</w:t>
            </w:r>
            <w:r/>
          </w:p>
        </w:tc>
      </w:tr>
    </w:tbl>
    <w:p>
      <w:pPr>
        <w:pStyle w:val="916"/>
        <w:keepNext w:val="true"/>
        <w:pBdr/>
        <w:spacing/>
        <w:ind/>
        <w:rPr/>
      </w:pPr>
      <w:r>
        <w:rPr>
          <w:rFonts w:ascii="Aptos" w:hAnsi="Aptos" w:eastAsia="Aptos" w:cs="Aptos"/>
        </w:rPr>
        <w:t xml:space="preserve">4. Escala neutral completa</w:t>
      </w:r>
      <w:r/>
    </w:p>
    <w:p>
      <w:pPr>
        <w:keepNext w:val="false"/>
        <w:keepLines w:val="false"/>
        <w:pBdr/>
        <w:spacing w:after="120" w:before="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La escala permite mantener consistencia en bordes, tipografía, fondos y estados deshabilitados. Son grises fríos con un matiz azulado que se integra con la marca; los tonos se organizan de claro a oscuro y el 950 se reserva para el fondo general oscuro.</w:t>
      </w:r>
      <w:r/>
    </w:p>
    <w:tbl>
      <w:tblPr>
        <w:tblW w:w="936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single" w:color="ffffff" w:sz="24" w:space="0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rHeight w:val="600" w:hRule="exact"/>
        </w:trPr>
        <w:tc>
          <w:tcPr>
            <w:shd w:val="clear" w:color="auto" w:fill="f9fafb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1872" w:type="dxa"/>
            <w:vAlign w:val="center"/>
          </w:tcPr>
          <w:p>
            <w:pPr>
              <w:keepNext w:val="tru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shd w:val="clear" w:color="auto" w:fill="f3f4f6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1872" w:type="dxa"/>
            <w:vAlign w:val="center"/>
          </w:tcPr>
          <w:p>
            <w:pPr>
              <w:keepNext w:val="tru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shd w:val="clear" w:color="auto" w:fill="e5e7eb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1872" w:type="dxa"/>
            <w:vAlign w:val="center"/>
          </w:tcPr>
          <w:p>
            <w:pPr>
              <w:keepNext w:val="tru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shd w:val="clear" w:color="auto" w:fill="d1d5db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1872" w:type="dxa"/>
            <w:vAlign w:val="center"/>
          </w:tcPr>
          <w:p>
            <w:pPr>
              <w:keepNext w:val="tru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shd w:val="clear" w:color="auto" w:fill="9ca3af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1872" w:type="dxa"/>
            <w:vAlign w:val="center"/>
          </w:tcPr>
          <w:p>
            <w:pPr>
              <w:keepNext w:val="tru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</w:tr>
      <w:tr>
        <w:trPr>
          <w:cantSplit/>
        </w:trPr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40" w:type="dxa"/>
              <w:top w:w="50" w:type="dxa"/>
              <w:right w:w="40" w:type="dxa"/>
              <w:bottom w:w="110" w:type="dxa"/>
            </w:tcMar>
            <w:tcW w:w="1872" w:type="dxa"/>
            <w:vAlign w:val="top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111827"/>
                <w:sz w:val="18"/>
                <w:szCs w:val="18"/>
              </w:rPr>
              <w:t xml:space="preserve">50</w:t>
            </w:r>
            <w:r/>
          </w:p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374151"/>
                <w:sz w:val="16"/>
                <w:szCs w:val="16"/>
              </w:rPr>
              <w:t xml:space="preserve">#F9FAFB</w:t>
            </w:r>
            <w:r/>
          </w:p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6b7280"/>
                <w:sz w:val="14"/>
                <w:szCs w:val="14"/>
              </w:rPr>
              <w:t xml:space="preserve">210°, 1%, 98%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40" w:type="dxa"/>
              <w:top w:w="50" w:type="dxa"/>
              <w:right w:w="40" w:type="dxa"/>
              <w:bottom w:w="110" w:type="dxa"/>
            </w:tcMar>
            <w:tcW w:w="1872" w:type="dxa"/>
            <w:vAlign w:val="top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111827"/>
                <w:sz w:val="18"/>
                <w:szCs w:val="18"/>
              </w:rPr>
              <w:t xml:space="preserve">100</w:t>
            </w:r>
            <w:r/>
          </w:p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374151"/>
                <w:sz w:val="16"/>
                <w:szCs w:val="16"/>
              </w:rPr>
              <w:t xml:space="preserve">#F3F4F6</w:t>
            </w:r>
            <w:r/>
          </w:p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6b7280"/>
                <w:sz w:val="14"/>
                <w:szCs w:val="14"/>
              </w:rPr>
              <w:t xml:space="preserve">220°, 1%, 96%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40" w:type="dxa"/>
              <w:top w:w="50" w:type="dxa"/>
              <w:right w:w="40" w:type="dxa"/>
              <w:bottom w:w="110" w:type="dxa"/>
            </w:tcMar>
            <w:tcW w:w="1872" w:type="dxa"/>
            <w:vAlign w:val="top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111827"/>
                <w:sz w:val="18"/>
                <w:szCs w:val="18"/>
              </w:rPr>
              <w:t xml:space="preserve">200</w:t>
            </w:r>
            <w:r/>
          </w:p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374151"/>
                <w:sz w:val="16"/>
                <w:szCs w:val="16"/>
              </w:rPr>
              <w:t xml:space="preserve">#E5E7EB</w:t>
            </w:r>
            <w:r/>
          </w:p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6b7280"/>
                <w:sz w:val="14"/>
                <w:szCs w:val="14"/>
              </w:rPr>
              <w:t xml:space="preserve">220°, 3%, 92%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40" w:type="dxa"/>
              <w:top w:w="50" w:type="dxa"/>
              <w:right w:w="40" w:type="dxa"/>
              <w:bottom w:w="110" w:type="dxa"/>
            </w:tcMar>
            <w:tcW w:w="1872" w:type="dxa"/>
            <w:vAlign w:val="top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111827"/>
                <w:sz w:val="18"/>
                <w:szCs w:val="18"/>
              </w:rPr>
              <w:t xml:space="preserve">300</w:t>
            </w:r>
            <w:r/>
          </w:p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374151"/>
                <w:sz w:val="16"/>
                <w:szCs w:val="16"/>
              </w:rPr>
              <w:t xml:space="preserve">#D1D5DB</w:t>
            </w:r>
            <w:r/>
          </w:p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6b7280"/>
                <w:sz w:val="14"/>
                <w:szCs w:val="14"/>
              </w:rPr>
              <w:t xml:space="preserve">216°, 5%, 86%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40" w:type="dxa"/>
              <w:top w:w="50" w:type="dxa"/>
              <w:right w:w="40" w:type="dxa"/>
              <w:bottom w:w="110" w:type="dxa"/>
            </w:tcMar>
            <w:tcW w:w="1872" w:type="dxa"/>
            <w:vAlign w:val="top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111827"/>
                <w:sz w:val="18"/>
                <w:szCs w:val="18"/>
              </w:rPr>
              <w:t xml:space="preserve">400</w:t>
            </w:r>
            <w:r/>
          </w:p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374151"/>
                <w:sz w:val="16"/>
                <w:szCs w:val="16"/>
              </w:rPr>
              <w:t xml:space="preserve">#9CA3AF</w:t>
            </w:r>
            <w:r/>
          </w:p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6b7280"/>
                <w:sz w:val="14"/>
                <w:szCs w:val="14"/>
              </w:rPr>
              <w:t xml:space="preserve">218°, 11%, 69%</w:t>
            </w:r>
            <w:r/>
          </w:p>
        </w:tc>
      </w:tr>
      <w:tr>
        <w:trPr>
          <w:cantSplit/>
          <w:trHeight w:val="600" w:hRule="exact"/>
        </w:trPr>
        <w:tc>
          <w:tcPr>
            <w:shd w:val="clear" w:color="auto" w:fill="6b7280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1872" w:type="dxa"/>
            <w:vAlign w:val="center"/>
          </w:tcPr>
          <w:p>
            <w:pPr>
              <w:keepNext w:val="tru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shd w:val="clear" w:color="auto" w:fill="4b5563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1872" w:type="dxa"/>
            <w:vAlign w:val="center"/>
          </w:tcPr>
          <w:p>
            <w:pPr>
              <w:keepNext w:val="tru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shd w:val="clear" w:color="auto" w:fill="374151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1872" w:type="dxa"/>
            <w:vAlign w:val="center"/>
          </w:tcPr>
          <w:p>
            <w:pPr>
              <w:keepNext w:val="tru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shd w:val="clear" w:color="auto" w:fill="1f2937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1872" w:type="dxa"/>
            <w:vAlign w:val="center"/>
          </w:tcPr>
          <w:p>
            <w:pPr>
              <w:keepNext w:val="tru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shd w:val="clear" w:color="auto" w:fill="111827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1872" w:type="dxa"/>
            <w:vAlign w:val="center"/>
          </w:tcPr>
          <w:p>
            <w:pPr>
              <w:keepNext w:val="tru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</w:tr>
      <w:tr>
        <w:trPr>
          <w:cantSplit/>
        </w:trPr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40" w:type="dxa"/>
              <w:top w:w="50" w:type="dxa"/>
              <w:right w:w="40" w:type="dxa"/>
              <w:bottom w:w="110" w:type="dxa"/>
            </w:tcMar>
            <w:tcW w:w="1872" w:type="dxa"/>
            <w:vAlign w:val="top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111827"/>
                <w:sz w:val="18"/>
                <w:szCs w:val="18"/>
              </w:rPr>
              <w:t xml:space="preserve">500</w:t>
            </w:r>
            <w:r/>
          </w:p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374151"/>
                <w:sz w:val="16"/>
                <w:szCs w:val="16"/>
              </w:rPr>
              <w:t xml:space="preserve">#6B7280</w:t>
            </w:r>
            <w:r/>
          </w:p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6b7280"/>
                <w:sz w:val="14"/>
                <w:szCs w:val="14"/>
              </w:rPr>
              <w:t xml:space="preserve">220°, 16%, 50%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40" w:type="dxa"/>
              <w:top w:w="50" w:type="dxa"/>
              <w:right w:w="40" w:type="dxa"/>
              <w:bottom w:w="110" w:type="dxa"/>
            </w:tcMar>
            <w:tcW w:w="1872" w:type="dxa"/>
            <w:vAlign w:val="top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111827"/>
                <w:sz w:val="18"/>
                <w:szCs w:val="18"/>
              </w:rPr>
              <w:t xml:space="preserve">600</w:t>
            </w:r>
            <w:r/>
          </w:p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374151"/>
                <w:sz w:val="16"/>
                <w:szCs w:val="16"/>
              </w:rPr>
              <w:t xml:space="preserve">#4B5563</w:t>
            </w:r>
            <w:r/>
          </w:p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6b7280"/>
                <w:sz w:val="14"/>
                <w:szCs w:val="14"/>
              </w:rPr>
              <w:t xml:space="preserve">215°, 24%, 39%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40" w:type="dxa"/>
              <w:top w:w="50" w:type="dxa"/>
              <w:right w:w="40" w:type="dxa"/>
              <w:bottom w:w="110" w:type="dxa"/>
            </w:tcMar>
            <w:tcW w:w="1872" w:type="dxa"/>
            <w:vAlign w:val="top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111827"/>
                <w:sz w:val="18"/>
                <w:szCs w:val="18"/>
              </w:rPr>
              <w:t xml:space="preserve">700</w:t>
            </w:r>
            <w:r/>
          </w:p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374151"/>
                <w:sz w:val="16"/>
                <w:szCs w:val="16"/>
              </w:rPr>
              <w:t xml:space="preserve">#374151</w:t>
            </w:r>
            <w:r/>
          </w:p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6b7280"/>
                <w:sz w:val="14"/>
                <w:szCs w:val="14"/>
              </w:rPr>
              <w:t xml:space="preserve">217°, 32%, 32%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40" w:type="dxa"/>
              <w:top w:w="50" w:type="dxa"/>
              <w:right w:w="40" w:type="dxa"/>
              <w:bottom w:w="110" w:type="dxa"/>
            </w:tcMar>
            <w:tcW w:w="1872" w:type="dxa"/>
            <w:vAlign w:val="top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111827"/>
                <w:sz w:val="18"/>
                <w:szCs w:val="18"/>
              </w:rPr>
              <w:t xml:space="preserve">800</w:t>
            </w:r>
            <w:r/>
          </w:p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374151"/>
                <w:sz w:val="16"/>
                <w:szCs w:val="16"/>
              </w:rPr>
              <w:t xml:space="preserve">#1F2937</w:t>
            </w:r>
            <w:r/>
          </w:p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6b7280"/>
                <w:sz w:val="14"/>
                <w:szCs w:val="14"/>
              </w:rPr>
              <w:t xml:space="preserve">215°, 44%, 22%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40" w:type="dxa"/>
              <w:top w:w="50" w:type="dxa"/>
              <w:right w:w="40" w:type="dxa"/>
              <w:bottom w:w="110" w:type="dxa"/>
            </w:tcMar>
            <w:tcW w:w="1872" w:type="dxa"/>
            <w:vAlign w:val="top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111827"/>
                <w:sz w:val="18"/>
                <w:szCs w:val="18"/>
              </w:rPr>
              <w:t xml:space="preserve">900</w:t>
            </w:r>
            <w:r/>
          </w:p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374151"/>
                <w:sz w:val="16"/>
                <w:szCs w:val="16"/>
              </w:rPr>
              <w:t xml:space="preserve">#111827</w:t>
            </w:r>
            <w:r/>
          </w:p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6b7280"/>
                <w:sz w:val="14"/>
                <w:szCs w:val="14"/>
              </w:rPr>
              <w:t xml:space="preserve">221°, 56%, 15%</w:t>
            </w:r>
            <w:r/>
          </w:p>
        </w:tc>
      </w:tr>
      <w:tr>
        <w:trPr>
          <w:cantSplit/>
          <w:trHeight w:val="600" w:hRule="exact"/>
        </w:trPr>
        <w:tc>
          <w:tcPr>
            <w:shd w:val="clear" w:color="auto" w:fill="0b1120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1872" w:type="dxa"/>
            <w:vAlign w:val="center"/>
          </w:tcPr>
          <w:p>
            <w:pPr>
              <w:keepNext w:val="tru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1872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20"/>
                <w:szCs w:val="20"/>
              </w:rPr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1872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20"/>
                <w:szCs w:val="20"/>
              </w:rPr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1872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20"/>
                <w:szCs w:val="20"/>
              </w:rPr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1872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20"/>
                <w:szCs w:val="20"/>
              </w:rPr>
            </w:r>
            <w:r/>
          </w:p>
        </w:tc>
      </w:tr>
      <w:tr>
        <w:trPr>
          <w:cantSplit/>
        </w:trPr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40" w:type="dxa"/>
              <w:top w:w="50" w:type="dxa"/>
              <w:right w:w="40" w:type="dxa"/>
              <w:bottom w:w="110" w:type="dxa"/>
            </w:tcMar>
            <w:tcW w:w="1872" w:type="dxa"/>
            <w:vAlign w:val="top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111827"/>
                <w:sz w:val="18"/>
                <w:szCs w:val="18"/>
              </w:rPr>
              <w:t xml:space="preserve">950</w:t>
            </w:r>
            <w:r/>
          </w:p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374151"/>
                <w:sz w:val="16"/>
                <w:szCs w:val="16"/>
              </w:rPr>
              <w:t xml:space="preserve">#0B1120</w:t>
            </w:r>
            <w:r/>
          </w:p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6b7280"/>
                <w:sz w:val="14"/>
                <w:szCs w:val="14"/>
              </w:rPr>
              <w:t xml:space="preserve">223°, 66%, 13%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1872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20"/>
                <w:szCs w:val="20"/>
              </w:rPr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1872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20"/>
                <w:szCs w:val="20"/>
              </w:rPr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1872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20"/>
                <w:szCs w:val="20"/>
              </w:rPr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1872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20"/>
                <w:szCs w:val="20"/>
              </w:rPr>
            </w:r>
            <w:r/>
          </w:p>
        </w:tc>
      </w:tr>
    </w:tbl>
    <w:p>
      <w:pPr>
        <w:keepNext w:val="false"/>
        <w:keepLines w:val="false"/>
        <w:pBdr/>
        <w:spacing w:after="60" w:before="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</w:r>
      <w:r/>
    </w:p>
    <w:tbl>
      <w:tblPr>
        <w:tblW w:w="936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ook w:val="04A0" w:firstRow="1" w:lastRow="0" w:firstColumn="1" w:lastColumn="0" w:noHBand="0" w:noVBand="1"/>
      </w:tblPr>
      <w:tblGrid>
        <w:gridCol w:w="520"/>
        <w:gridCol w:w="1300"/>
        <w:gridCol w:w="1800"/>
        <w:gridCol w:w="1100"/>
        <w:gridCol w:w="4640"/>
      </w:tblGrid>
      <w:tr>
        <w:trPr>
          <w:cantSplit/>
          <w:tblHeader/>
        </w:trPr>
        <w:tc>
          <w:tcPr>
            <w:shd w:val="clear" w:color="auto" w:fill="111827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2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ffffff"/>
                <w:sz w:val="17"/>
                <w:szCs w:val="17"/>
              </w:rPr>
            </w:r>
            <w:r/>
          </w:p>
        </w:tc>
        <w:tc>
          <w:tcPr>
            <w:shd w:val="clear" w:color="auto" w:fill="111827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Nivel</w:t>
            </w:r>
            <w:r/>
          </w:p>
        </w:tc>
        <w:tc>
          <w:tcPr>
            <w:shd w:val="clear" w:color="auto" w:fill="111827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8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HSB aprox.</w:t>
            </w:r>
            <w:r/>
          </w:p>
        </w:tc>
        <w:tc>
          <w:tcPr>
            <w:shd w:val="clear" w:color="auto" w:fill="111827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1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HEX</w:t>
            </w:r>
            <w:r/>
          </w:p>
        </w:tc>
        <w:tc>
          <w:tcPr>
            <w:shd w:val="clear" w:color="auto" w:fill="111827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464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Uso recomendado</w:t>
            </w:r>
            <w:r/>
          </w:p>
        </w:tc>
      </w:tr>
      <w:tr>
        <w:trPr>
          <w:cantSplit/>
        </w:trPr>
        <w:tc>
          <w:tcPr>
            <w:shd w:val="clear" w:color="auto" w:fill="f9fafb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52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neutral-50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8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210°, 1%, 98%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1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#F9FAFB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464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Fondo muy claro y texto sobre superficies oscuras</w:t>
            </w:r>
            <w:r/>
          </w:p>
        </w:tc>
      </w:tr>
      <w:tr>
        <w:trPr>
          <w:cantSplit/>
        </w:trPr>
        <w:tc>
          <w:tcPr>
            <w:shd w:val="clear" w:color="auto" w:fill="f3f4f6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52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neutral-100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8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220°, 1%, 96%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1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#F3F4F6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464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Fondo de aplicación claro</w:t>
            </w:r>
            <w:r/>
          </w:p>
        </w:tc>
      </w:tr>
      <w:tr>
        <w:trPr>
          <w:cantSplit/>
        </w:trPr>
        <w:tc>
          <w:tcPr>
            <w:shd w:val="clear" w:color="auto" w:fill="e5e7eb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52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neutral-200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8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220°, 3%, 92%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1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#E5E7EB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464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Divisores claros</w:t>
            </w:r>
            <w:r/>
          </w:p>
        </w:tc>
      </w:tr>
      <w:tr>
        <w:trPr>
          <w:cantSplit/>
        </w:trPr>
        <w:tc>
          <w:tcPr>
            <w:shd w:val="clear" w:color="auto" w:fill="d1d5db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52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neutral-300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8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216°, 5%, 86%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1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#D1D5DB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464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Bordes y controles</w:t>
            </w:r>
            <w:r/>
          </w:p>
        </w:tc>
      </w:tr>
      <w:tr>
        <w:trPr>
          <w:cantSplit/>
        </w:trPr>
        <w:tc>
          <w:tcPr>
            <w:shd w:val="clear" w:color="auto" w:fill="9ca3af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52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neutral-400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8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218°, 11%, 69%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1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#9CA3AF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464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Metadatos y texto secundario en oscuro</w:t>
            </w:r>
            <w:r/>
          </w:p>
        </w:tc>
      </w:tr>
      <w:tr>
        <w:trPr>
          <w:cantSplit/>
        </w:trPr>
        <w:tc>
          <w:tcPr>
            <w:shd w:val="clear" w:color="auto" w:fill="6b7280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52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neutral-500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8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220°, 16%, 50%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1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#6B7280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464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Iconos inactivos y texto secundario en claro</w:t>
            </w:r>
            <w:r/>
          </w:p>
        </w:tc>
      </w:tr>
      <w:tr>
        <w:trPr>
          <w:cantSplit/>
        </w:trPr>
        <w:tc>
          <w:tcPr>
            <w:shd w:val="clear" w:color="auto" w:fill="4b5563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52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neutral-600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8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215°, 24%, 39%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1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#4B5563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464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Texto secundario de mayor énfasis</w:t>
            </w:r>
            <w:r/>
          </w:p>
        </w:tc>
      </w:tr>
      <w:tr>
        <w:trPr>
          <w:cantSplit/>
        </w:trPr>
        <w:tc>
          <w:tcPr>
            <w:shd w:val="clear" w:color="auto" w:fill="374151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52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neutral-700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8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217°, 32%, 32%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1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#374151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464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Bordes en modo oscuro</w:t>
            </w:r>
            <w:r/>
          </w:p>
        </w:tc>
      </w:tr>
      <w:tr>
        <w:trPr>
          <w:cantSplit/>
        </w:trPr>
        <w:tc>
          <w:tcPr>
            <w:shd w:val="clear" w:color="auto" w:fill="1f2937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52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neutral-800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8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215°, 44%, 22%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1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#1F2937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464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Tarjetas oscuras</w:t>
            </w:r>
            <w:r/>
          </w:p>
        </w:tc>
      </w:tr>
      <w:tr>
        <w:trPr>
          <w:cantSplit/>
        </w:trPr>
        <w:tc>
          <w:tcPr>
            <w:shd w:val="clear" w:color="auto" w:fill="111827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52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neutral-900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8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221°, 56%, 15%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1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#111827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464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Menú y barra superior oscuros</w:t>
            </w:r>
            <w:r/>
          </w:p>
        </w:tc>
      </w:tr>
      <w:tr>
        <w:trPr>
          <w:cantSplit/>
        </w:trPr>
        <w:tc>
          <w:tcPr>
            <w:shd w:val="clear" w:color="auto" w:fill="0b1120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52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neutral-950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8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223°, 66%, 13%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1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#0B1120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464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Fondo general oscuro</w:t>
            </w:r>
            <w:r/>
          </w:p>
        </w:tc>
      </w:tr>
    </w:tbl>
    <w:p>
      <w:pPr>
        <w:pStyle w:val="916"/>
        <w:keepNext w:val="true"/>
        <w:pBdr/>
        <w:spacing/>
        <w:ind/>
        <w:rPr/>
      </w:pPr>
      <w:r>
        <w:rPr>
          <w:rFonts w:ascii="Aptos" w:hAnsi="Aptos" w:eastAsia="Aptos" w:cs="Aptos"/>
        </w:rPr>
        <w:t xml:space="preserve">5. Colores semánticos de apoyo</w:t>
      </w:r>
      <w:r/>
    </w:p>
    <w:p>
      <w:pPr>
        <w:keepNext w:val="false"/>
        <w:keepLines w:val="false"/>
        <w:pBdr/>
        <w:spacing w:after="120" w:before="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Los </w:t>
      </w: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colores semánticos conservan el mismo significado en ambos temas. Lo que cambia es la combinación de fondo, texto e icono para mantener la legibilidad. El color sólido se destina a iconos e indicadores; las variantes tenues, a badges, mensajes y etiquetas.</w:t>
      </w:r>
      <w:r/>
    </w:p>
    <w:tbl>
      <w:tblPr>
        <w:tblW w:w="936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ook w:val="04A0" w:firstRow="1" w:lastRow="0" w:firstColumn="1" w:lastColumn="0" w:noHBand="0" w:noVBand="1"/>
      </w:tblPr>
      <w:tblGrid>
        <w:gridCol w:w="1100"/>
        <w:gridCol w:w="8260"/>
      </w:tblGrid>
      <w:tr>
        <w:trPr>
          <w:cantSplit/>
          <w:trHeight w:val="960"/>
        </w:trPr>
        <w:tc>
          <w:tcPr>
            <w:shd w:val="clear" w:color="auto" w:fill="16a34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11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tcBorders/>
            <w:tcMar>
              <w:left w:w="200" w:type="dxa"/>
              <w:top w:w="110" w:type="dxa"/>
              <w:right w:w="140" w:type="dxa"/>
              <w:bottom w:w="110" w:type="dxa"/>
            </w:tcMar>
            <w:tcW w:w="8260" w:type="dxa"/>
            <w:vAlign w:val="center"/>
          </w:tcPr>
          <w:p>
            <w:pPr>
              <w:keepNext w:val="true"/>
              <w:keepLines w:val="false"/>
              <w:pBdr/>
              <w:spacing w:after="3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111827"/>
                <w:sz w:val="26"/>
                <w:szCs w:val="26"/>
              </w:rPr>
              <w:t xml:space="preserve">Éxito — Success</w:t>
            </w:r>
            <w:r/>
          </w:p>
          <w:p>
            <w:pPr>
              <w:keepNext w:val="true"/>
              <w:keepLines w:val="false"/>
              <w:pBdr/>
              <w:spacing w:after="3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6b7280"/>
                <w:sz w:val="17"/>
                <w:szCs w:val="17"/>
              </w:rPr>
              <w:t xml:space="preserve">Confirmaciones, operaciones completadas, cumplimiento satisfactorio.</w:t>
            </w:r>
            <w:r/>
          </w:p>
          <w:p>
            <w:pPr>
              <w:keepNext w:val="tru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HSB sólido aprox.: 142°, 87%, 64%   </w:t>
            </w: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1d4ed8"/>
                <w:sz w:val="21"/>
                <w:szCs w:val="21"/>
              </w:rPr>
              <w:t xml:space="preserve">#16A34A</w:t>
            </w:r>
            <w:r/>
          </w:p>
        </w:tc>
      </w:tr>
    </w:tbl>
    <w:p>
      <w:pPr>
        <w:pBdr/>
        <w:spacing w:after="0" w:before="0" w:line="40" w:lineRule="exact"/>
        <w:ind/>
        <w:rPr/>
      </w:pPr>
      <w:r/>
      <w:r/>
    </w:p>
    <w:tbl>
      <w:tblPr>
        <w:tblW w:w="936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single" w:color="ffffff" w:sz="24" w:space="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>
          <w:cantSplit/>
          <w:trHeight w:val="560" w:hRule="exact"/>
        </w:trPr>
        <w:tc>
          <w:tcPr>
            <w:shd w:val="clear" w:color="auto" w:fill="16a34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3120" w:type="dxa"/>
            <w:vAlign w:val="center"/>
          </w:tcPr>
          <w:p>
            <w:pPr>
              <w:keepNext w:val="true"/>
              <w:keepLines w:val="false"/>
              <w:pBdr/>
              <w:spacing w:after="0" w:before="0"/>
              <w:ind/>
              <w:jc w:val="center"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ffffff"/>
                <w:sz w:val="22"/>
                <w:szCs w:val="22"/>
              </w:rPr>
              <w:t xml:space="preserve">Éxito</w:t>
            </w:r>
            <w:r/>
          </w:p>
        </w:tc>
        <w:tc>
          <w:tcPr>
            <w:shd w:val="clear" w:color="auto" w:fill="dcfce7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3120" w:type="dxa"/>
            <w:vAlign w:val="center"/>
          </w:tcPr>
          <w:p>
            <w:pPr>
              <w:keepNext w:val="true"/>
              <w:keepLines w:val="false"/>
              <w:pBdr/>
              <w:spacing w:after="0" w:before="0"/>
              <w:ind/>
              <w:jc w:val="center"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166534"/>
                <w:sz w:val="22"/>
                <w:szCs w:val="22"/>
              </w:rPr>
              <w:t xml:space="preserve">Éxito</w:t>
            </w:r>
            <w:r/>
          </w:p>
        </w:tc>
        <w:tc>
          <w:tcPr>
            <w:shd w:val="clear" w:color="auto" w:fill="14532d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3120" w:type="dxa"/>
            <w:vAlign w:val="center"/>
          </w:tcPr>
          <w:p>
            <w:pPr>
              <w:keepNext w:val="true"/>
              <w:keepLines w:val="false"/>
              <w:pBdr/>
              <w:spacing w:after="0" w:before="0"/>
              <w:ind/>
              <w:jc w:val="center"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bbf7d0"/>
                <w:sz w:val="22"/>
                <w:szCs w:val="22"/>
              </w:rPr>
              <w:t xml:space="preserve">Éxito</w:t>
            </w:r>
            <w:r/>
          </w:p>
        </w:tc>
      </w:tr>
      <w:tr>
        <w:trPr>
          <w:cantSplit/>
        </w:trPr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3120" w:type="dxa"/>
            <w:vAlign w:val="center"/>
          </w:tcPr>
          <w:p>
            <w:pPr>
              <w:keepNext w:val="tru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111827"/>
                <w:sz w:val="17"/>
                <w:szCs w:val="17"/>
              </w:rPr>
              <w:t xml:space="preserve">Sólido</w:t>
            </w:r>
            <w:r/>
          </w:p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6b7280"/>
                <w:sz w:val="15"/>
                <w:szCs w:val="15"/>
              </w:rPr>
              <w:t xml:space="preserve">#16A34A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3120" w:type="dxa"/>
            <w:vAlign w:val="center"/>
          </w:tcPr>
          <w:p>
            <w:pPr>
              <w:keepNext w:val="tru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111827"/>
                <w:sz w:val="17"/>
                <w:szCs w:val="17"/>
              </w:rPr>
              <w:t xml:space="preserve">Claro · fondo #DCFCE7</w:t>
            </w:r>
            <w:r/>
          </w:p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6b7280"/>
                <w:sz w:val="15"/>
                <w:szCs w:val="15"/>
              </w:rPr>
              <w:t xml:space="preserve">Texto #166534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3120" w:type="dxa"/>
            <w:vAlign w:val="center"/>
          </w:tcPr>
          <w:p>
            <w:pPr>
              <w:keepNext w:val="tru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111827"/>
                <w:sz w:val="17"/>
                <w:szCs w:val="17"/>
              </w:rPr>
              <w:t xml:space="preserve">Oscuro · fondo #14532D</w:t>
            </w:r>
            <w:r/>
          </w:p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6b7280"/>
                <w:sz w:val="15"/>
                <w:szCs w:val="15"/>
              </w:rPr>
              <w:t xml:space="preserve">Texto #BBF7D0</w:t>
            </w:r>
            <w:r/>
          </w:p>
        </w:tc>
      </w:tr>
    </w:tbl>
    <w:p>
      <w:pPr>
        <w:keepNext w:val="false"/>
        <w:keepLines w:val="false"/>
        <w:pBdr/>
        <w:spacing w:after="100" w:before="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</w:r>
      <w:r/>
    </w:p>
    <w:tbl>
      <w:tblPr>
        <w:tblW w:w="936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ook w:val="04A0" w:firstRow="1" w:lastRow="0" w:firstColumn="1" w:lastColumn="0" w:noHBand="0" w:noVBand="1"/>
      </w:tblPr>
      <w:tblGrid>
        <w:gridCol w:w="1100"/>
        <w:gridCol w:w="8260"/>
      </w:tblGrid>
      <w:tr>
        <w:trPr>
          <w:cantSplit/>
          <w:trHeight w:val="960"/>
        </w:trPr>
        <w:tc>
          <w:tcPr>
            <w:shd w:val="clear" w:color="auto" w:fill="d97706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11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tcBorders/>
            <w:tcMar>
              <w:left w:w="200" w:type="dxa"/>
              <w:top w:w="110" w:type="dxa"/>
              <w:right w:w="140" w:type="dxa"/>
              <w:bottom w:w="110" w:type="dxa"/>
            </w:tcMar>
            <w:tcW w:w="8260" w:type="dxa"/>
            <w:vAlign w:val="center"/>
          </w:tcPr>
          <w:p>
            <w:pPr>
              <w:keepNext w:val="true"/>
              <w:keepLines w:val="false"/>
              <w:pBdr/>
              <w:spacing w:after="3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111827"/>
                <w:sz w:val="26"/>
                <w:szCs w:val="26"/>
              </w:rPr>
              <w:t xml:space="preserve">Advertencia — Warning</w:t>
            </w:r>
            <w:r/>
          </w:p>
          <w:p>
            <w:pPr>
              <w:keepNext w:val="true"/>
              <w:keepLines w:val="false"/>
              <w:pBdr/>
              <w:spacing w:after="3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6b7280"/>
                <w:sz w:val="17"/>
                <w:szCs w:val="17"/>
              </w:rPr>
              <w:t xml:space="preserve">Contratos por vencer, tareas pendientes, revisiones requeridas.</w:t>
            </w:r>
            <w:r/>
          </w:p>
          <w:p>
            <w:pPr>
              <w:keepNext w:val="tru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HSB sólido aprox.: 32°, 97%, 85%   </w:t>
            </w: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1d4ed8"/>
                <w:sz w:val="21"/>
                <w:szCs w:val="21"/>
              </w:rPr>
              <w:t xml:space="preserve">#D97706</w:t>
            </w:r>
            <w:r/>
          </w:p>
        </w:tc>
      </w:tr>
    </w:tbl>
    <w:p>
      <w:pPr>
        <w:pBdr/>
        <w:spacing w:after="0" w:before="0" w:line="40" w:lineRule="exact"/>
        <w:ind/>
        <w:rPr/>
      </w:pPr>
      <w:r/>
      <w:r/>
    </w:p>
    <w:tbl>
      <w:tblPr>
        <w:tblW w:w="936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single" w:color="ffffff" w:sz="24" w:space="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>
          <w:cantSplit/>
          <w:trHeight w:val="560" w:hRule="exact"/>
        </w:trPr>
        <w:tc>
          <w:tcPr>
            <w:shd w:val="clear" w:color="auto" w:fill="d97706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3120" w:type="dxa"/>
            <w:vAlign w:val="center"/>
          </w:tcPr>
          <w:p>
            <w:pPr>
              <w:keepNext w:val="true"/>
              <w:keepLines w:val="false"/>
              <w:pBdr/>
              <w:spacing w:after="0" w:before="0"/>
              <w:ind/>
              <w:jc w:val="center"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ffffff"/>
                <w:sz w:val="22"/>
                <w:szCs w:val="22"/>
              </w:rPr>
              <w:t xml:space="preserve">Advertencia</w:t>
            </w:r>
            <w:r/>
          </w:p>
        </w:tc>
        <w:tc>
          <w:tcPr>
            <w:shd w:val="clear" w:color="auto" w:fill="fef3c7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3120" w:type="dxa"/>
            <w:vAlign w:val="center"/>
          </w:tcPr>
          <w:p>
            <w:pPr>
              <w:keepNext w:val="true"/>
              <w:keepLines w:val="false"/>
              <w:pBdr/>
              <w:spacing w:after="0" w:before="0"/>
              <w:ind/>
              <w:jc w:val="center"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92400e"/>
                <w:sz w:val="22"/>
                <w:szCs w:val="22"/>
              </w:rPr>
              <w:t xml:space="preserve">Advertencia</w:t>
            </w:r>
            <w:r/>
          </w:p>
        </w:tc>
        <w:tc>
          <w:tcPr>
            <w:shd w:val="clear" w:color="auto" w:fill="78350f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3120" w:type="dxa"/>
            <w:vAlign w:val="center"/>
          </w:tcPr>
          <w:p>
            <w:pPr>
              <w:keepNext w:val="true"/>
              <w:keepLines w:val="false"/>
              <w:pBdr/>
              <w:spacing w:after="0" w:before="0"/>
              <w:ind/>
              <w:jc w:val="center"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fde68a"/>
                <w:sz w:val="22"/>
                <w:szCs w:val="22"/>
              </w:rPr>
              <w:t xml:space="preserve">Advertencia</w:t>
            </w:r>
            <w:r/>
          </w:p>
        </w:tc>
      </w:tr>
      <w:tr>
        <w:trPr>
          <w:cantSplit/>
        </w:trPr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3120" w:type="dxa"/>
            <w:vAlign w:val="center"/>
          </w:tcPr>
          <w:p>
            <w:pPr>
              <w:keepNext w:val="tru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111827"/>
                <w:sz w:val="17"/>
                <w:szCs w:val="17"/>
              </w:rPr>
              <w:t xml:space="preserve">Sólido</w:t>
            </w:r>
            <w:r/>
          </w:p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6b7280"/>
                <w:sz w:val="15"/>
                <w:szCs w:val="15"/>
              </w:rPr>
              <w:t xml:space="preserve">#D97706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3120" w:type="dxa"/>
            <w:vAlign w:val="center"/>
          </w:tcPr>
          <w:p>
            <w:pPr>
              <w:keepNext w:val="tru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111827"/>
                <w:sz w:val="17"/>
                <w:szCs w:val="17"/>
              </w:rPr>
              <w:t xml:space="preserve">Claro · fondo #FEF3C7</w:t>
            </w:r>
            <w:r/>
          </w:p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6b7280"/>
                <w:sz w:val="15"/>
                <w:szCs w:val="15"/>
              </w:rPr>
              <w:t xml:space="preserve">Texto #92400E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3120" w:type="dxa"/>
            <w:vAlign w:val="center"/>
          </w:tcPr>
          <w:p>
            <w:pPr>
              <w:keepNext w:val="tru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111827"/>
                <w:sz w:val="17"/>
                <w:szCs w:val="17"/>
              </w:rPr>
              <w:t xml:space="preserve">Oscuro · fondo #78350F</w:t>
            </w:r>
            <w:r/>
          </w:p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6b7280"/>
                <w:sz w:val="15"/>
                <w:szCs w:val="15"/>
              </w:rPr>
              <w:t xml:space="preserve">Texto #FDE68A</w:t>
            </w:r>
            <w:r/>
          </w:p>
        </w:tc>
      </w:tr>
    </w:tbl>
    <w:p>
      <w:pPr>
        <w:keepNext w:val="false"/>
        <w:keepLines w:val="false"/>
        <w:pBdr/>
        <w:spacing w:after="100" w:before="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</w:r>
      <w:r/>
    </w:p>
    <w:tbl>
      <w:tblPr>
        <w:tblW w:w="936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ook w:val="04A0" w:firstRow="1" w:lastRow="0" w:firstColumn="1" w:lastColumn="0" w:noHBand="0" w:noVBand="1"/>
      </w:tblPr>
      <w:tblGrid>
        <w:gridCol w:w="1100"/>
        <w:gridCol w:w="8260"/>
      </w:tblGrid>
      <w:tr>
        <w:trPr>
          <w:cantSplit/>
          <w:trHeight w:val="960"/>
        </w:trPr>
        <w:tc>
          <w:tcPr>
            <w:shd w:val="clear" w:color="auto" w:fill="dc2626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11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tcBorders/>
            <w:tcMar>
              <w:left w:w="200" w:type="dxa"/>
              <w:top w:w="110" w:type="dxa"/>
              <w:right w:w="140" w:type="dxa"/>
              <w:bottom w:w="110" w:type="dxa"/>
            </w:tcMar>
            <w:tcW w:w="8260" w:type="dxa"/>
            <w:vAlign w:val="center"/>
          </w:tcPr>
          <w:p>
            <w:pPr>
              <w:keepNext w:val="true"/>
              <w:keepLines w:val="false"/>
              <w:pBdr/>
              <w:spacing w:after="3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111827"/>
                <w:sz w:val="26"/>
                <w:szCs w:val="26"/>
              </w:rPr>
              <w:t xml:space="preserve">Error — Danger</w:t>
            </w:r>
            <w:r/>
          </w:p>
          <w:p>
            <w:pPr>
              <w:keepNext w:val="true"/>
              <w:keepLines w:val="false"/>
              <w:pBdr/>
              <w:spacing w:after="3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6b7280"/>
                <w:sz w:val="17"/>
                <w:szCs w:val="17"/>
              </w:rPr>
              <w:t xml:space="preserve">Errores de validación, incidencias críticas y acciones destructivas.</w:t>
            </w:r>
            <w:r/>
          </w:p>
          <w:p>
            <w:pPr>
              <w:keepNext w:val="tru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HSB sólido aprox.: 0°, 83%, 86%   </w:t>
            </w: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1d4ed8"/>
                <w:sz w:val="21"/>
                <w:szCs w:val="21"/>
              </w:rPr>
              <w:t xml:space="preserve">#DC2626</w:t>
            </w:r>
            <w:r/>
          </w:p>
        </w:tc>
      </w:tr>
    </w:tbl>
    <w:p>
      <w:pPr>
        <w:pBdr/>
        <w:spacing w:after="0" w:before="0" w:line="40" w:lineRule="exact"/>
        <w:ind/>
        <w:rPr/>
      </w:pPr>
      <w:r/>
      <w:r/>
    </w:p>
    <w:tbl>
      <w:tblPr>
        <w:tblW w:w="936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single" w:color="ffffff" w:sz="24" w:space="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>
          <w:cantSplit/>
          <w:trHeight w:val="560" w:hRule="exact"/>
        </w:trPr>
        <w:tc>
          <w:tcPr>
            <w:shd w:val="clear" w:color="auto" w:fill="dc2626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3120" w:type="dxa"/>
            <w:vAlign w:val="center"/>
          </w:tcPr>
          <w:p>
            <w:pPr>
              <w:keepNext w:val="true"/>
              <w:keepLines w:val="false"/>
              <w:pBdr/>
              <w:spacing w:after="0" w:before="0"/>
              <w:ind/>
              <w:jc w:val="center"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ffffff"/>
                <w:sz w:val="22"/>
                <w:szCs w:val="22"/>
              </w:rPr>
              <w:t xml:space="preserve">Error</w:t>
            </w:r>
            <w:r/>
          </w:p>
        </w:tc>
        <w:tc>
          <w:tcPr>
            <w:shd w:val="clear" w:color="auto" w:fill="fee2e2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3120" w:type="dxa"/>
            <w:vAlign w:val="center"/>
          </w:tcPr>
          <w:p>
            <w:pPr>
              <w:keepNext w:val="true"/>
              <w:keepLines w:val="false"/>
              <w:pBdr/>
              <w:spacing w:after="0" w:before="0"/>
              <w:ind/>
              <w:jc w:val="center"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991b1b"/>
                <w:sz w:val="22"/>
                <w:szCs w:val="22"/>
              </w:rPr>
              <w:t xml:space="preserve">Error</w:t>
            </w:r>
            <w:r/>
          </w:p>
        </w:tc>
        <w:tc>
          <w:tcPr>
            <w:shd w:val="clear" w:color="auto" w:fill="7f1d1d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3120" w:type="dxa"/>
            <w:vAlign w:val="center"/>
          </w:tcPr>
          <w:p>
            <w:pPr>
              <w:keepNext w:val="true"/>
              <w:keepLines w:val="false"/>
              <w:pBdr/>
              <w:spacing w:after="0" w:before="0"/>
              <w:ind/>
              <w:jc w:val="center"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fecaca"/>
                <w:sz w:val="22"/>
                <w:szCs w:val="22"/>
              </w:rPr>
              <w:t xml:space="preserve">Error</w:t>
            </w:r>
            <w:r/>
          </w:p>
        </w:tc>
      </w:tr>
      <w:tr>
        <w:trPr>
          <w:cantSplit/>
        </w:trPr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3120" w:type="dxa"/>
            <w:vAlign w:val="center"/>
          </w:tcPr>
          <w:p>
            <w:pPr>
              <w:keepNext w:val="tru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111827"/>
                <w:sz w:val="17"/>
                <w:szCs w:val="17"/>
              </w:rPr>
              <w:t xml:space="preserve">Sólido</w:t>
            </w:r>
            <w:r/>
          </w:p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6b7280"/>
                <w:sz w:val="15"/>
                <w:szCs w:val="15"/>
              </w:rPr>
              <w:t xml:space="preserve">#DC2626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3120" w:type="dxa"/>
            <w:vAlign w:val="center"/>
          </w:tcPr>
          <w:p>
            <w:pPr>
              <w:keepNext w:val="tru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111827"/>
                <w:sz w:val="17"/>
                <w:szCs w:val="17"/>
              </w:rPr>
              <w:t xml:space="preserve">Claro · fondo #FEE2E2</w:t>
            </w:r>
            <w:r/>
          </w:p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6b7280"/>
                <w:sz w:val="15"/>
                <w:szCs w:val="15"/>
              </w:rPr>
              <w:t xml:space="preserve">Texto #991B1B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3120" w:type="dxa"/>
            <w:vAlign w:val="center"/>
          </w:tcPr>
          <w:p>
            <w:pPr>
              <w:keepNext w:val="tru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111827"/>
                <w:sz w:val="17"/>
                <w:szCs w:val="17"/>
              </w:rPr>
              <w:t xml:space="preserve">Oscuro · fondo #7F1D1D</w:t>
            </w:r>
            <w:r/>
          </w:p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6b7280"/>
                <w:sz w:val="15"/>
                <w:szCs w:val="15"/>
              </w:rPr>
              <w:t xml:space="preserve">Texto #FECACA</w:t>
            </w:r>
            <w:r/>
          </w:p>
        </w:tc>
      </w:tr>
    </w:tbl>
    <w:p>
      <w:pPr>
        <w:keepNext w:val="false"/>
        <w:keepLines w:val="false"/>
        <w:pBdr/>
        <w:spacing w:after="100" w:before="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</w:r>
      <w:r/>
    </w:p>
    <w:tbl>
      <w:tblPr>
        <w:tblW w:w="936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ook w:val="04A0" w:firstRow="1" w:lastRow="0" w:firstColumn="1" w:lastColumn="0" w:noHBand="0" w:noVBand="1"/>
      </w:tblPr>
      <w:tblGrid>
        <w:gridCol w:w="1100"/>
        <w:gridCol w:w="8260"/>
      </w:tblGrid>
      <w:tr>
        <w:trPr>
          <w:cantSplit/>
          <w:trHeight w:val="960"/>
        </w:trPr>
        <w:tc>
          <w:tcPr>
            <w:shd w:val="clear" w:color="00b7eb" w:fill="00b7eb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110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 </w:t>
            </w:r>
            <w:r/>
          </w:p>
        </w:tc>
        <w:tc>
          <w:tcPr>
            <w:tcBorders/>
            <w:tcMar>
              <w:left w:w="200" w:type="dxa"/>
              <w:top w:w="110" w:type="dxa"/>
              <w:right w:w="140" w:type="dxa"/>
              <w:bottom w:w="110" w:type="dxa"/>
            </w:tcMar>
            <w:tcW w:w="826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Información — Info</w:t>
              <w:br/>
              <w:t xml:space="preserve">Ayuda contextual, actualizaciones y mensajes informativos.</w:t>
              <w:br/>
              <w:t xml:space="preserve">HSB sólido aprox.: 193°, 100%, 92%   #00B7EB</w:t>
            </w:r>
            <w:r/>
          </w:p>
        </w:tc>
      </w:tr>
    </w:tbl>
    <w:p>
      <w:pPr>
        <w:pBdr/>
        <w:spacing w:after="0" w:before="0" w:line="40" w:lineRule="exact"/>
        <w:ind/>
        <w:rPr/>
      </w:pPr>
      <w:r/>
      <w:r/>
    </w:p>
    <w:tbl>
      <w:tblPr>
        <w:tblW w:w="936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single" w:color="ffffff" w:sz="24" w:space="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>
          <w:cantSplit/>
          <w:trHeight w:val="560" w:hRule="exact"/>
        </w:trPr>
        <w:tc>
          <w:tcPr>
            <w:shd w:val="clear" w:color="00b7eb" w:fill="00b7eb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31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color w:val="111827"/>
              </w:rPr>
              <w:t xml:space="preserve">Información</w:t>
            </w:r>
            <w:r/>
          </w:p>
        </w:tc>
        <w:tc>
          <w:tcPr>
            <w:shd w:val="clear" w:color="cffafe" w:fill="cffafe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31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color w:val="155e75"/>
              </w:rPr>
              <w:t xml:space="preserve">Información</w:t>
            </w:r>
            <w:r/>
          </w:p>
        </w:tc>
        <w:tc>
          <w:tcPr>
            <w:shd w:val="clear" w:color="164e63" w:fill="164e63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3120" w:type="dxa"/>
            <w:vAlign w:val="center"/>
          </w:tcPr>
          <w:p>
            <w:pPr>
              <w:pBdr/>
              <w:spacing/>
              <w:ind/>
              <w:rPr>
                <w:color w:val="ffffff"/>
              </w:rPr>
            </w:pPr>
            <w:r>
              <w:rPr>
                <w:color w:val="ffffff"/>
              </w:rPr>
              <w:t xml:space="preserve">Información</w:t>
            </w:r>
            <w:r>
              <w:rPr>
                <w:color w:val="ffffff"/>
              </w:rPr>
            </w:r>
          </w:p>
        </w:tc>
      </w:tr>
      <w:tr>
        <w:trPr>
          <w:cantSplit/>
        </w:trPr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312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Sólido</w:t>
              <w:br/>
              <w:t xml:space="preserve">#00B7EB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312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Claro · fondo #CFFAFE</w:t>
              <w:br/>
              <w:t xml:space="preserve">Texto #155E75</w:t>
              <w:br/>
              <w:t xml:space="preserve">Iconos #0891B2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312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Oscuro · fondo #164E63</w:t>
              <w:br/>
              <w:t xml:space="preserve">Texto #</w:t>
            </w:r>
            <w:r>
              <w:rPr>
                <w:lang w:val="es-MX"/>
              </w:rPr>
              <w:t xml:space="preserve">FFFFFF</w:t>
            </w:r>
            <w:r>
              <w:br/>
              <w:t xml:space="preserve">Iconos #22D3EE</w:t>
            </w:r>
            <w:r/>
          </w:p>
        </w:tc>
      </w:tr>
    </w:tbl>
    <w:p>
      <w:pPr>
        <w:keepNext w:val="false"/>
        <w:keepLines w:val="false"/>
        <w:pBdr/>
        <w:spacing w:after="100" w:before="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</w:r>
      <w:r/>
    </w:p>
    <w:p>
      <w:pPr>
        <w:pStyle w:val="917"/>
        <w:keepNext w:val="true"/>
        <w:pBdr/>
        <w:spacing/>
        <w:ind/>
        <w:rPr/>
      </w:pPr>
      <w:r>
        <w:rPr>
          <w:rFonts w:ascii="Aptos" w:hAnsi="Aptos" w:eastAsia="Aptos" w:cs="Aptos"/>
        </w:rPr>
        <w:t xml:space="preserve">5.1. Tabla semántica completa</w:t>
      </w:r>
      <w:r/>
    </w:p>
    <w:tbl>
      <w:tblPr>
        <w:tblW w:w="936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ook w:val="04A0" w:firstRow="1" w:lastRow="0" w:firstColumn="1" w:lastColumn="0" w:noHBand="0" w:noVBand="1"/>
      </w:tblPr>
      <w:tblGrid>
        <w:gridCol w:w="1260"/>
        <w:gridCol w:w="1560"/>
        <w:gridCol w:w="1560"/>
        <w:gridCol w:w="1560"/>
        <w:gridCol w:w="1710"/>
        <w:gridCol w:w="1710"/>
      </w:tblGrid>
      <w:tr>
        <w:trPr>
          <w:cantSplit/>
          <w:tblHeader/>
        </w:trPr>
        <w:tc>
          <w:tcPr>
            <w:shd w:val="clear" w:color="auto" w:fill="111827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2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Token</w:t>
            </w:r>
            <w:r/>
          </w:p>
        </w:tc>
        <w:tc>
          <w:tcPr>
            <w:shd w:val="clear" w:color="auto" w:fill="111827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5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Color sólido</w:t>
            </w:r>
            <w:r/>
          </w:p>
        </w:tc>
        <w:tc>
          <w:tcPr>
            <w:shd w:val="clear" w:color="auto" w:fill="111827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5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Fondo claro</w:t>
            </w:r>
            <w:r/>
          </w:p>
        </w:tc>
        <w:tc>
          <w:tcPr>
            <w:shd w:val="clear" w:color="auto" w:fill="111827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5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Fondo oscuro</w:t>
            </w:r>
            <w:r/>
          </w:p>
        </w:tc>
        <w:tc>
          <w:tcPr>
            <w:shd w:val="clear" w:color="auto" w:fill="111827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71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Texto sobre claro</w:t>
            </w:r>
            <w:r/>
          </w:p>
        </w:tc>
        <w:tc>
          <w:tcPr>
            <w:shd w:val="clear" w:color="auto" w:fill="111827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71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Texto sobre oscuro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2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success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5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#16A34A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5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#DCFCE7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5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#14532D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71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#166534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71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#BBF7D0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2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warning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5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#D97706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5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#FEF3C7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5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#78350F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71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#92400E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71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#FDE68A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2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danger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5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#DC2626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5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#FEE2E2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5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#7F1D1D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71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#991B1B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71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#FECACA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26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info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56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#00B7EB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56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#CFFAFE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56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#164E63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71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#155E75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71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#</w:t>
            </w:r>
            <w:r>
              <w:rPr>
                <w:lang w:val="es-MX"/>
              </w:rPr>
              <w:t xml:space="preserve">FFFFFF</w:t>
            </w:r>
            <w:r/>
          </w:p>
        </w:tc>
      </w:tr>
    </w:tbl>
    <w:p>
      <w:pPr>
        <w:keepNext w:val="false"/>
        <w:keepLines w:val="false"/>
        <w:pBdr/>
        <w:spacing w:after="80" w:before="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</w:r>
      <w:r/>
    </w:p>
    <w:tbl>
      <w:tblPr>
        <w:tblW w:w="9360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>
          <w:cantSplit/>
        </w:trPr>
        <w:tc>
          <w:tcPr>
            <w:shd w:val="clear" w:color="auto" w:fill="eff6ff"/>
            <w:tcBorders>
              <w:top w:val="none" w:color="ffffff" w:sz="0" w:space="0"/>
              <w:left w:val="single" w:color="1d4ed8" w:sz="24" w:space="0"/>
              <w:bottom w:val="none" w:color="ffffff" w:sz="0" w:space="0"/>
              <w:right w:val="none" w:color="ffffff" w:sz="0" w:space="0"/>
            </w:tcBorders>
            <w:tcMar>
              <w:left w:w="180" w:type="dxa"/>
              <w:top w:w="130" w:type="dxa"/>
              <w:right w:w="180" w:type="dxa"/>
              <w:bottom w:w="130" w:type="dxa"/>
            </w:tcMar>
            <w:tcW w:w="93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1d4ed8"/>
                <w:sz w:val="19"/>
                <w:szCs w:val="19"/>
              </w:rPr>
              <w:t xml:space="preserve">Nota  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9"/>
                <w:szCs w:val="19"/>
              </w:rPr>
              <w:t xml:space="preserve">Estos son va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9"/>
                <w:szCs w:val="19"/>
              </w:rPr>
              <w:t xml:space="preserve">lores iniciales de diseño. Los colores sólidos están pensados para iconos, indicadores y elementos de estado; los fondos tenues, para badges, mensajes y etiquetas. La sección 10 documenta qué combinaciones cumplen el contraste y cuáles requieren un ajuste.</w:t>
            </w:r>
            <w:r/>
          </w:p>
        </w:tc>
      </w:tr>
    </w:tbl>
    <w:p>
      <w:pPr>
        <w:pStyle w:val="916"/>
        <w:keepNext w:val="true"/>
        <w:pBdr/>
        <w:spacing/>
        <w:ind/>
        <w:rPr/>
      </w:pPr>
      <w:r>
        <w:rPr>
          <w:rFonts w:ascii="Aptos" w:hAnsi="Aptos" w:eastAsia="Aptos" w:cs="Aptos"/>
        </w:rPr>
        <w:t xml:space="preserve">6. Temas claro y oscuro</w:t>
      </w:r>
      <w:r/>
    </w:p>
    <w:p>
      <w:pPr>
        <w:pStyle w:val="917"/>
        <w:keepNext w:val="true"/>
        <w:pBdr/>
        <w:spacing/>
        <w:ind/>
        <w:rPr/>
      </w:pPr>
      <w:r>
        <w:rPr>
          <w:rFonts w:ascii="Aptos" w:hAnsi="Aptos" w:eastAsia="Aptos" w:cs="Aptos"/>
        </w:rPr>
        <w:t xml:space="preserve">6.1. Tabla de tokens — modo claro</w:t>
      </w:r>
      <w:r/>
    </w:p>
    <w:tbl>
      <w:tblPr>
        <w:tblW w:w="936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ook w:val="04A0" w:firstRow="1" w:lastRow="0" w:firstColumn="1" w:lastColumn="0" w:noHBand="0" w:noVBand="1"/>
      </w:tblPr>
      <w:tblGrid>
        <w:gridCol w:w="520"/>
        <w:gridCol w:w="2300"/>
        <w:gridCol w:w="1100"/>
        <w:gridCol w:w="5440"/>
      </w:tblGrid>
      <w:tr>
        <w:trPr>
          <w:cantSplit/>
          <w:tblHeader/>
        </w:trPr>
        <w:tc>
          <w:tcPr>
            <w:shd w:val="clear" w:color="auto" w:fill="111827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2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ffffff"/>
                <w:sz w:val="17"/>
                <w:szCs w:val="17"/>
              </w:rPr>
            </w:r>
            <w:r/>
          </w:p>
        </w:tc>
        <w:tc>
          <w:tcPr>
            <w:shd w:val="clear" w:color="auto" w:fill="111827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Token</w:t>
            </w:r>
            <w:r/>
          </w:p>
        </w:tc>
        <w:tc>
          <w:tcPr>
            <w:shd w:val="clear" w:color="auto" w:fill="111827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1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HEX</w:t>
            </w:r>
            <w:r/>
          </w:p>
        </w:tc>
        <w:tc>
          <w:tcPr>
            <w:shd w:val="clear" w:color="auto" w:fill="111827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44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Uso en la interfaz</w:t>
            </w:r>
            <w:r/>
          </w:p>
        </w:tc>
      </w:tr>
      <w:tr>
        <w:trPr>
          <w:cantSplit/>
        </w:trPr>
        <w:tc>
          <w:tcPr>
            <w:shd w:val="clear" w:color="auto" w:fill="f3f4f6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52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light-bg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1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#F3F4F6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44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Fondo general de la aplicación</w:t>
            </w:r>
            <w:r/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52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light-surface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1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#FFFFFF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44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Menú, barra superior y tarjetas</w:t>
            </w:r>
            <w:r/>
          </w:p>
        </w:tc>
      </w:tr>
      <w:tr>
        <w:trPr>
          <w:cantSplit/>
        </w:trPr>
        <w:tc>
          <w:tcPr>
            <w:shd w:val="clear" w:color="auto" w:fill="f9fafb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52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light-surface-alt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1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#F9FAFB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44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Áreas secundarias y filas alternas</w:t>
            </w:r>
            <w:r/>
          </w:p>
        </w:tc>
      </w:tr>
      <w:tr>
        <w:trPr>
          <w:cantSplit/>
        </w:trPr>
        <w:tc>
          <w:tcPr>
            <w:shd w:val="clear" w:color="auto" w:fill="d1d5db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52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light-border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1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#D1D5DB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44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Bordes de tarjetas y controles</w:t>
            </w:r>
            <w:r/>
          </w:p>
        </w:tc>
      </w:tr>
      <w:tr>
        <w:trPr>
          <w:cantSplit/>
        </w:trPr>
        <w:tc>
          <w:tcPr>
            <w:shd w:val="clear" w:color="auto" w:fill="e5e7eb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52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light-divider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1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#E5E7EB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44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Separadores sutiles</w:t>
            </w:r>
            <w:r/>
          </w:p>
        </w:tc>
      </w:tr>
      <w:tr>
        <w:trPr>
          <w:cantSplit/>
        </w:trPr>
        <w:tc>
          <w:tcPr>
            <w:shd w:val="clear" w:color="auto" w:fill="111827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52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light-text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1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#111827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44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Títulos, cifras y texto principal</w:t>
            </w:r>
            <w:r/>
          </w:p>
        </w:tc>
      </w:tr>
      <w:tr>
        <w:trPr>
          <w:cantSplit/>
        </w:trPr>
        <w:tc>
          <w:tcPr>
            <w:shd w:val="clear" w:color="auto" w:fill="6b7280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52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light-text-secondary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1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#6B7280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44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Descripciones y metadatos</w:t>
            </w:r>
            <w:r/>
          </w:p>
        </w:tc>
      </w:tr>
      <w:tr>
        <w:trPr>
          <w:cantSplit/>
        </w:trPr>
        <w:tc>
          <w:tcPr>
            <w:shd w:val="clear" w:color="auto" w:fill="9ca3af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52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light-text-disabled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1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#9CA3AF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44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Texto deshabilitado</w:t>
            </w:r>
            <w:r/>
          </w:p>
        </w:tc>
      </w:tr>
      <w:tr>
        <w:trPr>
          <w:cantSplit/>
        </w:trPr>
        <w:tc>
          <w:tcPr>
            <w:shd w:val="clear" w:color="auto" w:fill="dbeafe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52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light-nav-active-bg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1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#DBEAFE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44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Fondo de navegación seleccionada</w:t>
            </w:r>
            <w:r/>
          </w:p>
        </w:tc>
      </w:tr>
      <w:tr>
        <w:trPr>
          <w:cantSplit/>
        </w:trPr>
        <w:tc>
          <w:tcPr>
            <w:shd w:val="clear" w:color="auto" w:fill="1d4ed8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52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light-nav-active-text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1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#1D4ED8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44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Texto e icono activos</w:t>
            </w:r>
            <w:r/>
          </w:p>
        </w:tc>
      </w:tr>
      <w:tr>
        <w:trPr>
          <w:cantSplit/>
        </w:trPr>
        <w:tc>
          <w:tcPr>
            <w:shd w:val="clear" w:color="auto" w:fill="1d4ed8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52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light-primary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1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#1D4ED8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44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Botones y enlaces principales</w:t>
            </w:r>
            <w:r/>
          </w:p>
        </w:tc>
      </w:tr>
      <w:tr>
        <w:trPr>
          <w:cantSplit/>
        </w:trPr>
        <w:tc>
          <w:tcPr>
            <w:shd w:val="clear" w:color="auto" w:fill="1e40af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52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light-primary-hover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1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#1E40AF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44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Hover de botones primarios</w:t>
            </w:r>
            <w:r/>
          </w:p>
        </w:tc>
      </w:tr>
    </w:tbl>
    <w:p>
      <w:pPr>
        <w:pStyle w:val="917"/>
        <w:keepNext w:val="true"/>
        <w:pBdr/>
        <w:spacing/>
        <w:ind/>
        <w:rPr/>
      </w:pPr>
      <w:r>
        <w:rPr>
          <w:rFonts w:ascii="Aptos" w:hAnsi="Aptos" w:eastAsia="Aptos" w:cs="Aptos"/>
        </w:rPr>
        <w:t xml:space="preserve">6.2. Tabla de tokens — modo oscuro</w:t>
      </w:r>
      <w:r/>
    </w:p>
    <w:p>
      <w:pPr>
        <w:keepNext w:val="true"/>
        <w:keepLines w:val="false"/>
        <w:pBdr/>
        <w:spacing w:after="120" w:before="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El modo oscuro utiliza tres niveles de profundidad: fondo general, navegación y tarjetas. Esta separación ayuda a conservar la estructura de la interfaz incluso cuando la pantalla se utiliza durante jornadas prolongadas.</w:t>
      </w:r>
      <w:r/>
    </w:p>
    <w:tbl>
      <w:tblPr>
        <w:tblW w:w="936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ook w:val="04A0" w:firstRow="1" w:lastRow="0" w:firstColumn="1" w:lastColumn="0" w:noHBand="0" w:noVBand="1"/>
      </w:tblPr>
      <w:tblGrid>
        <w:gridCol w:w="520"/>
        <w:gridCol w:w="2300"/>
        <w:gridCol w:w="1100"/>
        <w:gridCol w:w="5440"/>
      </w:tblGrid>
      <w:tr>
        <w:trPr>
          <w:cantSplit/>
          <w:tblHeader/>
        </w:trPr>
        <w:tc>
          <w:tcPr>
            <w:shd w:val="clear" w:color="auto" w:fill="111827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2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ffffff"/>
                <w:sz w:val="17"/>
                <w:szCs w:val="17"/>
              </w:rPr>
            </w:r>
            <w:r/>
          </w:p>
        </w:tc>
        <w:tc>
          <w:tcPr>
            <w:shd w:val="clear" w:color="auto" w:fill="111827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Token</w:t>
            </w:r>
            <w:r/>
          </w:p>
        </w:tc>
        <w:tc>
          <w:tcPr>
            <w:shd w:val="clear" w:color="auto" w:fill="111827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1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HEX</w:t>
            </w:r>
            <w:r/>
          </w:p>
        </w:tc>
        <w:tc>
          <w:tcPr>
            <w:shd w:val="clear" w:color="auto" w:fill="111827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44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Uso en la interfaz</w:t>
            </w:r>
            <w:r/>
          </w:p>
        </w:tc>
      </w:tr>
      <w:tr>
        <w:trPr>
          <w:cantSplit/>
        </w:trPr>
        <w:tc>
          <w:tcPr>
            <w:shd w:val="clear" w:color="auto" w:fill="0b1120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52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dark-bg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1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#0B1120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44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Fondo general</w:t>
            </w:r>
            <w:r/>
          </w:p>
        </w:tc>
      </w:tr>
      <w:tr>
        <w:trPr>
          <w:cantSplit/>
        </w:trPr>
        <w:tc>
          <w:tcPr>
            <w:shd w:val="clear" w:color="auto" w:fill="111827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52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dark-surface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1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#111827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44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Menú lateral y barra superior</w:t>
            </w:r>
            <w:r/>
          </w:p>
        </w:tc>
      </w:tr>
      <w:tr>
        <w:trPr>
          <w:cantSplit/>
        </w:trPr>
        <w:tc>
          <w:tcPr>
            <w:shd w:val="clear" w:color="auto" w:fill="151e2e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52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dark-surface-alt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1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#151E2E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44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Superficies secundarias</w:t>
            </w:r>
            <w:r/>
          </w:p>
        </w:tc>
      </w:tr>
      <w:tr>
        <w:trPr>
          <w:cantSplit/>
        </w:trPr>
        <w:tc>
          <w:tcPr>
            <w:shd w:val="clear" w:color="auto" w:fill="1f2937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52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dark-card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1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#1F2937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44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Tarjetas KPI y paneles</w:t>
            </w:r>
            <w:r/>
          </w:p>
        </w:tc>
      </w:tr>
      <w:tr>
        <w:trPr>
          <w:cantSplit/>
        </w:trPr>
        <w:tc>
          <w:tcPr>
            <w:shd w:val="clear" w:color="auto" w:fill="273449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52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dark-card-hover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1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#273449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44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Superficies interactivas elevadas</w:t>
            </w:r>
            <w:r/>
          </w:p>
        </w:tc>
      </w:tr>
      <w:tr>
        <w:trPr>
          <w:cantSplit/>
        </w:trPr>
        <w:tc>
          <w:tcPr>
            <w:shd w:val="clear" w:color="auto" w:fill="374151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52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dark-border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1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#374151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44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Bordes y divisores visibles</w:t>
            </w:r>
            <w:r/>
          </w:p>
        </w:tc>
      </w:tr>
      <w:tr>
        <w:trPr>
          <w:cantSplit/>
        </w:trPr>
        <w:tc>
          <w:tcPr>
            <w:shd w:val="clear" w:color="auto" w:fill="334155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52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dark-divider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1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#334155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44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Separadores discretos</w:t>
            </w:r>
            <w:r/>
          </w:p>
        </w:tc>
      </w:tr>
      <w:tr>
        <w:trPr>
          <w:cantSplit/>
        </w:trPr>
        <w:tc>
          <w:tcPr>
            <w:shd w:val="clear" w:color="auto" w:fill="f9fafb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52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dark-text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1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#F9FAFB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44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Texto principal y cifras</w:t>
            </w:r>
            <w:r/>
          </w:p>
        </w:tc>
      </w:tr>
      <w:tr>
        <w:trPr>
          <w:cantSplit/>
        </w:trPr>
        <w:tc>
          <w:tcPr>
            <w:shd w:val="clear" w:color="auto" w:fill="cbd5e1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52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dark-text-secondary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1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#CBD5E1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44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Opciones de menú y texto secundario</w:t>
            </w:r>
            <w:r/>
          </w:p>
        </w:tc>
      </w:tr>
      <w:tr>
        <w:trPr>
          <w:cantSplit/>
        </w:trPr>
        <w:tc>
          <w:tcPr>
            <w:shd w:val="clear" w:color="auto" w:fill="9ca3af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52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dark-text-muted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1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#9CA3AF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44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Metadatos y descripciones</w:t>
            </w:r>
            <w:r/>
          </w:p>
        </w:tc>
      </w:tr>
      <w:tr>
        <w:trPr>
          <w:cantSplit/>
        </w:trPr>
        <w:tc>
          <w:tcPr>
            <w:shd w:val="clear" w:color="auto" w:fill="6b7280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52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dark-text-disabled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1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#6B7280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44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Elementos deshabilitados</w:t>
            </w:r>
            <w:r/>
          </w:p>
        </w:tc>
      </w:tr>
      <w:tr>
        <w:trPr>
          <w:cantSplit/>
        </w:trPr>
        <w:tc>
          <w:tcPr>
            <w:shd w:val="clear" w:color="auto" w:fill="1d4ed8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52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dark-nav-active-bg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1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#1D4ED8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44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Fondo de la opción seleccionada</w:t>
            </w:r>
            <w:r/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52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dark-nav-active-text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1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#FFFFFF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44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Texto e icono de navegación activos</w:t>
            </w:r>
            <w:r/>
          </w:p>
        </w:tc>
      </w:tr>
      <w:tr>
        <w:trPr>
          <w:cantSplit/>
        </w:trPr>
        <w:tc>
          <w:tcPr>
            <w:shd w:val="clear" w:color="auto" w:fill="1d4ed8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52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dark-primary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1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#1D4ED8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44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Botones primarios</w:t>
            </w:r>
            <w:r/>
          </w:p>
        </w:tc>
      </w:tr>
      <w:tr>
        <w:trPr>
          <w:cantSplit/>
        </w:trPr>
        <w:tc>
          <w:tcPr>
            <w:shd w:val="clear" w:color="auto" w:fill="2563eb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52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dark-primary-hover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1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#2563EB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44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Hover de botones primarios</w:t>
            </w:r>
            <w:r/>
          </w:p>
        </w:tc>
      </w:tr>
      <w:tr>
        <w:trPr>
          <w:cantSplit/>
        </w:trPr>
        <w:tc>
          <w:tcPr>
            <w:shd w:val="clear" w:color="auto" w:fill="93c5fd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left w:w="40" w:type="dxa"/>
              <w:top w:w="60" w:type="dxa"/>
              <w:right w:w="40" w:type="dxa"/>
              <w:bottom w:w="60" w:type="dxa"/>
            </w:tcMar>
            <w:tcW w:w="52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2"/>
                <w:szCs w:val="12"/>
              </w:rPr>
              <w:t xml:space="preserve"> 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dark-focus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1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#93C5FD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44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Indicador de foco visible</w:t>
            </w:r>
            <w:r/>
          </w:p>
        </w:tc>
      </w:tr>
    </w:tbl>
    <w:p>
      <w:pPr>
        <w:keepNext w:val="false"/>
        <w:keepLines w:val="false"/>
        <w:pBdr/>
        <w:spacing w:after="80" w:before="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</w:r>
      <w:r/>
    </w:p>
    <w:tbl>
      <w:tblPr>
        <w:tblW w:w="9360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>
          <w:cantSplit/>
        </w:trPr>
        <w:tc>
          <w:tcPr>
            <w:shd w:val="clear" w:color="auto" w:fill="eff6ff"/>
            <w:tcBorders>
              <w:top w:val="none" w:color="ffffff" w:sz="0" w:space="0"/>
              <w:left w:val="single" w:color="1d4ed8" w:sz="24" w:space="0"/>
              <w:bottom w:val="none" w:color="ffffff" w:sz="0" w:space="0"/>
              <w:right w:val="none" w:color="ffffff" w:sz="0" w:space="0"/>
            </w:tcBorders>
            <w:tcMar>
              <w:left w:w="180" w:type="dxa"/>
              <w:top w:w="130" w:type="dxa"/>
              <w:right w:w="180" w:type="dxa"/>
              <w:bottom w:w="130" w:type="dxa"/>
            </w:tcMar>
            <w:tcW w:w="93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1d4ed8"/>
                <w:sz w:val="19"/>
                <w:szCs w:val="19"/>
              </w:rPr>
              <w:t xml:space="preserve">Criterio de navegación  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9"/>
                <w:szCs w:val="19"/>
              </w:rPr>
              <w:t xml:space="preserve">las opciones inactivas deben mantener texto e iconos en #CBD5E1. No conviene utilizar el gris apagado #6B7280 para las opciones normales, porque su contraste puede ser insuficiente para algunos tamaños de texto.</w:t>
            </w:r>
            <w:r/>
          </w:p>
        </w:tc>
      </w:tr>
    </w:tbl>
    <w:p>
      <w:pPr>
        <w:pStyle w:val="917"/>
        <w:keepNext w:val="true"/>
        <w:pBdr/>
        <w:spacing/>
        <w:ind/>
        <w:rPr/>
      </w:pPr>
      <w:r>
        <w:rPr>
          <w:rFonts w:ascii="Aptos" w:hAnsi="Aptos" w:eastAsia="Aptos" w:cs="Aptos"/>
        </w:rPr>
        <w:t xml:space="preserve">6.3. Vista previa de los temas</w:t>
      </w:r>
      <w:r/>
    </w:p>
    <w:p>
      <w:pPr>
        <w:keepNext w:val="true"/>
        <w:keepLines w:val="false"/>
        <w:pBdr/>
        <w:spacing w:after="120" w:before="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Pantalla de ejemplo del módulo Recursos Humanos construida con los tokens de las tablas anteriores: encabezado, botón primario, tarjeta KPI, opción de navegación seleccionada y paleta base del tema.</w:t>
      </w:r>
      <w:r/>
    </w:p>
    <w:p>
      <w:pPr>
        <w:keepNext w:val="false"/>
        <w:pBdr/>
        <w:spacing w:after="40" w:before="6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800475"/>
                <wp:effectExtent l="0" t="0" r="0" b="0"/>
                <wp:docPr id="1" name="prev_claro.png" descr="Vista previa de interfaz" title="prev_clar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600" cy="3800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99.2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keepNext w:val="false"/>
        <w:keepLines w:val="false"/>
        <w:pBdr/>
        <w:spacing w:after="160" w:before="0"/>
        <w:ind/>
        <w:jc w:val="center"/>
        <w:rPr/>
      </w:pPr>
      <w:r>
        <w:rPr>
          <w:rFonts w:ascii="Aptos" w:hAnsi="Aptos" w:eastAsia="Aptos" w:cs="Aptos"/>
          <w:b w:val="0"/>
          <w:bCs w:val="0"/>
          <w:i/>
          <w:iCs/>
          <w:color w:val="6b7280"/>
          <w:sz w:val="16"/>
          <w:szCs w:val="16"/>
        </w:rPr>
        <w:t xml:space="preserve">Modo claro: fondo #F3F4F6, superficie #FFFFFF, borde #D1D5DB, texto #111827 y secundario #6B7280. Selección con fondo #DBEAFE y texto #1D4ED8.</w:t>
      </w:r>
      <w:r/>
    </w:p>
    <w:p>
      <w:pPr>
        <w:keepNext w:val="false"/>
        <w:pBdr/>
        <w:spacing w:after="40" w:before="6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800475"/>
                <wp:effectExtent l="0" t="0" r="0" b="0"/>
                <wp:docPr id="2" name="prev_oscuro.png" descr="Vista previa de interfaz" title="prev_oscur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600" cy="3800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99.2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keepNext w:val="false"/>
        <w:keepLines w:val="false"/>
        <w:pBdr/>
        <w:spacing w:after="160" w:before="0"/>
        <w:ind/>
        <w:jc w:val="center"/>
        <w:rPr/>
      </w:pPr>
      <w:r>
        <w:rPr>
          <w:rFonts w:ascii="Aptos" w:hAnsi="Aptos" w:eastAsia="Aptos" w:cs="Aptos"/>
          <w:b w:val="0"/>
          <w:bCs w:val="0"/>
          <w:i/>
          <w:iCs/>
          <w:color w:val="6b7280"/>
          <w:sz w:val="16"/>
          <w:szCs w:val="16"/>
        </w:rPr>
        <w:t xml:space="preserve">Modo oscuro: fondo #0B1120, menú #111827, tarjeta #1F2937, borde #374151 y texto #F9FAFB. Selección con fondo #1D4ED8 y texto blanco.</w:t>
      </w:r>
      <w:r/>
    </w:p>
    <w:p>
      <w:pPr>
        <w:pStyle w:val="917"/>
        <w:keepNext w:val="true"/>
        <w:pBdr/>
        <w:spacing/>
        <w:ind/>
        <w:rPr/>
      </w:pPr>
      <w:r>
        <w:rPr>
          <w:rFonts w:ascii="Aptos" w:hAnsi="Aptos" w:eastAsia="Aptos" w:cs="Aptos"/>
        </w:rPr>
        <w:t xml:space="preserve">6.4. Reglas de tema</w:t>
      </w:r>
      <w:r/>
    </w:p>
    <w:p>
      <w:pPr>
        <w:pStyle w:val="907"/>
        <w:numPr>
          <w:ilvl w:val="0"/>
          <w:numId w:val="2"/>
        </w:numPr>
        <w:pBdr/>
        <w:spacing w:after="7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Usar tokens semánticos como --app-bg, --surface, --text-primary y --border; evitar asignar valores HEX directamente en cada componente.</w:t>
      </w:r>
      <w:r/>
    </w:p>
    <w:p>
      <w:pPr>
        <w:pStyle w:val="907"/>
        <w:numPr>
          <w:ilvl w:val="0"/>
          <w:numId w:val="2"/>
        </w:numPr>
        <w:pBdr/>
        <w:spacing w:after="7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El modo oscuro no es una inversión automática: superficies, bordes, sombras y estados deben ajustarse de manera deliberada.</w:t>
      </w:r>
      <w:r/>
    </w:p>
    <w:p>
      <w:pPr>
        <w:pStyle w:val="907"/>
        <w:numPr>
          <w:ilvl w:val="0"/>
          <w:numId w:val="2"/>
        </w:numPr>
        <w:pBdr/>
        <w:spacing w:after="7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Conservar la jerarquía entre fondo de aplicación, menú, tarjetas y diálogos.</w:t>
      </w:r>
      <w:r/>
    </w:p>
    <w:p>
      <w:pPr>
        <w:pStyle w:val="907"/>
        <w:numPr>
          <w:ilvl w:val="0"/>
          <w:numId w:val="2"/>
        </w:numPr>
        <w:pBdr/>
        <w:spacing w:after="7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Preferir sombras discretas en modo claro y separación por luminancia y bordes en modo oscuro.</w:t>
      </w:r>
      <w:r/>
    </w:p>
    <w:p>
      <w:pPr>
        <w:pStyle w:val="907"/>
        <w:numPr>
          <w:ilvl w:val="0"/>
          <w:numId w:val="2"/>
        </w:numPr>
        <w:pBdr/>
        <w:spacing w:after="7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Persistir la preferencia del tema en la aplicación y respetar la preferencia del sistema cuando sea apropiado.</w:t>
      </w:r>
      <w:r/>
    </w:p>
    <w:p>
      <w:pPr>
        <w:pStyle w:val="916"/>
        <w:keepNext w:val="true"/>
        <w:pBdr/>
        <w:spacing/>
        <w:ind/>
        <w:rPr/>
      </w:pPr>
      <w:r>
        <w:rPr>
          <w:rFonts w:ascii="Aptos" w:hAnsi="Aptos" w:eastAsia="Aptos" w:cs="Aptos"/>
        </w:rPr>
        <w:t xml:space="preserve">7. Tipografía y jerarquía</w:t>
      </w:r>
      <w:r/>
    </w:p>
    <w:p>
      <w:pPr>
        <w:keepNext w:val="false"/>
        <w:keepLines w:val="false"/>
        <w:pBdr/>
        <w:spacing w:after="120" w:before="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Familia sugerida: una sans serif de interfaz disponible en los sistemas del usuario, por ejemplo Aptos, Inter o una alternativa sans-serif. Elegir una familia principal y mantenerla de forma consistente.</w:t>
      </w:r>
      <w:r/>
    </w:p>
    <w:tbl>
      <w:tblPr>
        <w:tblW w:w="936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ook w:val="04A0" w:firstRow="1" w:lastRow="0" w:firstColumn="1" w:lastColumn="0" w:noHBand="0" w:noVBand="1"/>
      </w:tblPr>
      <w:tblGrid>
        <w:gridCol w:w="2200"/>
        <w:gridCol w:w="2000"/>
        <w:gridCol w:w="1300"/>
        <w:gridCol w:w="3860"/>
      </w:tblGrid>
      <w:tr>
        <w:trPr>
          <w:cantSplit/>
          <w:tblHeader/>
        </w:trPr>
        <w:tc>
          <w:tcPr>
            <w:shd w:val="clear" w:color="auto" w:fill="111827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2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Estilo</w:t>
            </w:r>
            <w:r/>
          </w:p>
        </w:tc>
        <w:tc>
          <w:tcPr>
            <w:shd w:val="clear" w:color="auto" w:fill="111827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0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Tamaño orientativo</w:t>
            </w:r>
            <w:r/>
          </w:p>
        </w:tc>
        <w:tc>
          <w:tcPr>
            <w:shd w:val="clear" w:color="auto" w:fill="111827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Peso</w:t>
            </w:r>
            <w:r/>
          </w:p>
        </w:tc>
        <w:tc>
          <w:tcPr>
            <w:shd w:val="clear" w:color="auto" w:fill="111827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8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Uso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2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Título de página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0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28–32 px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600–700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8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Nombre de sección o página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2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Título de sección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0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20–24 px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600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8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Agrupar bloques de contenido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2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Título de tarjeta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0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16–18 px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600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8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Encabezados de componentes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2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Cifras KPI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0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32–40 px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700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8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Indicadores principales (por ejemplo, total de empleados)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2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Texto base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0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14–16 px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400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8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Contenido principal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2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Etiqueta / control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0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13–14 px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500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8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Labels, botones y filtros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2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Metadatos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0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12–13 px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400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8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Fechas y texto auxiliar; verificar legibilidad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2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Datos tabulares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0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13–14 px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400–500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8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Tablas y cifras</w:t>
            </w:r>
            <w:r/>
          </w:p>
        </w:tc>
      </w:tr>
    </w:tbl>
    <w:p>
      <w:pPr>
        <w:keepNext w:val="false"/>
        <w:keepLines w:val="false"/>
        <w:pBdr/>
        <w:spacing w:after="60" w:before="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</w:r>
      <w:r/>
    </w:p>
    <w:p>
      <w:pPr>
        <w:keepNext w:val="false"/>
        <w:keepLines w:val="false"/>
        <w:pBdr/>
        <w:spacing w:after="120" w:before="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Reglas: mantener una escala tipográfica limitada; usar interlineado de 1.4–1.6 para párrafos; no comunicar jerarquía únicamente con el color; permitir zoom del navegador y ampliación de texto sin pérdida de contenido.</w:t>
      </w:r>
      <w:r/>
    </w:p>
    <w:p>
      <w:pPr>
        <w:pStyle w:val="916"/>
        <w:keepNext w:val="true"/>
        <w:pBdr/>
        <w:spacing/>
        <w:ind/>
        <w:rPr/>
      </w:pPr>
      <w:r>
        <w:rPr>
          <w:rFonts w:ascii="Aptos" w:hAnsi="Aptos" w:eastAsia="Aptos" w:cs="Aptos"/>
        </w:rPr>
        <w:t xml:space="preserve">8. Componentes UI</w:t>
      </w:r>
      <w:r/>
    </w:p>
    <w:p>
      <w:pPr>
        <w:pStyle w:val="917"/>
        <w:keepNext w:val="true"/>
        <w:pBdr/>
        <w:spacing/>
        <w:ind/>
        <w:rPr/>
      </w:pPr>
      <w:r>
        <w:rPr>
          <w:rFonts w:ascii="Aptos" w:hAnsi="Aptos" w:eastAsia="Aptos" w:cs="Aptos"/>
        </w:rPr>
        <w:t xml:space="preserve">8.1. Botones</w:t>
      </w:r>
      <w:r/>
    </w:p>
    <w:tbl>
      <w:tblPr>
        <w:tblW w:w="936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ook w:val="04A0" w:firstRow="1" w:lastRow="0" w:firstColumn="1" w:lastColumn="0" w:noHBand="0" w:noVBand="1"/>
      </w:tblPr>
      <w:tblGrid>
        <w:gridCol w:w="1700"/>
        <w:gridCol w:w="5260"/>
        <w:gridCol w:w="2400"/>
      </w:tblGrid>
      <w:tr>
        <w:trPr>
          <w:cantSplit/>
          <w:tblHeader/>
        </w:trPr>
        <w:tc>
          <w:tcPr>
            <w:shd w:val="clear" w:color="auto" w:fill="111827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7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Tipo</w:t>
            </w:r>
            <w:r/>
          </w:p>
        </w:tc>
        <w:tc>
          <w:tcPr>
            <w:shd w:val="clear" w:color="auto" w:fill="111827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2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Apariencia</w:t>
            </w:r>
            <w:r/>
          </w:p>
        </w:tc>
        <w:tc>
          <w:tcPr>
            <w:shd w:val="clear" w:color="auto" w:fill="111827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4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Uso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7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Primario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2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Fondo #1D4ED8 con texto blanco (6.70:1); hover #1E40AF en claro y #2563EB en oscuro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4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Acción principal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7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Secundario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2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Claro: fondo blanco y borde #D1D5DB. Oscuro: fondo #1F2937 y borde #374151; texto principal del tema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4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Acción alternativa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7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Terciario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2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Sin fondo; texto o icono con área interactiva adecuada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4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Acción auxiliar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7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Destructivo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2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Fondo #DC2626 con texto blanco (4.83:1) o superficie roja tenue con texto de contraste validado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4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Eliminar o acción irreversible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7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Icon button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2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Icono centrado, nombre accesible y foco visible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4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Acciones compactas</w:t>
            </w:r>
            <w:r/>
          </w:p>
        </w:tc>
      </w:tr>
    </w:tbl>
    <w:p>
      <w:pPr>
        <w:pStyle w:val="917"/>
        <w:keepNext w:val="true"/>
        <w:pBdr/>
        <w:spacing/>
        <w:ind/>
        <w:rPr/>
      </w:pPr>
      <w:r>
        <w:rPr>
          <w:rFonts w:ascii="Aptos" w:hAnsi="Aptos" w:eastAsia="Aptos" w:cs="Aptos"/>
        </w:rPr>
        <w:t xml:space="preserve">8.2. Formularios</w:t>
      </w:r>
      <w:r/>
    </w:p>
    <w:p>
      <w:pPr>
        <w:pStyle w:val="907"/>
        <w:numPr>
          <w:ilvl w:val="0"/>
          <w:numId w:val="2"/>
        </w:numPr>
        <w:pBdr/>
        <w:spacing w:after="7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Cada campo debe tener una etiqueta persistente; el placeholder no sustituye al label.</w:t>
      </w:r>
      <w:r/>
    </w:p>
    <w:p>
      <w:pPr>
        <w:pStyle w:val="907"/>
        <w:numPr>
          <w:ilvl w:val="0"/>
          <w:numId w:val="2"/>
        </w:numPr>
        <w:pBdr/>
        <w:spacing w:after="7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Focus: borde o anillo visible (#1D4ED8 en claro, #93C5FD en oscuro) que no dependa únicamente del color.</w:t>
      </w:r>
      <w:r/>
    </w:p>
    <w:p>
      <w:pPr>
        <w:pStyle w:val="907"/>
        <w:numPr>
          <w:ilvl w:val="0"/>
          <w:numId w:val="2"/>
        </w:numPr>
        <w:pBdr/>
        <w:spacing w:after="7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Borde del campo: debe distinguirse del fondo con al menos 3:1; los bordes de tarjeta #D1D5DB y #374151 no alcanzan ese umbral, por lo que los campos usan #6B7280 (ver sección 10).</w:t>
      </w:r>
      <w:r/>
    </w:p>
    <w:p>
      <w:pPr>
        <w:pStyle w:val="907"/>
        <w:numPr>
          <w:ilvl w:val="0"/>
          <w:numId w:val="2"/>
        </w:numPr>
        <w:pBdr/>
        <w:spacing w:after="7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Error: texto que explique qué ocurrió y cómo corregirlo, asociado al campo y con icono además del color.</w:t>
      </w:r>
      <w:r/>
    </w:p>
    <w:p>
      <w:pPr>
        <w:pStyle w:val="907"/>
        <w:numPr>
          <w:ilvl w:val="0"/>
          <w:numId w:val="2"/>
        </w:numPr>
        <w:pBdr/>
        <w:spacing w:after="7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Disabled y read-only deben distinguirse de un campo editable.</w:t>
      </w:r>
      <w:r/>
    </w:p>
    <w:p>
      <w:pPr>
        <w:pStyle w:val="907"/>
        <w:numPr>
          <w:ilvl w:val="0"/>
          <w:numId w:val="2"/>
        </w:numPr>
        <w:pBdr/>
        <w:spacing w:after="7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Los mensajes de validación aparecen cerca del control afectado.</w:t>
      </w:r>
      <w:r/>
    </w:p>
    <w:p>
      <w:pPr>
        <w:pStyle w:val="917"/>
        <w:keepNext w:val="true"/>
        <w:pBdr/>
        <w:spacing/>
        <w:ind/>
        <w:rPr/>
      </w:pPr>
      <w:r>
        <w:rPr>
          <w:rFonts w:ascii="Aptos" w:hAnsi="Aptos" w:eastAsia="Aptos" w:cs="Aptos"/>
        </w:rPr>
        <w:t xml:space="preserve">8.3. Tarjetas, tablas y navegación</w:t>
      </w:r>
      <w:r/>
    </w:p>
    <w:p>
      <w:pPr>
        <w:pStyle w:val="907"/>
        <w:numPr>
          <w:ilvl w:val="0"/>
          <w:numId w:val="2"/>
        </w:numPr>
        <w:pBdr/>
        <w:spacing w:after="70"/>
        <w:ind/>
        <w:rPr/>
      </w:pPr>
      <w:r>
        <w:rPr>
          <w:rFonts w:ascii="Aptos" w:hAnsi="Aptos" w:eastAsia="Aptos" w:cs="Aptos"/>
          <w:b/>
          <w:bCs/>
          <w:i w:val="0"/>
          <w:iCs w:val="0"/>
          <w:color w:val="111827"/>
          <w:sz w:val="20"/>
          <w:szCs w:val="20"/>
        </w:rPr>
        <w:t xml:space="preserve">Tarjetas: </w:t>
      </w: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agrupan información relacionada y conservan el mismo radio, padding y jerarquía de título; las tarjetas KPI muestran título, cifra principal y etiqueta secundaria.</w:t>
      </w:r>
      <w:r/>
    </w:p>
    <w:p>
      <w:pPr>
        <w:pStyle w:val="907"/>
        <w:numPr>
          <w:ilvl w:val="0"/>
          <w:numId w:val="2"/>
        </w:numPr>
        <w:pBdr/>
        <w:spacing w:after="70"/>
        <w:ind/>
        <w:rPr/>
      </w:pPr>
      <w:r>
        <w:rPr>
          <w:rFonts w:ascii="Aptos" w:hAnsi="Aptos" w:eastAsia="Aptos" w:cs="Aptos"/>
          <w:b/>
          <w:bCs/>
          <w:i w:val="0"/>
          <w:iCs w:val="0"/>
          <w:color w:val="111827"/>
          <w:sz w:val="20"/>
          <w:szCs w:val="20"/>
        </w:rPr>
        <w:t xml:space="preserve">Tablas: </w:t>
      </w: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encabezados distinguibles, alineación consistente, filas alternas con la superficie alterna, divisores discretos y estados vacío, loading y error.</w:t>
      </w:r>
      <w:r/>
    </w:p>
    <w:p>
      <w:pPr>
        <w:pStyle w:val="907"/>
        <w:numPr>
          <w:ilvl w:val="0"/>
          <w:numId w:val="2"/>
        </w:numPr>
        <w:pBdr/>
        <w:spacing w:after="70"/>
        <w:ind/>
        <w:rPr/>
      </w:pPr>
      <w:r>
        <w:rPr>
          <w:rFonts w:ascii="Aptos" w:hAnsi="Aptos" w:eastAsia="Aptos" w:cs="Aptos"/>
          <w:b/>
          <w:bCs/>
          <w:i w:val="0"/>
          <w:iCs w:val="0"/>
          <w:color w:val="111827"/>
          <w:sz w:val="20"/>
          <w:szCs w:val="20"/>
        </w:rPr>
        <w:t xml:space="preserve">Menú lateral: </w:t>
      </w: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estados normal, hover, activo y deshabilitado; opciones inactivas en #475569 (claro) y #CBD5E1 (oscuro); la opción activa añade un indicador además del color.</w:t>
      </w:r>
      <w:r/>
    </w:p>
    <w:p>
      <w:pPr>
        <w:pStyle w:val="907"/>
        <w:numPr>
          <w:ilvl w:val="0"/>
          <w:numId w:val="2"/>
        </w:numPr>
        <w:pBdr/>
        <w:spacing w:after="70"/>
        <w:ind/>
        <w:rPr/>
      </w:pPr>
      <w:r>
        <w:rPr>
          <w:rFonts w:ascii="Aptos" w:hAnsi="Aptos" w:eastAsia="Aptos" w:cs="Aptos"/>
          <w:b/>
          <w:bCs/>
          <w:i w:val="0"/>
          <w:iCs w:val="0"/>
          <w:color w:val="111827"/>
          <w:sz w:val="20"/>
          <w:szCs w:val="20"/>
        </w:rPr>
        <w:t xml:space="preserve">Barra superior: </w:t>
      </w: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acciones globales, cuenta y notificaciones; evitar sobrecargarla con acciones de cada módulo.</w:t>
      </w:r>
      <w:r/>
    </w:p>
    <w:p>
      <w:pPr>
        <w:pStyle w:val="907"/>
        <w:numPr>
          <w:ilvl w:val="0"/>
          <w:numId w:val="2"/>
        </w:numPr>
        <w:pBdr/>
        <w:spacing w:after="70"/>
        <w:ind/>
        <w:rPr/>
      </w:pPr>
      <w:r>
        <w:rPr>
          <w:rFonts w:ascii="Aptos" w:hAnsi="Aptos" w:eastAsia="Aptos" w:cs="Aptos"/>
          <w:b/>
          <w:bCs/>
          <w:i w:val="0"/>
          <w:iCs w:val="0"/>
          <w:color w:val="111827"/>
          <w:sz w:val="20"/>
          <w:szCs w:val="20"/>
        </w:rPr>
        <w:t xml:space="preserve">Diálogos: </w:t>
      </w: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título claro, acción principal identificable, salida accesible con teclado y foco gestionado.</w:t>
      </w:r>
      <w:r/>
    </w:p>
    <w:p>
      <w:pPr>
        <w:pStyle w:val="907"/>
        <w:numPr>
          <w:ilvl w:val="0"/>
          <w:numId w:val="2"/>
        </w:numPr>
        <w:pBdr/>
        <w:spacing w:after="70"/>
        <w:ind/>
        <w:rPr/>
      </w:pPr>
      <w:r>
        <w:rPr>
          <w:rFonts w:ascii="Aptos" w:hAnsi="Aptos" w:eastAsia="Aptos" w:cs="Aptos"/>
          <w:b/>
          <w:bCs/>
          <w:i w:val="0"/>
          <w:iCs w:val="0"/>
          <w:color w:val="111827"/>
          <w:sz w:val="20"/>
          <w:szCs w:val="20"/>
        </w:rPr>
        <w:t xml:space="preserve">Tooltips: </w:t>
      </w: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complementar controles iconográficos, sin ser el único lugar donde exista información esencial.</w:t>
      </w:r>
      <w:r/>
    </w:p>
    <w:p>
      <w:pPr>
        <w:pStyle w:val="917"/>
        <w:keepNext w:val="true"/>
        <w:pBdr/>
        <w:spacing/>
        <w:ind/>
        <w:rPr/>
      </w:pPr>
      <w:r>
        <w:rPr>
          <w:rFonts w:ascii="Aptos" w:hAnsi="Aptos" w:eastAsia="Aptos" w:cs="Aptos"/>
        </w:rPr>
        <w:t xml:space="preserve">8.4. Badges y alertas</w:t>
      </w:r>
      <w:r/>
    </w:p>
    <w:tbl>
      <w:tblPr>
        <w:tblW w:w="936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ook w:val="04A0" w:firstRow="1" w:lastRow="0" w:firstColumn="1" w:lastColumn="0" w:noHBand="0" w:noVBand="1"/>
      </w:tblPr>
      <w:tblGrid>
        <w:gridCol w:w="1960"/>
        <w:gridCol w:w="1850"/>
        <w:gridCol w:w="1850"/>
        <w:gridCol w:w="1850"/>
        <w:gridCol w:w="1850"/>
      </w:tblGrid>
      <w:tr>
        <w:trPr>
          <w:cantSplit/>
          <w:tblHeader/>
        </w:trPr>
        <w:tc>
          <w:tcPr>
            <w:shd w:val="clear" w:color="auto" w:fill="111827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9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Estado</w:t>
            </w:r>
            <w:r/>
          </w:p>
        </w:tc>
        <w:tc>
          <w:tcPr>
            <w:shd w:val="clear" w:color="auto" w:fill="111827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85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Fondo claro</w:t>
            </w:r>
            <w:r/>
          </w:p>
        </w:tc>
        <w:tc>
          <w:tcPr>
            <w:shd w:val="clear" w:color="auto" w:fill="111827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85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Texto claro</w:t>
            </w:r>
            <w:r/>
          </w:p>
        </w:tc>
        <w:tc>
          <w:tcPr>
            <w:shd w:val="clear" w:color="auto" w:fill="111827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85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Fondo oscuro</w:t>
            </w:r>
            <w:r/>
          </w:p>
        </w:tc>
        <w:tc>
          <w:tcPr>
            <w:shd w:val="clear" w:color="auto" w:fill="111827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85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Texto oscuro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9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Éxito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85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#DCFCE7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85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#166534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85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#14532D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85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#BBF7D0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9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Advertencia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85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#FEF3C7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85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#92400E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85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#78350F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85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#FDE68A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9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Error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85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#FEE2E2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85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#991B1B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85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#7F1D1D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85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#FECACA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96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Información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85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#CFFAFE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85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#155E75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85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#164E63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85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#A5F3FC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9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Selección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85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#DBEAFE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85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#1D4ED8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85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#1D4ED8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85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#FFFFFF</w:t>
            </w:r>
            <w:r/>
          </w:p>
        </w:tc>
      </w:tr>
    </w:tbl>
    <w:p>
      <w:pPr>
        <w:keepNext w:val="false"/>
        <w:keepLines w:val="false"/>
        <w:pBdr/>
        <w:spacing w:after="60" w:before="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</w:r>
      <w:r/>
    </w:p>
    <w:p>
      <w:pPr>
        <w:keepNext w:val="true"/>
        <w:keepLines w:val="false"/>
        <w:pBdr/>
        <w:spacing w:after="60" w:before="160"/>
        <w:ind/>
        <w:rPr/>
      </w:pPr>
      <w:r>
        <w:rPr>
          <w:rFonts w:ascii="Aptos" w:hAnsi="Aptos" w:eastAsia="Aptos" w:cs="Aptos"/>
          <w:b/>
          <w:bCs/>
          <w:i w:val="0"/>
          <w:iCs w:val="0"/>
          <w:color w:val="374151"/>
          <w:sz w:val="22"/>
          <w:szCs w:val="22"/>
        </w:rPr>
        <w:t xml:space="preserve">Vista previa de badges</w:t>
      </w:r>
      <w:r/>
    </w:p>
    <w:tbl>
      <w:tblPr>
        <w:tblW w:w="9360" w:type="dxa"/>
        <w:tblBorders>
          <w:top w:val="single" w:color="ffffff" w:sz="24" w:space="0"/>
          <w:left w:val="single" w:color="ffffff" w:sz="24" w:space="0"/>
          <w:bottom w:val="single" w:color="ffffff" w:sz="24" w:space="0"/>
          <w:right w:val="single" w:color="ffffff" w:sz="24" w:space="0"/>
          <w:insideH w:val="single" w:color="ffffff" w:sz="24" w:space="0"/>
          <w:insideV w:val="single" w:color="ffffff" w:sz="24" w:space="0"/>
        </w:tblBorders>
        <w:tblLook w:val="04A0" w:firstRow="1" w:lastRow="0" w:firstColumn="1" w:lastColumn="0" w:noHBand="0" w:noVBand="1"/>
      </w:tblPr>
      <w:tblGrid>
        <w:gridCol w:w="1260"/>
        <w:gridCol w:w="1620"/>
        <w:gridCol w:w="1620"/>
        <w:gridCol w:w="1620"/>
        <w:gridCol w:w="1620"/>
        <w:gridCol w:w="1620"/>
      </w:tblGrid>
      <w:tr>
        <w:trPr>
          <w:cantSplit/>
          <w:trHeight w:val="520"/>
        </w:trPr>
        <w:tc>
          <w:tcPr>
            <w:shd w:val="clear" w:color="auto" w:fill="f9fafb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2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111827"/>
                <w:sz w:val="16"/>
                <w:szCs w:val="16"/>
              </w:rPr>
              <w:t xml:space="preserve">Tema claro</w:t>
            </w:r>
            <w:r/>
          </w:p>
        </w:tc>
        <w:tc>
          <w:tcPr>
            <w:shd w:val="clear" w:color="auto" w:fill="dcfce7"/>
            <w:tcBorders/>
            <w:tcMar>
              <w:left w:w="60" w:type="dxa"/>
              <w:top w:w="130" w:type="dxa"/>
              <w:right w:w="60" w:type="dxa"/>
              <w:bottom w:w="130" w:type="dxa"/>
            </w:tcMar>
            <w:tcW w:w="162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jc w:val="center"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166534"/>
                <w:sz w:val="18"/>
                <w:szCs w:val="18"/>
              </w:rPr>
              <w:t xml:space="preserve">Éxito</w:t>
            </w:r>
            <w:r/>
          </w:p>
        </w:tc>
        <w:tc>
          <w:tcPr>
            <w:shd w:val="clear" w:color="auto" w:fill="fef3c7"/>
            <w:tcBorders/>
            <w:tcMar>
              <w:left w:w="60" w:type="dxa"/>
              <w:top w:w="130" w:type="dxa"/>
              <w:right w:w="60" w:type="dxa"/>
              <w:bottom w:w="130" w:type="dxa"/>
            </w:tcMar>
            <w:tcW w:w="162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jc w:val="center"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92400e"/>
                <w:sz w:val="18"/>
                <w:szCs w:val="18"/>
              </w:rPr>
              <w:t xml:space="preserve">Advertencia</w:t>
            </w:r>
            <w:r/>
          </w:p>
        </w:tc>
        <w:tc>
          <w:tcPr>
            <w:shd w:val="clear" w:color="auto" w:fill="fee2e2"/>
            <w:tcBorders/>
            <w:tcMar>
              <w:left w:w="60" w:type="dxa"/>
              <w:top w:w="130" w:type="dxa"/>
              <w:right w:w="60" w:type="dxa"/>
              <w:bottom w:w="130" w:type="dxa"/>
            </w:tcMar>
            <w:tcW w:w="162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jc w:val="center"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991b1b"/>
                <w:sz w:val="18"/>
                <w:szCs w:val="18"/>
              </w:rPr>
              <w:t xml:space="preserve">Error</w:t>
            </w:r>
            <w:r/>
          </w:p>
        </w:tc>
        <w:tc>
          <w:tcPr>
            <w:shd w:val="clear" w:color="auto" w:fill="cffafe"/>
            <w:tcBorders/>
            <w:tcMar>
              <w:left w:w="60" w:type="dxa"/>
              <w:top w:w="130" w:type="dxa"/>
              <w:right w:w="60" w:type="dxa"/>
              <w:bottom w:w="130" w:type="dxa"/>
            </w:tcMar>
            <w:tcW w:w="162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jc w:val="center"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1e40af"/>
                <w:sz w:val="18"/>
                <w:szCs w:val="18"/>
              </w:rPr>
              <w:t xml:space="preserve">Información</w:t>
            </w:r>
            <w:r/>
          </w:p>
        </w:tc>
        <w:tc>
          <w:tcPr>
            <w:shd w:val="clear" w:color="auto" w:fill="dbeafe"/>
            <w:tcBorders/>
            <w:tcMar>
              <w:left w:w="60" w:type="dxa"/>
              <w:top w:w="130" w:type="dxa"/>
              <w:right w:w="60" w:type="dxa"/>
              <w:bottom w:w="130" w:type="dxa"/>
            </w:tcMar>
            <w:tcW w:w="162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jc w:val="center"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1d4ed8"/>
                <w:sz w:val="18"/>
                <w:szCs w:val="18"/>
              </w:rPr>
              <w:t xml:space="preserve">Selección</w:t>
            </w:r>
            <w:r/>
          </w:p>
        </w:tc>
      </w:tr>
      <w:tr>
        <w:trPr>
          <w:cantSplit/>
          <w:trHeight w:val="520"/>
        </w:trPr>
        <w:tc>
          <w:tcPr>
            <w:shd w:val="clear" w:color="auto" w:fill="111827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2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f9fafb"/>
                <w:sz w:val="16"/>
                <w:szCs w:val="16"/>
              </w:rPr>
              <w:t xml:space="preserve">Tema oscuro</w:t>
            </w:r>
            <w:r/>
          </w:p>
        </w:tc>
        <w:tc>
          <w:tcPr>
            <w:shd w:val="clear" w:color="auto" w:fill="14532d"/>
            <w:tcBorders/>
            <w:tcMar>
              <w:left w:w="60" w:type="dxa"/>
              <w:top w:w="130" w:type="dxa"/>
              <w:right w:w="60" w:type="dxa"/>
              <w:bottom w:w="130" w:type="dxa"/>
            </w:tcMar>
            <w:tcW w:w="162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jc w:val="center"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bbf7d0"/>
                <w:sz w:val="18"/>
                <w:szCs w:val="18"/>
              </w:rPr>
              <w:t xml:space="preserve">Éxito</w:t>
            </w:r>
            <w:r/>
          </w:p>
        </w:tc>
        <w:tc>
          <w:tcPr>
            <w:shd w:val="clear" w:color="auto" w:fill="78350f"/>
            <w:tcBorders/>
            <w:tcMar>
              <w:left w:w="60" w:type="dxa"/>
              <w:top w:w="130" w:type="dxa"/>
              <w:right w:w="60" w:type="dxa"/>
              <w:bottom w:w="130" w:type="dxa"/>
            </w:tcMar>
            <w:tcW w:w="162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jc w:val="center"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fde68a"/>
                <w:sz w:val="18"/>
                <w:szCs w:val="18"/>
              </w:rPr>
              <w:t xml:space="preserve">Advertencia</w:t>
            </w:r>
            <w:r/>
          </w:p>
        </w:tc>
        <w:tc>
          <w:tcPr>
            <w:shd w:val="clear" w:color="auto" w:fill="7f1d1d"/>
            <w:tcBorders/>
            <w:tcMar>
              <w:left w:w="60" w:type="dxa"/>
              <w:top w:w="130" w:type="dxa"/>
              <w:right w:w="60" w:type="dxa"/>
              <w:bottom w:w="130" w:type="dxa"/>
            </w:tcMar>
            <w:tcW w:w="162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jc w:val="center"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fecaca"/>
                <w:sz w:val="18"/>
                <w:szCs w:val="18"/>
              </w:rPr>
              <w:t xml:space="preserve">Error</w:t>
            </w:r>
            <w:r/>
          </w:p>
        </w:tc>
        <w:tc>
          <w:tcPr>
            <w:shd w:val="clear" w:color="auto" w:fill="164e63"/>
            <w:tcBorders/>
            <w:tcMar>
              <w:left w:w="60" w:type="dxa"/>
              <w:top w:w="130" w:type="dxa"/>
              <w:right w:w="60" w:type="dxa"/>
              <w:bottom w:w="130" w:type="dxa"/>
            </w:tcMar>
            <w:tcW w:w="162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jc w:val="center"/>
              <w:rPr>
                <w:color w:val="ffffff"/>
              </w:rPr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ffffff"/>
                <w:sz w:val="18"/>
                <w:szCs w:val="18"/>
              </w:rPr>
              <w:t xml:space="preserve">Información</w:t>
            </w:r>
            <w:r>
              <w:rPr>
                <w:color w:val="ffffff"/>
              </w:rPr>
            </w:r>
          </w:p>
        </w:tc>
        <w:tc>
          <w:tcPr>
            <w:shd w:val="clear" w:color="auto" w:fill="1d4ed8"/>
            <w:tcBorders/>
            <w:tcMar>
              <w:left w:w="60" w:type="dxa"/>
              <w:top w:w="130" w:type="dxa"/>
              <w:right w:w="60" w:type="dxa"/>
              <w:bottom w:w="130" w:type="dxa"/>
            </w:tcMar>
            <w:tcW w:w="162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jc w:val="center"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ffffff"/>
                <w:sz w:val="18"/>
                <w:szCs w:val="18"/>
              </w:rPr>
              <w:t xml:space="preserve">Selección</w:t>
            </w:r>
            <w:r/>
          </w:p>
        </w:tc>
      </w:tr>
    </w:tbl>
    <w:p>
      <w:pPr>
        <w:keepNext w:val="false"/>
        <w:keepLines w:val="false"/>
        <w:pBdr/>
        <w:spacing w:after="160" w:before="0"/>
        <w:ind/>
        <w:jc w:val="center"/>
        <w:rPr/>
      </w:pPr>
      <w:r>
        <w:rPr>
          <w:rFonts w:ascii="Aptos" w:hAnsi="Aptos" w:eastAsia="Aptos" w:cs="Aptos"/>
          <w:b w:val="0"/>
          <w:bCs w:val="0"/>
          <w:i/>
          <w:iCs/>
          <w:color w:val="6b7280"/>
          <w:sz w:val="16"/>
          <w:szCs w:val="16"/>
        </w:rPr>
        <w:t xml:space="preserve">Fondo tenue con texto de contraste validado en cada tema (secciones 5 y 10).</w:t>
      </w:r>
      <w:r/>
    </w:p>
    <w:p>
      <w:pPr>
        <w:pStyle w:val="917"/>
        <w:keepNext w:val="true"/>
        <w:pBdr/>
        <w:spacing/>
        <w:ind/>
        <w:rPr/>
      </w:pPr>
      <w:r>
        <w:rPr>
          <w:rFonts w:ascii="Aptos" w:hAnsi="Aptos" w:eastAsia="Aptos" w:cs="Aptos"/>
        </w:rPr>
        <w:t xml:space="preserve">8.5. Guía de aplicación por componente</w:t>
      </w:r>
      <w:r/>
    </w:p>
    <w:tbl>
      <w:tblPr>
        <w:tblW w:w="936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ook w:val="04A0" w:firstRow="1" w:lastRow="0" w:firstColumn="1" w:lastColumn="0" w:noHBand="0" w:noVBand="1"/>
      </w:tblPr>
      <w:tblGrid>
        <w:gridCol w:w="3000"/>
        <w:gridCol w:w="3180"/>
        <w:gridCol w:w="3180"/>
      </w:tblGrid>
      <w:tr>
        <w:trPr>
          <w:cantSplit/>
          <w:tblHeader/>
        </w:trPr>
        <w:tc>
          <w:tcPr>
            <w:shd w:val="clear" w:color="auto" w:fill="111827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0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Componente</w:t>
            </w:r>
            <w:r/>
          </w:p>
        </w:tc>
        <w:tc>
          <w:tcPr>
            <w:shd w:val="clear" w:color="auto" w:fill="111827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18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Modo claro</w:t>
            </w:r>
            <w:r/>
          </w:p>
        </w:tc>
        <w:tc>
          <w:tcPr>
            <w:shd w:val="clear" w:color="auto" w:fill="111827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18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Modo oscuro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0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Barra superior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18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Blanco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18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#111827</w:t>
            </w:r>
            <w:r/>
          </w:p>
        </w:tc>
      </w:tr>
      <w:tr>
        <w:trPr>
          <w:cantSplit/>
        </w:trPr>
        <w:tc>
          <w:tcPr>
            <w:shd w:val="clear" w:color="auto" w:fill="f9fafb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0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Menú lateral</w:t>
            </w:r>
            <w:r/>
          </w:p>
        </w:tc>
        <w:tc>
          <w:tcPr>
            <w:shd w:val="clear" w:color="auto" w:fill="f9fafb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18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Blanco</w:t>
            </w:r>
            <w:r/>
          </w:p>
        </w:tc>
        <w:tc>
          <w:tcPr>
            <w:shd w:val="clear" w:color="auto" w:fill="f9fafb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18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#111827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0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Elemento de menú activo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18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Fondo #DBEAFE, texto azul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18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Fondo azul #1D4ED8, texto blanco</w:t>
            </w:r>
            <w:r/>
          </w:p>
        </w:tc>
      </w:tr>
      <w:tr>
        <w:trPr>
          <w:cantSplit/>
        </w:trPr>
        <w:tc>
          <w:tcPr>
            <w:shd w:val="clear" w:color="auto" w:fill="f9fafb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0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Elementos inactivos</w:t>
            </w:r>
            <w:r/>
          </w:p>
        </w:tc>
        <w:tc>
          <w:tcPr>
            <w:shd w:val="clear" w:color="auto" w:fill="f9fafb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18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Texto #475569</w:t>
            </w:r>
            <w:r/>
          </w:p>
        </w:tc>
        <w:tc>
          <w:tcPr>
            <w:shd w:val="clear" w:color="auto" w:fill="f9fafb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18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Texto #CBD5E1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0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Botón principal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18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Azul #1D4ED8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18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Azul #1D4ED8</w:t>
            </w:r>
            <w:r/>
          </w:p>
        </w:tc>
      </w:tr>
      <w:tr>
        <w:trPr>
          <w:cantSplit/>
        </w:trPr>
        <w:tc>
          <w:tcPr>
            <w:shd w:val="clear" w:color="auto" w:fill="f9fafb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0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Botón secundario</w:t>
            </w:r>
            <w:r/>
          </w:p>
        </w:tc>
        <w:tc>
          <w:tcPr>
            <w:shd w:val="clear" w:color="auto" w:fill="f9fafb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18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Fondo blanco, borde #D1D5DB</w:t>
            </w:r>
            <w:r/>
          </w:p>
        </w:tc>
        <w:tc>
          <w:tcPr>
            <w:shd w:val="clear" w:color="auto" w:fill="f9fafb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18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Fondo #1F2937, borde #374151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0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Tarjetas KPI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18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Blanco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18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#1F2937</w:t>
            </w:r>
            <w:r/>
          </w:p>
        </w:tc>
      </w:tr>
      <w:tr>
        <w:trPr>
          <w:cantSplit/>
        </w:trPr>
        <w:tc>
          <w:tcPr>
            <w:shd w:val="clear" w:color="auto" w:fill="f9fafb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0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Cifras principales</w:t>
            </w:r>
            <w:r/>
          </w:p>
        </w:tc>
        <w:tc>
          <w:tcPr>
            <w:shd w:val="clear" w:color="auto" w:fill="f9fafb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18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#111827</w:t>
            </w:r>
            <w:r/>
          </w:p>
        </w:tc>
        <w:tc>
          <w:tcPr>
            <w:shd w:val="clear" w:color="auto" w:fill="f9fafb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18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#F9FAFB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0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Etiquetas secundarias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18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#6B7280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18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#9CA3AF</w:t>
            </w:r>
            <w:r/>
          </w:p>
        </w:tc>
      </w:tr>
      <w:tr>
        <w:trPr>
          <w:cantSplit/>
        </w:trPr>
        <w:tc>
          <w:tcPr>
            <w:shd w:val="clear" w:color="auto" w:fill="f9fafb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0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Bordes</w:t>
            </w:r>
            <w:r/>
          </w:p>
        </w:tc>
        <w:tc>
          <w:tcPr>
            <w:shd w:val="clear" w:color="auto" w:fill="f9fafb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18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#D1D5DB</w:t>
            </w:r>
            <w:r/>
          </w:p>
        </w:tc>
        <w:tc>
          <w:tcPr>
            <w:shd w:val="clear" w:color="auto" w:fill="f9fafb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18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#374151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0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Badge de éxito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18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#DCFCE7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18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#14532D</w:t>
            </w:r>
            <w:r/>
          </w:p>
        </w:tc>
      </w:tr>
      <w:tr>
        <w:trPr>
          <w:cantSplit/>
        </w:trPr>
        <w:tc>
          <w:tcPr>
            <w:shd w:val="clear" w:color="auto" w:fill="f9fafb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0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Badge de advertencia</w:t>
            </w:r>
            <w:r/>
          </w:p>
        </w:tc>
        <w:tc>
          <w:tcPr>
            <w:shd w:val="clear" w:color="auto" w:fill="f9fafb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18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#FEF3C7</w:t>
            </w:r>
            <w:r/>
          </w:p>
        </w:tc>
        <w:tc>
          <w:tcPr>
            <w:shd w:val="clear" w:color="auto" w:fill="f9fafb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18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#78350F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0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Badge de error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18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#FEE2E2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18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#7F1D1D</w:t>
            </w:r>
            <w:r/>
          </w:p>
        </w:tc>
      </w:tr>
      <w:tr>
        <w:trPr>
          <w:cantSplit/>
        </w:trPr>
        <w:tc>
          <w:tcPr>
            <w:shd w:val="clear" w:color="auto" w:fill="f9fafb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0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Badge informativo</w:t>
            </w:r>
            <w:r/>
          </w:p>
        </w:tc>
        <w:tc>
          <w:tcPr>
            <w:shd w:val="clear" w:color="auto" w:fill="f9fafb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18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#CFFAFE</w:t>
            </w:r>
            <w:r/>
          </w:p>
        </w:tc>
        <w:tc>
          <w:tcPr>
            <w:shd w:val="clear" w:color="auto" w:fill="f9fafb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18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#164E63</w:t>
            </w:r>
            <w:r/>
          </w:p>
        </w:tc>
      </w:tr>
    </w:tbl>
    <w:p>
      <w:pPr>
        <w:pStyle w:val="916"/>
        <w:keepNext w:val="true"/>
        <w:pBdr/>
        <w:spacing/>
        <w:ind/>
        <w:rPr/>
      </w:pPr>
      <w:r>
        <w:rPr>
          <w:rFonts w:ascii="Aptos" w:hAnsi="Aptos" w:eastAsia="Aptos" w:cs="Aptos"/>
        </w:rPr>
        <w:t xml:space="preserve">9. Layout, espaciado y navegación</w:t>
      </w:r>
      <w:r/>
    </w:p>
    <w:p>
      <w:pPr>
        <w:pStyle w:val="917"/>
        <w:keepNext w:val="true"/>
        <w:pBdr/>
        <w:spacing/>
        <w:ind/>
        <w:rPr/>
      </w:pPr>
      <w:r>
        <w:rPr>
          <w:rFonts w:ascii="Aptos" w:hAnsi="Aptos" w:eastAsia="Aptos" w:cs="Aptos"/>
        </w:rPr>
        <w:t xml:space="preserve">9.1. Sistema de espaciado</w:t>
      </w:r>
      <w:r/>
    </w:p>
    <w:tbl>
      <w:tblPr>
        <w:tblW w:w="936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ook w:val="04A0" w:firstRow="1" w:lastRow="0" w:firstColumn="1" w:lastColumn="0" w:noHBand="0" w:noVBand="1"/>
      </w:tblPr>
      <w:tblGrid>
        <w:gridCol w:w="2200"/>
        <w:gridCol w:w="1800"/>
        <w:gridCol w:w="5360"/>
      </w:tblGrid>
      <w:tr>
        <w:trPr>
          <w:cantSplit/>
          <w:tblHeader/>
        </w:trPr>
        <w:tc>
          <w:tcPr>
            <w:shd w:val="clear" w:color="auto" w:fill="111827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2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Token</w:t>
            </w:r>
            <w:r/>
          </w:p>
        </w:tc>
        <w:tc>
          <w:tcPr>
            <w:shd w:val="clear" w:color="auto" w:fill="111827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8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Valor</w:t>
            </w:r>
            <w:r/>
          </w:p>
        </w:tc>
        <w:tc>
          <w:tcPr>
            <w:shd w:val="clear" w:color="auto" w:fill="111827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3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Uso típico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2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space-1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8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4 px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3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Separación mínima entre icono y texto compacto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2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space-2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8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8 px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3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Separación entre elementos relacionados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2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space-3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8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12 px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3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Padding compacto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2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space-4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8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16 px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3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Padding estándar de controles y tarjetas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2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space-6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8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24 px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3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Separación entre bloques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2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space-8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8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32 px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3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Separación entre secciones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22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space-12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8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48 px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3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Separación amplia en páginas</w:t>
            </w:r>
            <w:r/>
          </w:p>
        </w:tc>
      </w:tr>
    </w:tbl>
    <w:p>
      <w:pPr>
        <w:pStyle w:val="917"/>
        <w:keepNext w:val="true"/>
        <w:pBdr/>
        <w:spacing/>
        <w:ind/>
        <w:rPr/>
      </w:pPr>
      <w:r>
        <w:rPr>
          <w:rFonts w:ascii="Aptos" w:hAnsi="Aptos" w:eastAsia="Aptos" w:cs="Aptos"/>
        </w:rPr>
        <w:t xml:space="preserve">9.2. Reglas de composición</w:t>
      </w:r>
      <w:r/>
    </w:p>
    <w:p>
      <w:pPr>
        <w:pStyle w:val="907"/>
        <w:numPr>
          <w:ilvl w:val="0"/>
          <w:numId w:val="2"/>
        </w:numPr>
        <w:pBdr/>
        <w:spacing w:after="7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Usar una cuadrícula coherente y alinear títulos, filtros, tarjetas y tablas.</w:t>
      </w:r>
      <w:r/>
    </w:p>
    <w:p>
      <w:pPr>
        <w:pStyle w:val="907"/>
        <w:numPr>
          <w:ilvl w:val="0"/>
          <w:numId w:val="2"/>
        </w:numPr>
        <w:pBdr/>
        <w:spacing w:after="7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En escritorio, mantener menú lateral y barra superior consistentes entre módulos.</w:t>
      </w:r>
      <w:r/>
    </w:p>
    <w:p>
      <w:pPr>
        <w:pStyle w:val="907"/>
        <w:numPr>
          <w:ilvl w:val="0"/>
          <w:numId w:val="2"/>
        </w:numPr>
        <w:pBdr/>
        <w:spacing w:after="7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En pantallas pequeñas, convertir columnas en una sola columna y permitir que las tablas tengan una estrategia móvil explícita.</w:t>
      </w:r>
      <w:r/>
    </w:p>
    <w:p>
      <w:pPr>
        <w:pStyle w:val="907"/>
        <w:numPr>
          <w:ilvl w:val="0"/>
          <w:numId w:val="2"/>
        </w:numPr>
        <w:pBdr/>
        <w:spacing w:after="7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Evitar que el contenido principal quede pegado a los bordes de la ventana.</w:t>
      </w:r>
      <w:r/>
    </w:p>
    <w:p>
      <w:pPr>
        <w:pStyle w:val="907"/>
        <w:numPr>
          <w:ilvl w:val="0"/>
          <w:numId w:val="2"/>
        </w:numPr>
        <w:pBdr/>
        <w:spacing w:after="7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Usar radios de borde consistentes: por ejemplo, 6–8 px para controles y 10–12 px para tarjetas.</w:t>
      </w:r>
      <w:r/>
    </w:p>
    <w:p>
      <w:pPr>
        <w:pStyle w:val="907"/>
        <w:numPr>
          <w:ilvl w:val="0"/>
          <w:numId w:val="2"/>
        </w:numPr>
        <w:pBdr/>
        <w:spacing w:after="7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Definir estados de carga, vacío, error y éxito para cada vista que dependa de datos.</w:t>
      </w:r>
      <w:r/>
    </w:p>
    <w:p>
      <w:pPr>
        <w:pStyle w:val="916"/>
        <w:keepNext w:val="true"/>
        <w:pBdr/>
        <w:spacing/>
        <w:ind/>
        <w:rPr/>
      </w:pPr>
      <w:r>
        <w:rPr>
          <w:rFonts w:ascii="Aptos" w:hAnsi="Aptos" w:eastAsia="Aptos" w:cs="Aptos"/>
        </w:rPr>
        <w:t xml:space="preserve">10. Accesibilidad y contraste</w:t>
      </w:r>
      <w:r/>
    </w:p>
    <w:p>
      <w:pPr>
        <w:keepNext w:val="false"/>
        <w:keepLines w:val="false"/>
        <w:pBdr/>
        <w:spacing w:after="120" w:before="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Criterio base: WCAG 2.2 nivel AA. El contraste se calcula con la luminancia relativa sRGB, no directamente con HSB.</w:t>
      </w:r>
      <w:r/>
    </w:p>
    <w:p>
      <w:pPr>
        <w:keepNext w:val="false"/>
        <w:keepLines w:val="false"/>
        <w:pBdr/>
        <w:spacing w:after="120" w:before="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Umbra</w:t>
      </w: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les generales: texto normal, al menos 4.5:1; texto grande, al menos 3:1; componentes gráficos y límites visuales esenciales, normalmente al menos 3:1 frente a los colores adyacentes. Revisar además teclado, foco, estructura, etiquetas y mensajes de estado.</w:t>
      </w:r>
      <w:r/>
    </w:p>
    <w:p>
      <w:pPr>
        <w:pStyle w:val="917"/>
        <w:keepNext w:val="true"/>
        <w:pBdr/>
        <w:spacing/>
        <w:ind/>
        <w:rPr/>
      </w:pPr>
      <w:r>
        <w:rPr>
          <w:rFonts w:ascii="Aptos" w:hAnsi="Aptos" w:eastAsia="Aptos" w:cs="Aptos"/>
        </w:rPr>
        <w:t xml:space="preserve">10.1. Contraste calculado — modo claro</w:t>
      </w:r>
      <w:r/>
    </w:p>
    <w:tbl>
      <w:tblPr>
        <w:tblW w:w="936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ook w:val="04A0" w:firstRow="1" w:lastRow="0" w:firstColumn="1" w:lastColumn="0" w:noHBand="0" w:noVBand="1"/>
      </w:tblPr>
      <w:tblGrid>
        <w:gridCol w:w="5000"/>
        <w:gridCol w:w="1300"/>
        <w:gridCol w:w="3060"/>
      </w:tblGrid>
      <w:tr>
        <w:trPr>
          <w:cantSplit/>
          <w:tblHeader/>
        </w:trPr>
        <w:tc>
          <w:tcPr>
            <w:shd w:val="clear" w:color="auto" w:fill="111827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0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Combinación</w:t>
            </w:r>
            <w:r/>
          </w:p>
        </w:tc>
        <w:tc>
          <w:tcPr>
            <w:shd w:val="clear" w:color="auto" w:fill="111827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Contraste</w:t>
            </w:r>
            <w:r/>
          </w:p>
        </w:tc>
        <w:tc>
          <w:tcPr>
            <w:shd w:val="clear" w:color="auto" w:fill="111827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0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Evaluación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0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Texto principal #111827 / fondo #F3F4F6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16.12:1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0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Cumple 4.5:1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0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Texto principal #111827 / superficie #FFFFFF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17.74:1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0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Cumple 4.5:1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0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Texto secundario #6B7280 / superficie #FFFFFF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4.83:1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0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Cumple 4.5:1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0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Texto secundario #6B7280 / superficie alterna #F9FAFB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4.63:1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0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Cumple 4.5:1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0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Texto secundario #6B7280 / fondo #F3F4F6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4.39:1</w:t>
            </w:r>
            <w:r/>
          </w:p>
        </w:tc>
        <w:tc>
          <w:tcPr>
            <w:shd w:val="clear" w:color="auto" w:fill="fee2e2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0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991b1b"/>
                <w:sz w:val="17"/>
                <w:szCs w:val="17"/>
              </w:rPr>
              <w:t xml:space="preserve">No cumple 4.5:1; usar #4B5563 (6.87:1)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0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Opción de menú inactiva #475569 / #FFFFFF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7.58:1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0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Cumple 4.5:1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0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Navegación activa #1D4ED8 / #DBEAFE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5.49:1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0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Cumple 4.5:1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0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Botón primario #FFFFFF / #1D4ED8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6.70:1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0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Cumple 4.5:1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0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Botón hover #FFFFFF / #1E40AF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8.72:1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0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Cumple 4.5:1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0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Enlace #1D4ED8 / #FFFFFF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6.70:1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0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Cumple 4.5:1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0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Texto deshabilitado #9CA3AF / #FFFFFF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2.54:1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0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6b7280"/>
                <w:sz w:val="17"/>
                <w:szCs w:val="17"/>
              </w:rPr>
              <w:t xml:space="preserve">Exento: elemento deshabilitado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0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Borde #D1D5DB / #FFFFFF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1.47:1</w:t>
            </w:r>
            <w:r/>
          </w:p>
        </w:tc>
        <w:tc>
          <w:tcPr>
            <w:shd w:val="clear" w:color="auto" w:fill="fee2e2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0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991b1b"/>
                <w:sz w:val="17"/>
                <w:szCs w:val="17"/>
              </w:rPr>
              <w:t xml:space="preserve">No apto como borde de campo (3:1); usar #6B7280, 4.83:1</w:t>
            </w:r>
            <w:r/>
          </w:p>
        </w:tc>
      </w:tr>
    </w:tbl>
    <w:p>
      <w:pPr>
        <w:pStyle w:val="917"/>
        <w:keepNext w:val="true"/>
        <w:pBdr/>
        <w:spacing/>
        <w:ind/>
        <w:rPr/>
      </w:pPr>
      <w:r>
        <w:rPr>
          <w:rFonts w:ascii="Aptos" w:hAnsi="Aptos" w:eastAsia="Aptos" w:cs="Aptos"/>
        </w:rPr>
        <w:t xml:space="preserve">10.2. Contraste calculado — modo oscuro</w:t>
      </w:r>
      <w:r/>
    </w:p>
    <w:tbl>
      <w:tblPr>
        <w:tblW w:w="936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ook w:val="04A0" w:firstRow="1" w:lastRow="0" w:firstColumn="1" w:lastColumn="0" w:noHBand="0" w:noVBand="1"/>
      </w:tblPr>
      <w:tblGrid>
        <w:gridCol w:w="5000"/>
        <w:gridCol w:w="1300"/>
        <w:gridCol w:w="3060"/>
      </w:tblGrid>
      <w:tr>
        <w:trPr>
          <w:cantSplit/>
          <w:tblHeader/>
        </w:trPr>
        <w:tc>
          <w:tcPr>
            <w:shd w:val="clear" w:color="auto" w:fill="111827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0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Combinación</w:t>
            </w:r>
            <w:r/>
          </w:p>
        </w:tc>
        <w:tc>
          <w:tcPr>
            <w:shd w:val="clear" w:color="auto" w:fill="111827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Contraste</w:t>
            </w:r>
            <w:r/>
          </w:p>
        </w:tc>
        <w:tc>
          <w:tcPr>
            <w:shd w:val="clear" w:color="auto" w:fill="111827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0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Evaluación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0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Texto principal #F9FAFB / fondo #0B1120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18.02:1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0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Cumple 4.5:1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0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Texto principal #F9FAFB / tarjeta #1F2937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14.05:1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0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Cumple 4.5:1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0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Opción de menú #CBD5E1 / menú #111827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11.95:1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0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Cumple 4.5:1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0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Texto secundario #CBD5E1 / tarjeta #1F2937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9.89:1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0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Cumple 4.5:1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0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Metadatos #9CA3AF / tarjeta #1F2937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5.78:1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0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Cumple 4.5:1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0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Metadatos #9CA3AF / fondo #0B1120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7.42:1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0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Cumple 4.5:1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0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Gris apagado #6B7280 / tarjeta #1F2937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3.04:1</w:t>
            </w:r>
            <w:r/>
          </w:p>
        </w:tc>
        <w:tc>
          <w:tcPr>
            <w:shd w:val="clear" w:color="auto" w:fill="fee2e2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0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991b1b"/>
                <w:sz w:val="17"/>
                <w:szCs w:val="17"/>
              </w:rPr>
              <w:t xml:space="preserve">No cumple 4.5:1; reservar para deshabilitado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0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Navegación activa #FFFFFF / #1D4ED8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6.70:1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0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Cumple 4.5:1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0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Botón hover #FFFFFF / #2563EB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5.17:1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0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Cumple 4.5:1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0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Foco #93C5FD / fondo #0B1120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10.44:1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0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Cumple 3:1 para componentes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0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Enlace o texto #1D4ED8 / fondo #0B1120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2.81:1</w:t>
            </w:r>
            <w:r/>
          </w:p>
        </w:tc>
        <w:tc>
          <w:tcPr>
            <w:shd w:val="clear" w:color="auto" w:fill="fee2e2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0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991b1b"/>
                <w:sz w:val="17"/>
                <w:szCs w:val="17"/>
              </w:rPr>
              <w:t xml:space="preserve">No cumple; usar #93C5FD (10.44:1) o #60A5FA (7.41:1)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0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Borde #374151 / tarjeta #1F2937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1.42:1</w:t>
            </w:r>
            <w:r/>
          </w:p>
        </w:tc>
        <w:tc>
          <w:tcPr>
            <w:shd w:val="clear" w:color="auto" w:fill="fee2e2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0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991b1b"/>
                <w:sz w:val="17"/>
                <w:szCs w:val="17"/>
              </w:rPr>
              <w:t xml:space="preserve">No apto como borde de campo; usar #6B7280, 3.04:1</w:t>
            </w:r>
            <w:r/>
          </w:p>
        </w:tc>
      </w:tr>
    </w:tbl>
    <w:p>
      <w:pPr>
        <w:pStyle w:val="917"/>
        <w:keepNext w:val="true"/>
        <w:pBdr/>
        <w:spacing/>
        <w:ind/>
        <w:rPr/>
      </w:pPr>
      <w:r>
        <w:rPr>
          <w:rFonts w:ascii="Aptos" w:hAnsi="Aptos" w:eastAsia="Aptos" w:cs="Aptos"/>
        </w:rPr>
        <w:t xml:space="preserve">10.3. Contraste calculado — colores semánticos</w:t>
      </w:r>
      <w:r/>
    </w:p>
    <w:tbl>
      <w:tblPr>
        <w:tblW w:w="936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ook w:val="04A0" w:firstRow="1" w:lastRow="0" w:firstColumn="1" w:lastColumn="0" w:noHBand="0" w:noVBand="1"/>
      </w:tblPr>
      <w:tblGrid>
        <w:gridCol w:w="5000"/>
        <w:gridCol w:w="1300"/>
        <w:gridCol w:w="3060"/>
      </w:tblGrid>
      <w:tr>
        <w:trPr>
          <w:cantSplit/>
          <w:tblHeader/>
        </w:trPr>
        <w:tc>
          <w:tcPr>
            <w:shd w:val="clear" w:color="auto" w:fill="111827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0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Combinación</w:t>
            </w:r>
            <w:r/>
          </w:p>
        </w:tc>
        <w:tc>
          <w:tcPr>
            <w:shd w:val="clear" w:color="auto" w:fill="111827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Contraste</w:t>
            </w:r>
            <w:r/>
          </w:p>
        </w:tc>
        <w:tc>
          <w:tcPr>
            <w:shd w:val="clear" w:color="auto" w:fill="111827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0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Evaluación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0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Éxito: texto #166534 / fondo claro #DCFCE7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6.49:1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0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Cumple 4.5:1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0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Advertencia: texto #92400E / fondo claro #FEF3C7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6.37:1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0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Cumple 4.5:1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0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Error: texto #991B1B / fondo claro #FEE2E2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6.80:1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0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Cumple 4.5:1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00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Información: texto #155E75 / fondo claro #CFFAFE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30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6.49:1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06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Cumple 4.5:1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0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Éxito: texto #BBF7D0 / fondo oscuro #14532D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7.52:1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0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Cumple 4.5:1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0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Advertencia: texto #FDE68A / fondo oscuro #78350F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7.28:1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0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Cumple 4.5:1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0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Error: texto #FECACA / fondo oscuro #7F1D1D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6.93:1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0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Cumple 4.5:1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00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Información: texto #A5F3FC / fondo oscuro #164E63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30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7.30:1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06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Cumple 4.5:1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0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Texto blanco / sólido éxito #16A34A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3.30:1</w:t>
            </w:r>
            <w:r/>
          </w:p>
        </w:tc>
        <w:tc>
          <w:tcPr>
            <w:shd w:val="clear" w:color="auto" w:fill="fee2e2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0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991b1b"/>
                <w:sz w:val="17"/>
                <w:szCs w:val="17"/>
              </w:rPr>
              <w:t xml:space="preserve">No cumple 4.5:1; usar texto #111827 (5.38:1)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0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Texto blanco / sólido advertencia #D97706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3.19:1</w:t>
            </w:r>
            <w:r/>
          </w:p>
        </w:tc>
        <w:tc>
          <w:tcPr>
            <w:shd w:val="clear" w:color="auto" w:fill="fee2e2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0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991b1b"/>
                <w:sz w:val="17"/>
                <w:szCs w:val="17"/>
              </w:rPr>
              <w:t xml:space="preserve">No cumple 4.5:1; usar texto #111827 (5.57:1)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0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Texto blanco / sólido error #DC2626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4.83:1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0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Cumple 4.5:1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00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Texto blanco / sólido info #00B7EB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30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2.34:1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06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No cumple 4.5:1; usar texto #111827 (7.58:1)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0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Icono sólido sobre tarjeta oscura #1F2937: éxito / advertencia / error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30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4.45 / 4.61 / 3.04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0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7"/>
                <w:szCs w:val="17"/>
              </w:rPr>
              <w:t xml:space="preserve">Cumple 3:1 para iconos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500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Icono cian #0891B2 sobre tarjeta clara #FFFFFF / cian brillante #22D3EE sobre tarjeta oscura #1F2937</w:t>
            </w:r>
            <w:r/>
          </w:p>
        </w:tc>
        <w:tc>
          <w:tcPr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130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3.68 / 8.12</w:t>
            </w:r>
            <w:r/>
          </w:p>
        </w:tc>
        <w:tc>
          <w:tcPr>
            <w:shd w:val="clear" w:color="auto" w:fill="fee2e2"/>
            <w:tcBorders/>
            <w:tcMar>
              <w:left w:w="100" w:type="dxa"/>
              <w:top w:w="70" w:type="dxa"/>
              <w:right w:w="100" w:type="dxa"/>
              <w:bottom w:w="70" w:type="dxa"/>
            </w:tcMar>
            <w:tcW w:w="306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Cumple 3:1 para iconos</w:t>
            </w:r>
            <w:r/>
          </w:p>
        </w:tc>
      </w:tr>
    </w:tbl>
    <w:p>
      <w:pPr>
        <w:keepNext w:val="false"/>
        <w:keepLines w:val="false"/>
        <w:pBdr/>
        <w:spacing w:after="60" w:before="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</w:r>
      <w:r/>
    </w:p>
    <w:p>
      <w:pPr>
        <w:keepNext w:val="false"/>
        <w:keepLines w:val="false"/>
        <w:pBdr/>
        <w:spacing w:after="120" w:before="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6b7280"/>
          <w:sz w:val="18"/>
          <w:szCs w:val="18"/>
        </w:rPr>
        <w:t xml:space="preserve">Los resultados se calculan con la fórmula WCAG de luminancia relativa sobre los HEX indicados. La evaluación aplica a texto normal salvo donde se indique; el requisito 3:1 para texto grande no equivale a conformidad para texto normal.</w:t>
      </w:r>
      <w:r/>
    </w:p>
    <w:p>
      <w:pPr>
        <w:pStyle w:val="917"/>
        <w:keepNext w:val="true"/>
        <w:pBdr/>
        <w:spacing/>
        <w:ind/>
        <w:rPr/>
      </w:pPr>
      <w:r>
        <w:rPr>
          <w:rFonts w:ascii="Aptos" w:hAnsi="Aptos" w:eastAsia="Aptos" w:cs="Aptos"/>
        </w:rPr>
        <w:t xml:space="preserve">10.4. Recomendaciones obligatorias</w:t>
      </w:r>
      <w:r/>
    </w:p>
    <w:p>
      <w:pPr>
        <w:pStyle w:val="907"/>
        <w:numPr>
          <w:ilvl w:val="0"/>
          <w:numId w:val="2"/>
        </w:numPr>
        <w:pBdr/>
        <w:spacing w:after="7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No usar #6B7280 como texto sobre el fondo #F3F4F6 ni sobre superficies oscuras; sobre ellos usar #4B5563 (claro) o #9CA3AF (oscuro).</w:t>
      </w:r>
      <w:r/>
    </w:p>
    <w:p>
      <w:pPr>
        <w:pStyle w:val="907"/>
        <w:numPr>
          <w:ilvl w:val="0"/>
          <w:numId w:val="2"/>
        </w:numPr>
        <w:pBdr/>
        <w:spacing w:after="7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No usar el azul de marca #1D4ED8 como texto o icono pequeño sobre fondos oscuros; usar #93C5FD o #60A5FA.</w:t>
      </w:r>
      <w:r/>
    </w:p>
    <w:p>
      <w:pPr>
        <w:pStyle w:val="907"/>
        <w:numPr>
          <w:ilvl w:val="0"/>
          <w:numId w:val="2"/>
        </w:numPr>
        <w:pBdr/>
        <w:spacing w:after="7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El texto blanco sobre los sólidos de éxito y advertencia no cumple; usar #111827 o las variantes tenues con texto oscuro.</w:t>
      </w:r>
      <w:r/>
    </w:p>
    <w:p>
      <w:pPr>
        <w:pStyle w:val="907"/>
        <w:numPr>
          <w:ilvl w:val="0"/>
          <w:numId w:val="2"/>
        </w:numPr>
        <w:pBdr/>
        <w:spacing w:after="7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Los bordes que delimitan controles deben tener contraste suficiente (3:1) para identificar el componente.</w:t>
      </w:r>
      <w:r/>
    </w:p>
    <w:p>
      <w:pPr>
        <w:pStyle w:val="907"/>
        <w:numPr>
          <w:ilvl w:val="0"/>
          <w:numId w:val="2"/>
        </w:numPr>
        <w:pBdr/>
        <w:spacing w:after="7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El foco de teclado debe ser visible en ambos temas y no quedar oculto por encabezados o diálogos.</w:t>
      </w:r>
      <w:r/>
    </w:p>
    <w:p>
      <w:pPr>
        <w:pStyle w:val="907"/>
        <w:numPr>
          <w:ilvl w:val="0"/>
          <w:numId w:val="2"/>
        </w:numPr>
        <w:pBdr/>
        <w:spacing w:after="7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No transmitir estados solo con color: incluir texto, iconos, patrones o etiquetas.</w:t>
      </w:r>
      <w:r/>
    </w:p>
    <w:p>
      <w:pPr>
        <w:pStyle w:val="907"/>
        <w:numPr>
          <w:ilvl w:val="0"/>
          <w:numId w:val="2"/>
        </w:numPr>
        <w:pBdr/>
        <w:spacing w:after="7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Validar contraste de estados hover, focus, pressed, disabled y selección, además del estado por defecto.</w:t>
      </w:r>
      <w:r/>
    </w:p>
    <w:p>
      <w:pPr>
        <w:pStyle w:val="907"/>
        <w:numPr>
          <w:ilvl w:val="0"/>
          <w:numId w:val="2"/>
        </w:numPr>
        <w:pBdr/>
        <w:spacing w:after="7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Probar zoom, navegación con teclado, lector de pantalla y reflow en ventanas estrechas.</w:t>
      </w:r>
      <w:r/>
    </w:p>
    <w:p>
      <w:pPr>
        <w:pStyle w:val="916"/>
        <w:keepNext w:val="true"/>
        <w:pBdr/>
        <w:spacing/>
        <w:ind/>
        <w:rPr/>
      </w:pPr>
      <w:r>
        <w:rPr>
          <w:rFonts w:ascii="Aptos" w:hAnsi="Aptos" w:eastAsia="Aptos" w:cs="Aptos"/>
        </w:rPr>
        <w:t xml:space="preserve">11. Tokens y variables CSS</w:t>
      </w:r>
      <w:r/>
    </w:p>
    <w:p>
      <w:pPr>
        <w:keepNext w:val="false"/>
        <w:keepLines w:val="false"/>
        <w:pBdr/>
        <w:spacing w:after="120" w:before="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Ejemplo inicial de variables semánticas. Las variables permiten cambiar el tema sin reescribir los componentes.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:root {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  color-scheme: light;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  --brand-50: #EFF6FF;   --brand-100: #DBEAFE;  --brand-200: #BFDBFE;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  --brand-300: #93C5FD;  --brand-400: #60A5FA;  --brand-500: #3B82F6;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  --brand-600: #2563EB;  --brand-700: #1D4ED8;  --brand-800: #1E40AF;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  --brand-900: #1E3A8A;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 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  --app-bg: #F3F4F6;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  --surface: #FFFFFF;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  --surface-alt: #F9FAFB;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  --card: #FFFFFF;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  --border: #D1D5DB;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  --divider: #E5E7EB;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  --text-primary: #111827;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  --text-secondary: #6B7280;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  --text-disabled: #9CA3AF;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  --nav-text: #475569;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  --nav-active-bg: #DBEAFE;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  --nav-active-text: #1D4ED8;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  --primary: #1D4ED8;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  --primary-hover: #1E40AF;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  --primary-pressed: #1E3A8A;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  --focus: #1D4ED8;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 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  --success: #16A34A;  --success-bg: #DCFCE7;  --success-text: #166534;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  --warning: #D97706;  --warning-bg: #FEF3C7;  --warning-text: #92400E;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  --danger:  #DC2626;  --danger-bg:  #FEE2E2;  --danger-text:  #991B1B;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t xml:space="preserve">  --info:    #00B7EB;  --info-bg:    #CFFAFE;  --info-text:    #155E75;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 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  --radius-control: 6px;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  --radius-card: 10px;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}</w:t>
      </w:r>
      <w:r/>
    </w:p>
    <w:p>
      <w:pPr>
        <w:keepNext w:val="false"/>
        <w:keepLines w:val="false"/>
        <w:pBdr/>
        <w:spacing w:after="100" w:before="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[data-theme="dark"] {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  color-scheme: dark;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  --app-bg: #0B1120;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  --surface: #111827;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  --surface-alt: #151E2E;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  --card: #1F2937;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  --card-hover: #273449;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  --border: #374151;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  --divider: #334155;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  --text-primary: #F9FAFB;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  --text-secondary: #CBD5E1;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  --text-muted: #9CA3AF;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  --text-disabled: #6B7280;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  --nav-text: #CBD5E1;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  --nav-active-bg: #1D4ED8;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  --nav-active-text: #FFFFFF;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  --primary: #1D4ED8;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  --primary-hover: #2563EB;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  --primary-pressed: #1E40AF;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  --focus: #93C5FD;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 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  --success-bg: #14532D;  --success-text: #BBF7D0;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  --warning-bg: #78350F;  --warning-text: #FDE68A;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  --danger-bg:  #7F1D1D;  --danger-text:  #FECACA;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  --info-bg:    #1E3A8A;  --info-text:    #BFDBFE;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t xml:space="preserve">  --info:    #00B7EB;  --info-bg:    #CFFAFE;  --info-text:    #155E75;</w:t>
      </w:r>
      <w:r/>
    </w:p>
    <w:p>
      <w:pPr>
        <w:pBdr/>
        <w:spacing/>
        <w:ind/>
        <w:rPr/>
      </w:pPr>
      <w:r>
        <w:t xml:space="preserve">  --info: #00B7EB;  --info-bg: #164E63;  --info-text: #A5F3FC;  --info-icon: #22D3EE;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}</w:t>
      </w:r>
      <w:r/>
    </w:p>
    <w:p>
      <w:pPr>
        <w:pStyle w:val="917"/>
        <w:keepNext w:val="true"/>
        <w:pBdr/>
        <w:spacing/>
        <w:ind/>
        <w:rPr/>
      </w:pPr>
      <w:r>
        <w:rPr>
          <w:rFonts w:ascii="Aptos" w:hAnsi="Aptos" w:eastAsia="Aptos" w:cs="Aptos"/>
        </w:rPr>
        <w:t xml:space="preserve">11.1. Ejemplo de uso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.button-primary {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  background: var(--primary);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  color: #FFFFFF;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  border-radius: var(--radius-control);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  padding: var(--space-2) var(--space-4);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}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.button-primary:hover { background: var(--primary-hover); }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:focus-visible { outline: 2px solid var(--focus); outline-offset: 2px; }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 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.card {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  background: var(--card);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  color: var(--text-primary);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  border: 1px solid var(--border);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  border-radius: var(--radius-card);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  padding: var(--space-4);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}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.nav-item { color: var(--nav-text); }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.nav-item--active {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  background: var(--nav-active-bg);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  color: var(--nav-active-text);</w:t>
      </w:r>
      <w:r/>
    </w:p>
    <w:p>
      <w:pPr>
        <w:keepLines w:val="true"/>
        <w:pBdr/>
        <w:shd w:val="clear" w:color="auto" w:fill="f3f4f6"/>
        <w:spacing w:after="0" w:before="0" w:line="240" w:lineRule="auto"/>
        <w:ind w:right="120" w:left="120"/>
        <w:rPr/>
      </w:pPr>
      <w:r>
        <w:rPr>
          <w:rFonts w:ascii="Consolas" w:hAnsi="Consolas" w:eastAsia="Consolas" w:cs="Consolas"/>
          <w:color w:val="111827"/>
          <w:sz w:val="16"/>
          <w:szCs w:val="16"/>
        </w:rPr>
        <w:t xml:space="preserve">}</w:t>
      </w:r>
      <w:r/>
    </w:p>
    <w:p>
      <w:pPr>
        <w:keepNext w:val="false"/>
        <w:keepLines w:val="false"/>
        <w:pBdr/>
        <w:spacing w:after="100" w:before="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</w:r>
      <w:r/>
    </w:p>
    <w:tbl>
      <w:tblPr>
        <w:tblW w:w="9360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>
          <w:cantSplit/>
        </w:trPr>
        <w:tc>
          <w:tcPr>
            <w:shd w:val="clear" w:color="auto" w:fill="eff6ff"/>
            <w:tcBorders>
              <w:top w:val="none" w:color="ffffff" w:sz="0" w:space="0"/>
              <w:left w:val="single" w:color="1d4ed8" w:sz="24" w:space="0"/>
              <w:bottom w:val="none" w:color="ffffff" w:sz="0" w:space="0"/>
              <w:right w:val="none" w:color="ffffff" w:sz="0" w:space="0"/>
            </w:tcBorders>
            <w:tcMar>
              <w:left w:w="180" w:type="dxa"/>
              <w:top w:w="130" w:type="dxa"/>
              <w:right w:w="180" w:type="dxa"/>
              <w:bottom w:w="130" w:type="dxa"/>
            </w:tcMar>
            <w:tcW w:w="9360" w:type="dxa"/>
            <w:vAlign w:val="center"/>
          </w:tcPr>
          <w:p>
            <w:pPr>
              <w:keepNext w:val="false"/>
              <w:keepLines w:val="false"/>
              <w:pBdr/>
              <w:spacing w:after="0" w:before="0"/>
              <w:ind/>
              <w:rPr/>
            </w:pPr>
            <w:r>
              <w:rPr>
                <w:rFonts w:ascii="Aptos" w:hAnsi="Aptos" w:eastAsia="Aptos" w:cs="Aptos"/>
                <w:b/>
                <w:bCs/>
                <w:i w:val="0"/>
                <w:iCs w:val="0"/>
                <w:color w:val="1d4ed8"/>
                <w:sz w:val="19"/>
                <w:szCs w:val="19"/>
              </w:rPr>
              <w:t xml:space="preserve">Nota de implementación  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9"/>
                <w:szCs w:val="19"/>
              </w:rPr>
              <w:t xml:space="preserve">La mu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11827"/>
                <w:sz w:val="19"/>
                <w:szCs w:val="19"/>
              </w:rPr>
              <w:t xml:space="preserve">estra de CSS es una base de tokens, no una biblioteca completa de componentes. Los valores marcados como propuestos (pressed, foco en claro, azul #60A5FA para info en oscuro) deben validarse con la interfaz real. Los tokens --space-* siguen la sección 9.1.</w:t>
            </w:r>
            <w:r/>
          </w:p>
        </w:tc>
      </w:tr>
    </w:tbl>
    <w:p>
      <w:pPr>
        <w:pStyle w:val="916"/>
        <w:keepNext w:val="true"/>
        <w:pBdr/>
        <w:spacing/>
        <w:ind/>
        <w:rPr/>
      </w:pPr>
      <w:r>
        <w:rPr>
          <w:rFonts w:ascii="Aptos" w:hAnsi="Aptos" w:eastAsia="Aptos" w:cs="Aptos"/>
        </w:rPr>
        <w:t xml:space="preserve">12. Criterios de aceptación</w:t>
      </w:r>
      <w:r/>
    </w:p>
    <w:p>
      <w:pPr>
        <w:pStyle w:val="907"/>
        <w:numPr>
          <w:ilvl w:val="0"/>
          <w:numId w:val="3"/>
        </w:numPr>
        <w:pBdr/>
        <w:spacing w:after="7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Todos los módulos consumen tokens de color aprobados.</w:t>
      </w:r>
      <w:r/>
    </w:p>
    <w:p>
      <w:pPr>
        <w:pStyle w:val="907"/>
        <w:numPr>
          <w:ilvl w:val="0"/>
          <w:numId w:val="3"/>
        </w:numPr>
        <w:pBdr/>
        <w:spacing w:after="7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Se han definido y probado los temas claro y oscuro.</w:t>
      </w:r>
      <w:r/>
    </w:p>
    <w:p>
      <w:pPr>
        <w:pStyle w:val="907"/>
        <w:numPr>
          <w:ilvl w:val="0"/>
          <w:numId w:val="3"/>
        </w:numPr>
        <w:pBdr/>
        <w:spacing w:after="7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Cada combinación de texto y fondo cumple el umbral WCAG aplicable o se ha reemplazado por una combinación conforme.</w:t>
      </w:r>
      <w:r/>
    </w:p>
    <w:p>
      <w:pPr>
        <w:pStyle w:val="907"/>
        <w:numPr>
          <w:ilvl w:val="0"/>
          <w:numId w:val="3"/>
        </w:numPr>
        <w:pBdr/>
        <w:spacing w:after="7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Botones, enlaces, campos, menús y diálogos muestran estados interactivos perceptibles.</w:t>
      </w:r>
      <w:r/>
    </w:p>
    <w:p>
      <w:pPr>
        <w:pStyle w:val="907"/>
        <w:numPr>
          <w:ilvl w:val="0"/>
          <w:numId w:val="3"/>
        </w:numPr>
        <w:pBdr/>
        <w:spacing w:after="7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El foco de teclado es visible y el orden de navegación es lógico.</w:t>
      </w:r>
      <w:r/>
    </w:p>
    <w:p>
      <w:pPr>
        <w:pStyle w:val="907"/>
        <w:numPr>
          <w:ilvl w:val="0"/>
          <w:numId w:val="3"/>
        </w:numPr>
        <w:pBdr/>
        <w:spacing w:after="7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Las alertas tienen texto comprensible y no dependen solo del color.</w:t>
      </w:r>
      <w:r/>
    </w:p>
    <w:p>
      <w:pPr>
        <w:pStyle w:val="907"/>
        <w:numPr>
          <w:ilvl w:val="0"/>
          <w:numId w:val="3"/>
        </w:numPr>
        <w:pBdr/>
        <w:spacing w:after="7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Los componentes son utilizables en escritorio, tablet y móvil.</w:t>
      </w:r>
      <w:r/>
    </w:p>
    <w:p>
      <w:pPr>
        <w:pStyle w:val="907"/>
        <w:numPr>
          <w:ilvl w:val="0"/>
          <w:numId w:val="3"/>
        </w:numPr>
        <w:pBdr/>
        <w:spacing w:after="7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Los estados loading, vacío, error y éxito están contemplados.</w:t>
      </w:r>
      <w:r/>
    </w:p>
    <w:p>
      <w:pPr>
        <w:pStyle w:val="907"/>
        <w:numPr>
          <w:ilvl w:val="0"/>
          <w:numId w:val="3"/>
        </w:numPr>
        <w:pBdr/>
        <w:spacing w:after="7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Las tipografías, radios y espaciados respetan las escalas documentadas.</w:t>
      </w:r>
      <w:r/>
    </w:p>
    <w:p>
      <w:pPr>
        <w:pStyle w:val="907"/>
        <w:numPr>
          <w:ilvl w:val="0"/>
          <w:numId w:val="3"/>
        </w:numPr>
        <w:pBdr/>
        <w:spacing w:after="7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Las excepciones visuales quedan justificadas y registradas.</w:t>
      </w:r>
      <w:r/>
    </w:p>
    <w:p>
      <w:pPr>
        <w:pStyle w:val="916"/>
        <w:keepNext w:val="true"/>
        <w:pBdr/>
        <w:spacing/>
        <w:ind/>
        <w:rPr/>
      </w:pPr>
      <w:r>
        <w:rPr>
          <w:rFonts w:ascii="Aptos" w:hAnsi="Aptos" w:eastAsia="Aptos" w:cs="Aptos"/>
        </w:rPr>
        <w:t xml:space="preserve">13. Gobernanza y mantenimiento</w:t>
      </w:r>
      <w:r/>
    </w:p>
    <w:p>
      <w:pPr>
        <w:pStyle w:val="907"/>
        <w:numPr>
          <w:ilvl w:val="0"/>
          <w:numId w:val="2"/>
        </w:numPr>
        <w:pBdr/>
        <w:spacing w:after="7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El manual es la fuente de referencia para nuevos módulos y rediseños.</w:t>
      </w:r>
      <w:r/>
    </w:p>
    <w:p>
      <w:pPr>
        <w:pStyle w:val="907"/>
        <w:numPr>
          <w:ilvl w:val="0"/>
          <w:numId w:val="2"/>
        </w:numPr>
        <w:pBdr/>
        <w:spacing w:after="7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Los nuevos colores requieren token, propósito, uso permitido y comprobación de contraste.</w:t>
      </w:r>
      <w:r/>
    </w:p>
    <w:p>
      <w:pPr>
        <w:pStyle w:val="907"/>
        <w:numPr>
          <w:ilvl w:val="0"/>
          <w:numId w:val="2"/>
        </w:numPr>
        <w:pBdr/>
        <w:spacing w:after="7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Los cambios a tokens existentes deben revisarse en ambos temas y en componentes críticos.</w:t>
      </w:r>
      <w:r/>
    </w:p>
    <w:p>
      <w:pPr>
        <w:pStyle w:val="907"/>
        <w:numPr>
          <w:ilvl w:val="0"/>
          <w:numId w:val="2"/>
        </w:numPr>
        <w:pBdr/>
        <w:spacing w:after="7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Las excepciones se documentan para evitar la proliferación de variantes similares.</w:t>
      </w:r>
      <w:r/>
    </w:p>
    <w:p>
      <w:pPr>
        <w:pStyle w:val="907"/>
        <w:numPr>
          <w:ilvl w:val="0"/>
          <w:numId w:val="2"/>
        </w:numPr>
        <w:pBdr/>
        <w:spacing w:after="7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Revisar este manual cuando cambien requisitos de accesibilidad, marca o arquitectura de interfaz.</w:t>
      </w:r>
      <w:r/>
    </w:p>
    <w:p>
      <w:pPr>
        <w:pStyle w:val="916"/>
        <w:keepNext w:val="true"/>
        <w:pBdr/>
        <w:spacing/>
        <w:ind/>
        <w:rPr/>
      </w:pPr>
      <w:r>
        <w:rPr>
          <w:rFonts w:ascii="Aptos" w:hAnsi="Aptos" w:eastAsia="Aptos" w:cs="Aptos"/>
        </w:rPr>
        <w:t xml:space="preserve">Anexo A. Referencias técnicas</w:t>
      </w:r>
      <w:r/>
    </w:p>
    <w:p>
      <w:pPr>
        <w:pStyle w:val="907"/>
        <w:numPr>
          <w:ilvl w:val="0"/>
          <w:numId w:val="2"/>
        </w:numPr>
        <w:pBdr/>
        <w:spacing w:after="7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WCAG 2.2 — Web Content Accessibility Guidelines, W3C: https://www.w3.org/TR/WCAG22/</w:t>
      </w:r>
      <w:r/>
    </w:p>
    <w:p>
      <w:pPr>
        <w:pStyle w:val="907"/>
        <w:numPr>
          <w:ilvl w:val="0"/>
          <w:numId w:val="2"/>
        </w:numPr>
        <w:pBdr/>
        <w:spacing w:after="7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Understanding Success Criterion 1.4.3 — Contrast (Minimum): https://www.w3.org/WAI/WCAG22/Understanding/contrast-minimum.html</w:t>
      </w:r>
      <w:r/>
    </w:p>
    <w:p>
      <w:pPr>
        <w:pStyle w:val="907"/>
        <w:numPr>
          <w:ilvl w:val="0"/>
          <w:numId w:val="2"/>
        </w:numPr>
        <w:pBdr/>
        <w:spacing w:after="7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Understanding Success Criterion 1.4.11 — Non-text Contrast: https://www.w3.org/WAI/WCAG22/Understanding/non-text-contrast.html</w:t>
      </w:r>
      <w:r/>
    </w:p>
    <w:p>
      <w:pPr>
        <w:pStyle w:val="907"/>
        <w:numPr>
          <w:ilvl w:val="0"/>
          <w:numId w:val="2"/>
        </w:numPr>
        <w:pBdr/>
        <w:spacing w:after="7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11827"/>
          <w:sz w:val="20"/>
          <w:szCs w:val="20"/>
        </w:rPr>
        <w:t xml:space="preserve">CSS Custom Properties for Cascading Variables: https://developer.mozilla.org/docs/Web/CSS/Using_CSS_custom_properties</w:t>
      </w:r>
      <w:r/>
    </w:p>
    <w:p>
      <w:pPr>
        <w:keepNext w:val="false"/>
        <w:keepLines w:val="false"/>
        <w:pBdr/>
        <w:spacing w:after="120" w:before="16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6b7280"/>
          <w:sz w:val="18"/>
          <w:szCs w:val="18"/>
        </w:rPr>
        <w:t xml:space="preserve">Este documento es una guía de diseño y desarrollo. No constituye una certificación de conformidad WCAG; la conformidad debe comprobarse en la interfaz implementada, incluyendo estados interactivos y contenido real.</w:t>
      </w:r>
      <w:r/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200" w:right="1440" w:bottom="1100" w:left="1440" w:header="600" w:footer="50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Segoe UI Symbol">
    <w:panose1 w:val="020B0502040204020203"/>
  </w:font>
  <w:font w:name="Arial">
    <w:panose1 w:val="020B0604020202020204"/>
  </w:font>
  <w:font w:name="Aptos">
    <w:panose1 w:val="05040102010807070707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Aptos" w:hAnsi="Aptos" w:eastAsia="Aptos" w:cs="Aptos"/>
        <w:b w:val="0"/>
        <w:bCs w:val="0"/>
        <w:i w:val="0"/>
        <w:iCs w:val="0"/>
        <w:color w:val="9ca3af"/>
        <w:sz w:val="15"/>
        <w:szCs w:val="15"/>
      </w:rPr>
      <w:t xml:space="preserve">Manual UI/UX · Versión 1.1 · Paleta azul corporativa · Página </w:t>
    </w:r>
    <w:r>
      <w:rPr>
        <w:rFonts w:ascii="Aptos" w:hAnsi="Aptos" w:eastAsia="Aptos" w:cs="Aptos"/>
        <w:color w:val="9ca3af"/>
        <w:sz w:val="15"/>
        <w:szCs w:val="15"/>
      </w:rPr>
      <w:fldChar w:fldCharType="begin"/>
      <w:instrText xml:space="preserve">PAGE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keepNext w:val="false"/>
      <w:keepLines w:val="false"/>
      <w:pBdr/>
      <w:spacing w:after="0" w:before="0"/>
      <w:ind/>
      <w:jc w:val="right"/>
      <w:rPr/>
    </w:pPr>
    <w:r>
      <w:rPr>
        <w:rFonts w:ascii="Aptos" w:hAnsi="Aptos" w:eastAsia="Aptos" w:cs="Aptos"/>
        <w:b w:val="0"/>
        <w:bCs w:val="0"/>
        <w:i w:val="0"/>
        <w:iCs w:val="0"/>
        <w:color w:val="9ca3af"/>
        <w:sz w:val="15"/>
        <w:szCs w:val="15"/>
      </w:rPr>
      <w:t xml:space="preserve">SISTEMA DE DISEÑO CORPORATIVO · UI/UX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270" w:left="5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☐"/>
      <w:numFmt w:val="bullet"/>
      <w:pPr>
        <w:pBdr/>
        <w:spacing/>
        <w:ind w:hanging="300" w:left="540"/>
      </w:pPr>
      <w:rPr>
        <w:rFonts w:ascii="Segoe UI Symbol" w:hAnsi="Segoe UI Symbol" w:eastAsia="Segoe UI Symbol" w:cs="Segoe UI 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ptos" w:hAnsi="Aptos" w:eastAsia="Aptos" w:cs="Aptos"/>
        <w:color w:val="111827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Table Grid"/>
    <w:basedOn w:val="7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Table Grid Light"/>
    <w:basedOn w:val="7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1"/>
    <w:basedOn w:val="7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2"/>
    <w:basedOn w:val="7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"/>
    <w:basedOn w:val="7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1"/>
    <w:basedOn w:val="7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2"/>
    <w:basedOn w:val="7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3"/>
    <w:basedOn w:val="7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4"/>
    <w:basedOn w:val="7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5"/>
    <w:basedOn w:val="7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6"/>
    <w:basedOn w:val="7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1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2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3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4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5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6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1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2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3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4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5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6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5" w:default="1">
    <w:name w:val="Normal"/>
    <w:qFormat/>
    <w:pPr>
      <w:pBdr/>
      <w:spacing/>
      <w:ind/>
    </w:pPr>
  </w:style>
  <w:style w:type="paragraph" w:styleId="856">
    <w:name w:val="Heading 7"/>
    <w:basedOn w:val="855"/>
    <w:next w:val="855"/>
    <w:link w:val="86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7">
    <w:name w:val="Heading 8"/>
    <w:basedOn w:val="855"/>
    <w:next w:val="855"/>
    <w:link w:val="86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8">
    <w:name w:val="Heading 9"/>
    <w:basedOn w:val="855"/>
    <w:next w:val="855"/>
    <w:link w:val="86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9" w:default="1">
    <w:name w:val="Default Paragraph Font"/>
    <w:uiPriority w:val="1"/>
    <w:semiHidden/>
    <w:unhideWhenUsed/>
    <w:pPr>
      <w:pBdr/>
      <w:spacing/>
      <w:ind/>
    </w:pPr>
  </w:style>
  <w:style w:type="numbering" w:styleId="860" w:default="1">
    <w:name w:val="No List"/>
    <w:uiPriority w:val="99"/>
    <w:semiHidden/>
    <w:unhideWhenUsed/>
    <w:pPr>
      <w:pBdr/>
      <w:spacing/>
      <w:ind/>
    </w:pPr>
  </w:style>
  <w:style w:type="character" w:styleId="861">
    <w:name w:val="Heading 1 Char"/>
    <w:basedOn w:val="859"/>
    <w:link w:val="9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2">
    <w:name w:val="Heading 2 Char"/>
    <w:basedOn w:val="859"/>
    <w:link w:val="9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3">
    <w:name w:val="Heading 3 Char"/>
    <w:basedOn w:val="859"/>
    <w:link w:val="9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4">
    <w:name w:val="Heading 4 Char"/>
    <w:basedOn w:val="859"/>
    <w:link w:val="90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5">
    <w:name w:val="Heading 5 Char"/>
    <w:basedOn w:val="859"/>
    <w:link w:val="9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6">
    <w:name w:val="Heading 6 Char"/>
    <w:basedOn w:val="859"/>
    <w:link w:val="90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7">
    <w:name w:val="Heading 7 Char"/>
    <w:basedOn w:val="859"/>
    <w:link w:val="85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8">
    <w:name w:val="Heading 8 Char"/>
    <w:basedOn w:val="859"/>
    <w:link w:val="85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9">
    <w:name w:val="Heading 9 Char"/>
    <w:basedOn w:val="859"/>
    <w:link w:val="85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0">
    <w:name w:val="Title Char"/>
    <w:basedOn w:val="859"/>
    <w:link w:val="91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1">
    <w:name w:val="Subtitle"/>
    <w:basedOn w:val="855"/>
    <w:next w:val="855"/>
    <w:link w:val="87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2">
    <w:name w:val="Subtitle Char"/>
    <w:basedOn w:val="859"/>
    <w:link w:val="87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3">
    <w:name w:val="Quote"/>
    <w:basedOn w:val="855"/>
    <w:next w:val="855"/>
    <w:link w:val="87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4">
    <w:name w:val="Quote Char"/>
    <w:basedOn w:val="859"/>
    <w:link w:val="87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5">
    <w:name w:val="Intense Emphasis"/>
    <w:basedOn w:val="85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6">
    <w:name w:val="Intense Quote"/>
    <w:basedOn w:val="855"/>
    <w:next w:val="855"/>
    <w:link w:val="87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7">
    <w:name w:val="Intense Quote Char"/>
    <w:basedOn w:val="859"/>
    <w:link w:val="87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8">
    <w:name w:val="Intense Reference"/>
    <w:basedOn w:val="85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9">
    <w:name w:val="No Spacing"/>
    <w:basedOn w:val="855"/>
    <w:uiPriority w:val="1"/>
    <w:qFormat/>
    <w:pPr>
      <w:pBdr/>
      <w:spacing w:after="0" w:line="240" w:lineRule="auto"/>
      <w:ind/>
    </w:pPr>
  </w:style>
  <w:style w:type="character" w:styleId="880">
    <w:name w:val="Subtle Emphasis"/>
    <w:basedOn w:val="85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1">
    <w:name w:val="Emphasis"/>
    <w:basedOn w:val="859"/>
    <w:uiPriority w:val="20"/>
    <w:qFormat/>
    <w:pPr>
      <w:pBdr/>
      <w:spacing/>
      <w:ind/>
    </w:pPr>
    <w:rPr>
      <w:i/>
      <w:iCs/>
    </w:rPr>
  </w:style>
  <w:style w:type="character" w:styleId="882">
    <w:name w:val="Subtle Reference"/>
    <w:basedOn w:val="85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3">
    <w:name w:val="Book Title"/>
    <w:basedOn w:val="85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4">
    <w:name w:val="Header"/>
    <w:basedOn w:val="855"/>
    <w:link w:val="88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5">
    <w:name w:val="Header Char"/>
    <w:basedOn w:val="859"/>
    <w:link w:val="884"/>
    <w:uiPriority w:val="99"/>
    <w:pPr>
      <w:pBdr/>
      <w:spacing/>
      <w:ind/>
    </w:pPr>
  </w:style>
  <w:style w:type="paragraph" w:styleId="886">
    <w:name w:val="Footer"/>
    <w:basedOn w:val="855"/>
    <w:link w:val="88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7">
    <w:name w:val="Footer Char"/>
    <w:basedOn w:val="859"/>
    <w:link w:val="886"/>
    <w:uiPriority w:val="99"/>
    <w:pPr>
      <w:pBdr/>
      <w:spacing/>
      <w:ind/>
    </w:pPr>
  </w:style>
  <w:style w:type="paragraph" w:styleId="888">
    <w:name w:val="Caption"/>
    <w:basedOn w:val="855"/>
    <w:next w:val="8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89">
    <w:name w:val="FollowedHyperlink"/>
    <w:basedOn w:val="85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0">
    <w:name w:val="toc 1"/>
    <w:basedOn w:val="855"/>
    <w:next w:val="855"/>
    <w:uiPriority w:val="39"/>
    <w:unhideWhenUsed/>
    <w:pPr>
      <w:pBdr/>
      <w:spacing w:after="100"/>
      <w:ind/>
    </w:pPr>
  </w:style>
  <w:style w:type="paragraph" w:styleId="891">
    <w:name w:val="toc 2"/>
    <w:basedOn w:val="855"/>
    <w:next w:val="855"/>
    <w:uiPriority w:val="39"/>
    <w:unhideWhenUsed/>
    <w:pPr>
      <w:pBdr/>
      <w:spacing w:after="100"/>
      <w:ind w:left="220"/>
    </w:pPr>
  </w:style>
  <w:style w:type="paragraph" w:styleId="892">
    <w:name w:val="toc 3"/>
    <w:basedOn w:val="855"/>
    <w:next w:val="855"/>
    <w:uiPriority w:val="39"/>
    <w:unhideWhenUsed/>
    <w:pPr>
      <w:pBdr/>
      <w:spacing w:after="100"/>
      <w:ind w:left="440"/>
    </w:pPr>
  </w:style>
  <w:style w:type="paragraph" w:styleId="893">
    <w:name w:val="toc 4"/>
    <w:basedOn w:val="855"/>
    <w:next w:val="855"/>
    <w:uiPriority w:val="39"/>
    <w:unhideWhenUsed/>
    <w:pPr>
      <w:pBdr/>
      <w:spacing w:after="100"/>
      <w:ind w:left="660"/>
    </w:pPr>
  </w:style>
  <w:style w:type="paragraph" w:styleId="894">
    <w:name w:val="toc 5"/>
    <w:basedOn w:val="855"/>
    <w:next w:val="855"/>
    <w:uiPriority w:val="39"/>
    <w:unhideWhenUsed/>
    <w:pPr>
      <w:pBdr/>
      <w:spacing w:after="100"/>
      <w:ind w:left="880"/>
    </w:pPr>
  </w:style>
  <w:style w:type="paragraph" w:styleId="895">
    <w:name w:val="toc 6"/>
    <w:basedOn w:val="855"/>
    <w:next w:val="855"/>
    <w:uiPriority w:val="39"/>
    <w:unhideWhenUsed/>
    <w:pPr>
      <w:pBdr/>
      <w:spacing w:after="100"/>
      <w:ind w:left="1100"/>
    </w:pPr>
  </w:style>
  <w:style w:type="paragraph" w:styleId="896">
    <w:name w:val="toc 7"/>
    <w:basedOn w:val="855"/>
    <w:next w:val="855"/>
    <w:uiPriority w:val="39"/>
    <w:unhideWhenUsed/>
    <w:pPr>
      <w:pBdr/>
      <w:spacing w:after="100"/>
      <w:ind w:left="1320"/>
    </w:pPr>
  </w:style>
  <w:style w:type="paragraph" w:styleId="897">
    <w:name w:val="toc 8"/>
    <w:basedOn w:val="855"/>
    <w:next w:val="855"/>
    <w:uiPriority w:val="39"/>
    <w:unhideWhenUsed/>
    <w:pPr>
      <w:pBdr/>
      <w:spacing w:after="100"/>
      <w:ind w:left="1540"/>
    </w:pPr>
  </w:style>
  <w:style w:type="paragraph" w:styleId="898">
    <w:name w:val="toc 9"/>
    <w:basedOn w:val="855"/>
    <w:next w:val="855"/>
    <w:uiPriority w:val="39"/>
    <w:unhideWhenUsed/>
    <w:pPr>
      <w:pBdr/>
      <w:spacing w:after="100"/>
      <w:ind w:left="1760"/>
    </w:pPr>
  </w:style>
  <w:style w:type="character" w:styleId="899">
    <w:name w:val="Placeholder Text"/>
    <w:basedOn w:val="859"/>
    <w:uiPriority w:val="99"/>
    <w:semiHidden/>
    <w:pPr>
      <w:pBdr/>
      <w:spacing/>
      <w:ind/>
    </w:pPr>
    <w:rPr>
      <w:color w:val="666666"/>
    </w:rPr>
  </w:style>
  <w:style w:type="paragraph" w:styleId="900">
    <w:name w:val="TOC Heading"/>
    <w:uiPriority w:val="39"/>
    <w:unhideWhenUsed/>
    <w:pPr>
      <w:pBdr/>
      <w:spacing/>
      <w:ind/>
    </w:pPr>
  </w:style>
  <w:style w:type="paragraph" w:styleId="901">
    <w:name w:val="table of figures"/>
    <w:basedOn w:val="855"/>
    <w:next w:val="855"/>
    <w:uiPriority w:val="99"/>
    <w:unhideWhenUsed/>
    <w:pPr>
      <w:pBdr/>
      <w:spacing w:after="0" w:afterAutospacing="0"/>
      <w:ind/>
    </w:pPr>
  </w:style>
  <w:style w:type="paragraph" w:styleId="902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903">
    <w:name w:val="Heading 4"/>
    <w:qFormat/>
    <w:pPr>
      <w:pBdr/>
      <w:spacing/>
      <w:ind/>
    </w:pPr>
    <w:rPr>
      <w:i/>
      <w:iCs/>
      <w:color w:val="2e74b5"/>
    </w:rPr>
  </w:style>
  <w:style w:type="paragraph" w:styleId="904">
    <w:name w:val="Heading 5"/>
    <w:qFormat/>
    <w:pPr>
      <w:pBdr/>
      <w:spacing/>
      <w:ind/>
    </w:pPr>
    <w:rPr>
      <w:color w:val="2e74b5"/>
    </w:rPr>
  </w:style>
  <w:style w:type="paragraph" w:styleId="905">
    <w:name w:val="Heading 6"/>
    <w:qFormat/>
    <w:pPr>
      <w:pBdr/>
      <w:spacing/>
      <w:ind/>
    </w:pPr>
    <w:rPr>
      <w:color w:val="1f4d78"/>
    </w:rPr>
  </w:style>
  <w:style w:type="paragraph" w:styleId="906">
    <w:name w:val="Strong"/>
    <w:qFormat/>
    <w:pPr>
      <w:pBdr/>
      <w:spacing/>
      <w:ind/>
    </w:pPr>
    <w:rPr>
      <w:b/>
      <w:bCs/>
    </w:rPr>
  </w:style>
  <w:style w:type="paragraph" w:styleId="907">
    <w:name w:val="List Paragraph"/>
    <w:qFormat/>
    <w:pPr>
      <w:pBdr/>
      <w:spacing/>
      <w:ind/>
    </w:pPr>
  </w:style>
  <w:style w:type="character" w:styleId="908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909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10">
    <w:name w:val="footnote text"/>
    <w:link w:val="91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1">
    <w:name w:val="Footnote Text Char"/>
    <w:link w:val="910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12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13">
    <w:name w:val="endnote text"/>
    <w:link w:val="91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4">
    <w:name w:val="Endnote Text Char"/>
    <w:link w:val="913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915">
    <w:name w:val="Title"/>
    <w:qFormat/>
    <w:pPr>
      <w:pBdr/>
      <w:spacing w:after="120" w:before="0"/>
      <w:ind/>
    </w:pPr>
    <w:rPr>
      <w:rFonts w:ascii="Aptos" w:hAnsi="Aptos" w:eastAsia="Aptos" w:cs="Aptos"/>
      <w:b/>
      <w:bCs/>
      <w:color w:val="1d4ed8"/>
      <w:sz w:val="72"/>
      <w:szCs w:val="72"/>
    </w:rPr>
  </w:style>
  <w:style w:type="paragraph" w:styleId="916">
    <w:name w:val="Heading 1"/>
    <w:qFormat/>
    <w:pPr>
      <w:pBdr>
        <w:bottom w:val="single" w:color="bfdbfe" w:sz="6" w:space="4"/>
      </w:pBdr>
      <w:spacing w:after="140" w:before="360"/>
      <w:ind/>
      <w:outlineLvl w:val="0"/>
    </w:pPr>
    <w:rPr>
      <w:rFonts w:ascii="Aptos" w:hAnsi="Aptos" w:eastAsia="Aptos" w:cs="Aptos"/>
      <w:b/>
      <w:bCs/>
      <w:color w:val="1d4ed8"/>
      <w:sz w:val="32"/>
      <w:szCs w:val="32"/>
    </w:rPr>
  </w:style>
  <w:style w:type="paragraph" w:styleId="917">
    <w:name w:val="Heading 2"/>
    <w:qFormat/>
    <w:pPr>
      <w:pBdr/>
      <w:spacing w:after="100" w:before="260"/>
      <w:ind/>
      <w:outlineLvl w:val="1"/>
    </w:pPr>
    <w:rPr>
      <w:rFonts w:ascii="Aptos" w:hAnsi="Aptos" w:eastAsia="Aptos" w:cs="Aptos"/>
      <w:b/>
      <w:bCs/>
      <w:color w:val="1f2937"/>
      <w:sz w:val="25"/>
      <w:szCs w:val="2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UI/UX — Sistema de diseño corporativo (paleta azul)</dc:title>
  <dc:creator>Equipo de diseño</dc:creator>
  <cp:revision>4</cp:revision>
  <dcterms:created xsi:type="dcterms:W3CDTF">2026-10-12T15:02:29Z</dcterms:created>
  <dcterms:modified xsi:type="dcterms:W3CDTF">2026-10-13T17:02:42Z</dcterms:modified>
</cp:coreProperties>
</file>