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spacing w:before="1200" w:after="480"/>
        <w:jc w:val="center"/>
      </w:pPr>
      <w:r>
        <w:rPr>
          <w:rFonts w:ascii="Arial" w:hAnsi="Arial" w:eastAsia="Arial" w:cs="Arial"/>
          <w:b/>
          <w:color w:val="000000"/>
          <w:sz w:val="36"/>
        </w:rPr>
        <w:t>DOCUMENTO DE ARQUITETURA DO SISTEMA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cantSplit w:val="1"/>
        </w:trPr>
        <w:tc>
          <w:tcPr>
            <w:tcW w:type="dxa" w:w="2835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Nome do Projeto:</w:t>
            </w:r>
          </w:p>
        </w:tc>
        <w:tc>
          <w:tcPr>
            <w:tcW w:type="dxa" w:w="62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SIGA UEA – Sistema de Gestão de TCC do NUCOMP-UEA</w:t>
            </w:r>
          </w:p>
        </w:tc>
      </w:tr>
      <w:tr>
        <w:trPr>
          <w:cantSplit w:val="1"/>
        </w:trPr>
        <w:tc>
          <w:tcPr>
            <w:tcW w:type="dxa" w:w="2835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Instituição:</w:t>
            </w:r>
          </w:p>
        </w:tc>
        <w:tc>
          <w:tcPr>
            <w:tcW w:type="dxa" w:w="62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UEA – Universidade do Estado do Amazonas, Escola Superior de Tecnologia (EST) – NUCOMP</w:t>
            </w:r>
          </w:p>
        </w:tc>
      </w:tr>
      <w:tr>
        <w:trPr>
          <w:cantSplit w:val="1"/>
        </w:trPr>
        <w:tc>
          <w:tcPr>
            <w:tcW w:type="dxa" w:w="2835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Patrocinadora / Cliente:</w:t>
            </w:r>
          </w:p>
        </w:tc>
        <w:tc>
          <w:tcPr>
            <w:tcW w:type="dxa" w:w="62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Profª Drª Diana Maria da Câmara – Coordenação do NUCOMP</w:t>
            </w:r>
          </w:p>
        </w:tc>
      </w:tr>
      <w:tr>
        <w:trPr>
          <w:cantSplit w:val="1"/>
        </w:trPr>
        <w:tc>
          <w:tcPr>
            <w:tcW w:type="dxa" w:w="2835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Equipe / Gerentes do Projeto:</w:t>
            </w:r>
          </w:p>
        </w:tc>
        <w:tc>
          <w:tcPr>
            <w:tcW w:type="dxa" w:w="62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Davih Taumaturgo Soares, Igor Leite de Almeida, Igor Meireles de Lima Taveira, Matheus Maia Braga e Samuel Ogino Barbosa.</w:t>
            </w:r>
          </w:p>
        </w:tc>
      </w:tr>
      <w:tr>
        <w:trPr>
          <w:cantSplit w:val="1"/>
        </w:trPr>
        <w:tc>
          <w:tcPr>
            <w:tcW w:type="dxa" w:w="2835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Documento de referência:</w:t>
            </w:r>
          </w:p>
        </w:tc>
        <w:tc>
          <w:tcPr>
            <w:tcW w:type="dxa" w:w="62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Plano de Integração do Projeto, versão 2.3, seções 4.6.1 e 4.6.2; história HT03 (SCRUM-108)</w:t>
            </w:r>
          </w:p>
        </w:tc>
      </w:tr>
      <w:tr>
        <w:trPr>
          <w:cantSplit w:val="1"/>
        </w:trPr>
        <w:tc>
          <w:tcPr>
            <w:tcW w:type="dxa" w:w="2835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Data:</w:t>
            </w:r>
          </w:p>
        </w:tc>
        <w:tc>
          <w:tcPr>
            <w:tcW w:type="dxa" w:w="62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20/10/2026</w:t>
            </w:r>
          </w:p>
        </w:tc>
      </w:tr>
      <w:tr>
        <w:trPr>
          <w:cantSplit w:val="1"/>
        </w:trPr>
        <w:tc>
          <w:tcPr>
            <w:tcW w:type="dxa" w:w="2835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  <w:t>Versão:</w:t>
            </w:r>
          </w:p>
        </w:tc>
        <w:tc>
          <w:tcPr>
            <w:tcW w:type="dxa" w:w="62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1.0</w:t>
            </w:r>
          </w:p>
        </w:tc>
      </w:tr>
    </w:tbl>
    <w:p>
      <w:r>
        <w:br w:type="page"/>
      </w:r>
    </w:p>
    <w:p>
      <w:pPr>
        <w:spacing w:before="0" w:after="200"/>
      </w:pPr>
      <w:r>
        <w:rPr>
          <w:rFonts w:ascii="Arial" w:hAnsi="Arial" w:eastAsia="Arial" w:cs="Arial"/>
          <w:b/>
          <w:color w:val="000000"/>
          <w:sz w:val="30"/>
        </w:rPr>
        <w:t>SUMÁRIO</w:t>
      </w:r>
    </w:p>
    <w:p>
      <w:pPr>
        <w:tabs>
          <w:tab w:pos="9071" w:val="right" w:leader="dot"/>
        </w:tabs>
        <w:spacing w:before="0" w:after="60" w:line="260" w:lineRule="auto"/>
        <w:ind w:left="0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Arial" w:hAnsi="Arial" w:eastAsia="Arial" w:cs="Arial"/>
          <w:b/>
          <w:color w:val="000000"/>
          <w:sz w:val="22"/>
        </w:rPr>
        <w:t>1. INTRODUÇÃO</w:t>
        <w:tab/>
        <w:t>3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1.1 Objetivo</w:t>
        <w:tab/>
        <w:t>3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1.2 Escopo</w:t>
        <w:tab/>
        <w:t>3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1.3 Documentos de referência</w:t>
        <w:tab/>
        <w:t>3</w:t>
      </w:r>
    </w:p>
    <w:p>
      <w:pPr>
        <w:tabs>
          <w:tab w:pos="9071" w:val="right" w:leader="dot"/>
        </w:tabs>
        <w:spacing w:before="0" w:after="60" w:line="260" w:lineRule="auto"/>
        <w:ind w:left="340"/>
      </w:pPr>
      <w:r>
        <w:rPr>
          <w:rFonts w:ascii="Arial" w:hAnsi="Arial" w:eastAsia="Arial" w:cs="Arial"/>
          <w:b w:val="0"/>
          <w:color w:val="000000"/>
          <w:sz w:val="22"/>
        </w:rPr>
        <w:t>1.4 Siglas</w:t>
        <w:tab/>
        <w:t>3</w:t>
      </w:r>
    </w:p>
    <w:p>
      <w:pPr>
        <w:tabs>
          <w:tab w:pos="9071" w:val="right" w:leader="dot"/>
        </w:tabs>
        <w:spacing w:before="0" w:after="60" w:line="260" w:lineRule="auto"/>
        <w:ind w:left="0"/>
      </w:pPr>
      <w:r>
        <w:rPr>
          <w:rFonts w:ascii="Arial" w:hAnsi="Arial" w:eastAsia="Arial" w:cs="Arial"/>
          <w:b/>
          <w:color w:val="000000"/>
          <w:sz w:val="22"/>
        </w:rPr>
        <w:t>2. VISÃO GERAL</w:t>
        <w:tab/>
        <w:t>3</w:t>
      </w:r>
    </w:p>
    <w:p>
      <w:pPr>
        <w:tabs>
          <w:tab w:pos="9071" w:val="right" w:leader="dot"/>
        </w:tabs>
        <w:spacing w:before="0" w:after="60" w:line="260" w:lineRule="auto"/>
        <w:ind w:left="0"/>
      </w:pPr>
      <w:r>
        <w:rPr>
          <w:rFonts w:ascii="Arial" w:hAnsi="Arial" w:eastAsia="Arial" w:cs="Arial"/>
          <w:b/>
          <w:color w:val="000000"/>
          <w:sz w:val="22"/>
        </w:rPr>
        <w:t>3. CAMADAS DO SITE</w:t>
        <w:tab/>
        <w:t>4</w:t>
      </w:r>
    </w:p>
    <w:p>
      <w:pPr>
        <w:tabs>
          <w:tab w:pos="9071" w:val="right" w:leader="dot"/>
        </w:tabs>
        <w:spacing w:before="0" w:after="60" w:line="260" w:lineRule="auto"/>
        <w:ind w:left="0"/>
      </w:pPr>
      <w:r>
        <w:rPr>
          <w:rFonts w:ascii="Arial" w:hAnsi="Arial" w:eastAsia="Arial" w:cs="Arial"/>
          <w:b/>
          <w:color w:val="000000"/>
          <w:sz w:val="22"/>
        </w:rPr>
        <w:t>4. CAMADAS DA API</w:t>
        <w:tab/>
        <w:t>4</w:t>
      </w:r>
    </w:p>
    <w:p>
      <w:pPr>
        <w:tabs>
          <w:tab w:pos="9071" w:val="right" w:leader="dot"/>
        </w:tabs>
        <w:spacing w:before="0" w:after="60" w:line="260" w:lineRule="auto"/>
        <w:ind w:left="0"/>
      </w:pPr>
      <w:r>
        <w:rPr>
          <w:rFonts w:ascii="Arial" w:hAnsi="Arial" w:eastAsia="Arial" w:cs="Arial"/>
          <w:b/>
          <w:color w:val="000000"/>
          <w:sz w:val="22"/>
        </w:rPr>
        <w:t>5. CAMINHO DE UMA REQUISIÇÃO</w:t>
        <w:tab/>
        <w:t>5</w:t>
      </w:r>
    </w:p>
    <w:p>
      <w:pPr>
        <w:tabs>
          <w:tab w:pos="9071" w:val="right" w:leader="dot"/>
        </w:tabs>
        <w:spacing w:before="0" w:after="60" w:line="260" w:lineRule="auto"/>
        <w:ind w:left="0"/>
      </w:pPr>
      <w:r>
        <w:rPr>
          <w:rFonts w:ascii="Arial" w:hAnsi="Arial" w:eastAsia="Arial" w:cs="Arial"/>
          <w:b/>
          <w:color w:val="000000"/>
          <w:sz w:val="22"/>
        </w:rPr>
        <w:t>6. SEGURANÇA</w:t>
        <w:tab/>
        <w:t>6</w:t>
      </w:r>
    </w:p>
    <w:p>
      <w:pPr>
        <w:tabs>
          <w:tab w:pos="9071" w:val="right" w:leader="dot"/>
        </w:tabs>
        <w:spacing w:before="0" w:after="60" w:line="260" w:lineRule="auto"/>
        <w:ind w:left="0"/>
      </w:pPr>
      <w:r>
        <w:rPr>
          <w:rFonts w:ascii="Arial" w:hAnsi="Arial" w:eastAsia="Arial" w:cs="Arial"/>
          <w:b/>
          <w:color w:val="000000"/>
          <w:sz w:val="22"/>
        </w:rPr>
        <w:t>7. DADOS E CONSISTÊNCIA</w:t>
        <w:tab/>
        <w:t>6</w:t>
      </w:r>
    </w:p>
    <w:p>
      <w:pPr>
        <w:tabs>
          <w:tab w:pos="9071" w:val="right" w:leader="dot"/>
        </w:tabs>
        <w:spacing w:before="0" w:after="60" w:line="260" w:lineRule="auto"/>
        <w:ind w:left="0"/>
      </w:pPr>
      <w:r>
        <w:rPr>
          <w:rFonts w:ascii="Arial" w:hAnsi="Arial" w:eastAsia="Arial" w:cs="Arial"/>
          <w:b/>
          <w:color w:val="000000"/>
          <w:sz w:val="22"/>
        </w:rPr>
        <w:t>8. AMBIENTES</w:t>
        <w:tab/>
        <w:t>6</w:t>
      </w:r>
    </w:p>
    <w:p>
      <w:pPr>
        <w:tabs>
          <w:tab w:pos="9071" w:val="right" w:leader="dot"/>
        </w:tabs>
        <w:spacing w:before="0" w:after="60" w:line="260" w:lineRule="auto"/>
        <w:ind w:left="0"/>
      </w:pPr>
      <w:r>
        <w:rPr>
          <w:rFonts w:ascii="Arial" w:hAnsi="Arial" w:eastAsia="Arial" w:cs="Arial"/>
          <w:b/>
          <w:color w:val="000000"/>
          <w:sz w:val="22"/>
        </w:rPr>
        <w:t>9. DECISÕES DE ARQUITETURA</w:t>
        <w:tab/>
        <w:t>7</w:t>
      </w:r>
    </w:p>
    <w:p>
      <w:pPr>
        <w:tabs>
          <w:tab w:pos="9071" w:val="right" w:leader="dot"/>
        </w:tabs>
        <w:spacing w:before="0" w:after="60" w:line="260" w:lineRule="auto"/>
        <w:ind w:left="0"/>
      </w:pPr>
      <w:r>
        <w:rPr>
          <w:rFonts w:ascii="Arial" w:hAnsi="Arial" w:eastAsia="Arial" w:cs="Arial"/>
          <w:b/>
          <w:color w:val="000000"/>
          <w:sz w:val="22"/>
        </w:rPr>
        <w:t>10. ATENDIMENTO AOS REQUISITOS NÃO FUNCIONAIS</w:t>
        <w:tab/>
        <w:t>7</w:t>
      </w:r>
    </w:p>
    <w:p>
      <w:pPr>
        <w:tabs>
          <w:tab w:pos="9071" w:val="right" w:leader="dot"/>
        </w:tabs>
        <w:spacing w:before="0" w:after="60" w:line="260" w:lineRule="auto"/>
        <w:ind w:left="0"/>
      </w:pPr>
      <w:r>
        <w:rPr>
          <w:rFonts w:ascii="Arial" w:hAnsi="Arial" w:eastAsia="Arial" w:cs="Arial"/>
          <w:b/>
          <w:color w:val="000000"/>
          <w:sz w:val="22"/>
        </w:rPr>
        <w:t>11. VERIFICAÇÃO DA ARQUITETURA</w:t>
        <w:tab/>
        <w:t>8</w:t>
      </w:r>
    </w:p>
    <w:p>
      <w:pPr>
        <w:tabs>
          <w:tab w:pos="9071" w:val="right" w:leader="dot"/>
        </w:tabs>
        <w:spacing w:before="0" w:after="60" w:line="260" w:lineRule="auto"/>
        <w:ind w:left="0"/>
      </w:pPr>
      <w:r>
        <w:rPr>
          <w:rFonts w:ascii="Arial" w:hAnsi="Arial" w:eastAsia="Arial" w:cs="Arial"/>
          <w:b/>
          <w:color w:val="000000"/>
          <w:sz w:val="22"/>
        </w:rPr>
        <w:t>12. REGISTRO DE ALTERAÇÕES</w:t>
        <w:tab/>
        <w:t>9</w:t>
      </w:r>
    </w:p>
    <w:p>
      <w:pPr>
        <w:tabs>
          <w:tab w:pos="9071" w:val="right" w:leader="dot"/>
        </w:tabs>
        <w:spacing w:before="0" w:after="60" w:line="260" w:lineRule="auto"/>
        <w:ind w:left="0"/>
      </w:pPr>
      <w:r>
        <w:rPr>
          <w:rFonts w:ascii="Arial" w:hAnsi="Arial" w:eastAsia="Arial" w:cs="Arial"/>
          <w:b/>
          <w:color w:val="000000"/>
          <w:sz w:val="22"/>
        </w:rPr>
        <w:t>13. APROVAÇÕES</w:t>
        <w:tab/>
        <w:t>9</w:t>
      </w:r>
    </w:p>
    <w:p>
      <w:pPr>
        <w:tabs>
          <w:tab w:pos="9071" w:val="right" w:leader="dot"/>
        </w:tabs>
        <w:spacing w:before="0" w:after="60" w:line="260" w:lineRule="auto"/>
        <w:ind w:left="0"/>
      </w:pPr>
      <w:r>
        <w:rPr>
          <w:rFonts w:ascii="Arial" w:hAnsi="Arial" w:eastAsia="Arial" w:cs="Arial"/>
          <w:b/>
          <w:color w:val="000000"/>
          <w:sz w:val="22"/>
        </w:rPr>
        <w:t>14. REFERÊNCIAS</w:t>
        <w:tab/>
        <w:t>9</w:t>
      </w:r>
    </w:p>
    <w:p>
      <w:r>
        <w:fldChar w:fldCharType="end"/>
      </w: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Arial" w:hAnsi="Arial" w:eastAsia="Arial" w:cs="Arial"/>
          <w:b/>
          <w:color w:val="000000"/>
          <w:sz w:val="30"/>
        </w:rPr>
        <w:t>1. INTRODUÇÃO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Este documento descreve a arquitetura do SIGA UEA – Sistema de Gestão de TCC do NUCOMP-UEA: como o sistema está organizado em camadas, o caminho de uma requisição e as decisões que sustentam essa organização. Ele atende à parte de arquitetura da história HT03 (Arquitetura e contrato de API) e detalha a estratégia de integração da seção 4.6.1 do Plano de Integração do Projeto.</w:t>
      </w: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1.1 Objetivo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Dar à equipe uma descrição única de onde cada responsabilidade fica no código, para que o frontend e o backend evoluam em paralelo sem retrabalho e para que cada requisito novo encontre o seu lugar.</w:t>
      </w: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1.2 Escopo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Descreve o sistema como está na branch dev em 20/10/2026 (módulo de usuários, turmas e cadastro de TCC) e a organização que os próximos módulos seguem (defesa, publicação, indicadores e agenda).</w:t>
      </w: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1.3 Documentos de referência</w:t>
      </w: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Plano de Integração do Projeto – SIGA UEA, versão 2.3, seções 4.6.1 (estratégia de integração) e 4.6.2 (dependências de integração).</w:t>
      </w: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Contrato da API do SIGA UEA (documento que acompanha este): as 51 operações, com corpo, resposta e códigos.</w:t>
      </w: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Diagramas UML de componentes, pacotes e implantação (D04, pasta 04_Arquitetura).</w:t>
      </w: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Requisitos_SIGA_UEA.xlsx: requisitos, regras de negócio e requisitos não funcionais.</w:t>
      </w:r>
    </w:p>
    <w:p>
      <w:pPr>
        <w:pStyle w:val="Heading2"/>
        <w:keepNext/>
        <w:spacing w:before="280" w:after="140"/>
      </w:pPr>
      <w:r>
        <w:rPr>
          <w:rFonts w:ascii="Arial" w:hAnsi="Arial" w:eastAsia="Arial" w:cs="Arial"/>
          <w:b/>
          <w:color w:val="000000"/>
          <w:sz w:val="26"/>
        </w:rPr>
        <w:t>1.4 Siglas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tblHeader w:val="1"/>
          <w:cantSplit w:val="1"/>
        </w:trPr>
        <w:tc>
          <w:tcPr>
            <w:tcW w:type="dxa" w:w="198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Sigla</w:t>
            </w:r>
          </w:p>
        </w:tc>
        <w:tc>
          <w:tcPr>
            <w:tcW w:type="dxa" w:w="708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Significado</w:t>
            </w:r>
          </w:p>
        </w:tc>
      </w:tr>
      <w:tr>
        <w:trPr>
          <w:cantSplit w:val="1"/>
        </w:trPr>
        <w:tc>
          <w:tcPr>
            <w:tcW w:type="dxa" w:w="19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API</w:t>
            </w:r>
          </w:p>
        </w:tc>
        <w:tc>
          <w:tcPr>
            <w:tcW w:type="dxa" w:w="708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Interface de comunicação entre o site e o servidor (REST/JSON, sob /api/v1).</w:t>
            </w:r>
          </w:p>
        </w:tc>
      </w:tr>
      <w:tr>
        <w:trPr>
          <w:cantSplit w:val="1"/>
        </w:trPr>
        <w:tc>
          <w:tcPr>
            <w:tcW w:type="dxa" w:w="19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ORM</w:t>
            </w:r>
          </w:p>
        </w:tc>
        <w:tc>
          <w:tcPr>
            <w:tcW w:type="dxa" w:w="708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Mapeamento entre as classes do código e as tabelas do banco (SQLAlchemy).</w:t>
            </w:r>
          </w:p>
        </w:tc>
      </w:tr>
      <w:tr>
        <w:trPr>
          <w:cantSplit w:val="1"/>
        </w:trPr>
        <w:tc>
          <w:tcPr>
            <w:tcW w:type="dxa" w:w="19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REST</w:t>
            </w:r>
          </w:p>
        </w:tc>
        <w:tc>
          <w:tcPr>
            <w:tcW w:type="dxa" w:w="708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Estilo de API em que cada recurso tem um endereço e as operações usam os métodos HTTP.</w:t>
            </w:r>
          </w:p>
        </w:tc>
      </w:tr>
      <w:tr>
        <w:trPr>
          <w:cantSplit w:val="1"/>
        </w:trPr>
        <w:tc>
          <w:tcPr>
            <w:tcW w:type="dxa" w:w="19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RN, RNF, RBN</w:t>
            </w:r>
          </w:p>
        </w:tc>
        <w:tc>
          <w:tcPr>
            <w:tcW w:type="dxa" w:w="708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Regra de negócio, requisito não funcional e requisito de baixo nível da planilha.</w:t>
            </w:r>
          </w:p>
        </w:tc>
      </w:tr>
      <w:tr>
        <w:trPr>
          <w:cantSplit w:val="1"/>
        </w:trPr>
        <w:tc>
          <w:tcPr>
            <w:tcW w:type="dxa" w:w="19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DS-FLxx</w:t>
            </w:r>
          </w:p>
        </w:tc>
        <w:tc>
          <w:tcPr>
            <w:tcW w:type="dxa" w:w="708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Diagrama de sequência do fluxo FLxx (Documento de Sequência).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200"/>
      </w:pPr>
      <w:r>
        <w:rPr>
          <w:rFonts w:ascii="Arial" w:hAnsi="Arial" w:eastAsia="Arial" w:cs="Arial"/>
          <w:b/>
          <w:color w:val="000000"/>
          <w:sz w:val="30"/>
        </w:rPr>
        <w:t>2. VISÃO GERAL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O SIGA UEA é uma aplicação web em três partes, que conversam somente por contratos explícitos: o site e a API integram-se pelo contrato da API; a API e o banco, pelo esquema versionado nas migrações. O serviço de e-mail fica encapsulado em um componente próprio e pode ser trocado sem alterar o restante.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124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Parte</w:t>
            </w:r>
          </w:p>
        </w:tc>
        <w:tc>
          <w:tcPr>
            <w:tcW w:type="dxa" w:w="300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Tecnologia</w:t>
            </w:r>
          </w:p>
        </w:tc>
        <w:tc>
          <w:tcPr>
            <w:tcW w:type="dxa" w:w="481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Papel</w:t>
            </w:r>
          </w:p>
        </w:tc>
      </w:tr>
      <w:tr>
        <w:trPr>
          <w:cantSplit w:val="1"/>
        </w:trPr>
        <w:tc>
          <w:tcPr>
            <w:tcW w:type="dxa" w:w="124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Site</w:t>
            </w:r>
          </w:p>
        </w:tc>
        <w:tc>
          <w:tcPr>
            <w:tcW w:type="dxa" w:w="300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Next.js 16 com React 19 (TypeScript, Tailwind)</w:t>
            </w:r>
          </w:p>
        </w:tc>
        <w:tc>
          <w:tcPr>
            <w:tcW w:type="dxa" w:w="481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Telas e navegação. Não guarda regra de negócio nem acessa o banco.</w:t>
            </w:r>
          </w:p>
        </w:tc>
      </w:tr>
      <w:tr>
        <w:trPr>
          <w:cantSplit w:val="1"/>
        </w:trPr>
        <w:tc>
          <w:tcPr>
            <w:tcW w:type="dxa" w:w="124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API</w:t>
            </w:r>
          </w:p>
        </w:tc>
        <w:tc>
          <w:tcPr>
            <w:tcW w:type="dxa" w:w="300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Python 3.12 com FastAPI, SQLAlchemy 2.1 e Alembic</w:t>
            </w:r>
          </w:p>
        </w:tc>
        <w:tc>
          <w:tcPr>
            <w:tcW w:type="dxa" w:w="481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Regras de negócio, autorização, validação e auditoria, expostas como REST/JSON sob /api/v1.</w:t>
            </w:r>
          </w:p>
        </w:tc>
      </w:tr>
      <w:tr>
        <w:trPr>
          <w:cantSplit w:val="1"/>
        </w:trPr>
        <w:tc>
          <w:tcPr>
            <w:tcW w:type="dxa" w:w="124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Banco</w:t>
            </w:r>
          </w:p>
        </w:tc>
        <w:tc>
          <w:tcPr>
            <w:tcW w:type="dxa" w:w="300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PostgreSQL 16 (SQLite no desenvolvimento)</w:t>
            </w:r>
          </w:p>
        </w:tc>
        <w:tc>
          <w:tcPr>
            <w:tcW w:type="dxa" w:w="481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Dados, restrições de integridade e o log de auditoria imutável. Esquema criado por migrações.</w:t>
            </w:r>
          </w:p>
        </w:tc>
      </w:tr>
    </w:tbl>
    <w:p>
      <w:pPr>
        <w:spacing w:before="0" w:after="60"/>
      </w:pP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 xml:space="preserve">O sistema é um </w:t>
      </w:r>
      <w:r>
        <w:rPr>
          <w:rFonts w:ascii="Arial" w:hAnsi="Arial" w:eastAsia="Arial" w:cs="Arial"/>
          <w:b/>
          <w:color w:val="000000"/>
          <w:sz w:val="22"/>
        </w:rPr>
        <w:t>monólito modular</w:t>
      </w:r>
      <w:r>
        <w:rPr>
          <w:rFonts w:ascii="Arial" w:hAnsi="Arial" w:eastAsia="Arial" w:cs="Arial"/>
          <w:b w:val="0"/>
          <w:color w:val="000000"/>
          <w:sz w:val="22"/>
        </w:rPr>
        <w:t>: uma única API, organizada por módulo de negócio (usuários, turmas e cadastro de TCC; depois defesa, publicação e agenda), e não um conjunto de microsserviços. Para uma equipe de cinco pessoas com 8 h semanais, um único serviço para publicar, testar e manter reduz o risco de integração, apontado no Plano de Integração como o principal risco técnico do projeto.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O caminho completo é: navegador → site (HTTPS) → repasse de /api/v1 → API → PostgreSQL, com a API enviando e-mails ao servidor SMTP.</w:t>
      </w:r>
    </w:p>
    <w:p>
      <w:pPr>
        <w:pStyle w:val="Heading1"/>
        <w:keepNext/>
        <w:spacing w:before="360" w:after="200"/>
      </w:pPr>
      <w:r>
        <w:rPr>
          <w:rFonts w:ascii="Arial" w:hAnsi="Arial" w:eastAsia="Arial" w:cs="Arial"/>
          <w:b/>
          <w:color w:val="000000"/>
          <w:sz w:val="30"/>
        </w:rPr>
        <w:t>3. CAMADAS DO SITE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O site fica nas pastas app/, components/ e lib/ do repositório, além do arquivo proxy.ts.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204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260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Onde</w:t>
            </w:r>
          </w:p>
        </w:tc>
        <w:tc>
          <w:tcPr>
            <w:tcW w:type="dxa" w:w="4422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Responsabilidade</w:t>
            </w:r>
          </w:p>
        </w:tc>
      </w:tr>
      <w:tr>
        <w:trPr>
          <w:cantSplit w:val="1"/>
        </w:trPr>
        <w:tc>
          <w:tcPr>
            <w:tcW w:type="dxa" w:w="204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Páginas</w:t>
            </w:r>
          </w:p>
        </w:tc>
        <w:tc>
          <w:tcPr>
            <w:tcW w:type="dxa" w:w="260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app/(publico)/ e app/(sistema)/</w:t>
            </w:r>
          </w:p>
        </w:tc>
        <w:tc>
          <w:tcPr>
            <w:tcW w:type="dxa" w:w="442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Uma pasta por tela: acesso e sessão (TEL01), usuários e perfis, meu perfil, TCCs, cadastro, acompanhamento, orientações e turmas. As telas internas são componentes de cliente que chamam a API e mostram o resultado.</w:t>
            </w:r>
          </w:p>
        </w:tc>
      </w:tr>
      <w:tr>
        <w:trPr>
          <w:cantSplit w:val="1"/>
        </w:trPr>
        <w:tc>
          <w:tcPr>
            <w:tcW w:type="dxa" w:w="204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Componentes de interface</w:t>
            </w:r>
          </w:p>
        </w:tc>
        <w:tc>
          <w:tcPr>
            <w:tcW w:type="dxa" w:w="260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components/</w:t>
            </w:r>
          </w:p>
        </w:tc>
        <w:tc>
          <w:tcPr>
            <w:tcW w:type="dxa" w:w="442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Peças reutilizadas (campo, botão, modal, aviso, casca, selos de situação, cartão de turma), sem acesso à API. Garantem o mesmo visual e a acessibilidade em todas as telas.</w:t>
            </w:r>
          </w:p>
        </w:tc>
      </w:tr>
      <w:tr>
        <w:trPr>
          <w:cantSplit w:val="1"/>
        </w:trPr>
        <w:tc>
          <w:tcPr>
            <w:tcW w:type="dxa" w:w="204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Cliente da API e sessão</w:t>
            </w:r>
          </w:p>
        </w:tc>
        <w:tc>
          <w:tcPr>
            <w:tcW w:type="dxa" w:w="260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lib/api.ts, lib/sessao.tsx, lib/sessao-servidor.ts, lib/tipos.ts</w:t>
            </w:r>
          </w:p>
        </w:tc>
        <w:tc>
          <w:tcPr>
            <w:tcW w:type="dxa" w:w="442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api.ts é o único ponto que faz chamadas HTTP: monta a requisição, lê o erro no formato padrão e leva ao login quando a API responde 401. sessao-servidor.ts pergunta à API quem é o usuário antes de desenhar uma tela interna; tipos.ts espelha os esquemas da API.</w:t>
            </w:r>
          </w:p>
        </w:tc>
      </w:tr>
      <w:tr>
        <w:trPr>
          <w:cantSplit w:val="1"/>
        </w:trPr>
        <w:tc>
          <w:tcPr>
            <w:tcW w:type="dxa" w:w="204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Proxy de navegação e repasse</w:t>
            </w:r>
          </w:p>
        </w:tc>
        <w:tc>
          <w:tcPr>
            <w:tcW w:type="dxa" w:w="260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proxy.ts e next.config.ts</w:t>
            </w:r>
          </w:p>
        </w:tc>
        <w:tc>
          <w:tcPr>
            <w:tcW w:type="dxa" w:w="442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proxy.ts leva ao login quem abre uma tela interna sem o cookie de sessão. Os rewrites repassam /api/v1 para a API, de modo que o navegador fala com uma única origem.</w:t>
            </w:r>
          </w:p>
        </w:tc>
      </w:tr>
    </w:tbl>
    <w:p>
      <w:pPr>
        <w:spacing w:before="0" w:after="60"/>
      </w:pP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Regra da camada: o site nunca decide permissão. Esconder um item do menu é apenas conveniência; a autorização é conferida pela API em toda rota.</w:t>
      </w:r>
    </w:p>
    <w:p>
      <w:pPr>
        <w:pStyle w:val="Heading1"/>
        <w:keepNext/>
        <w:spacing w:before="360" w:after="200"/>
      </w:pPr>
      <w:r>
        <w:rPr>
          <w:rFonts w:ascii="Arial" w:hAnsi="Arial" w:eastAsia="Arial" w:cs="Arial"/>
          <w:b/>
          <w:color w:val="000000"/>
          <w:sz w:val="30"/>
        </w:rPr>
        <w:t>4. CAMADAS DA API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A API fica em backend/app/. Cada camada só chama a de baixo: rotas → serviços → modelos → banco. Os esquemas, a segurança e os módulos transversais apoiam as rotas e os serviços.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147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170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Onde</w:t>
            </w:r>
          </w:p>
        </w:tc>
        <w:tc>
          <w:tcPr>
            <w:tcW w:type="dxa" w:w="3742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Responsabilidade</w:t>
            </w:r>
          </w:p>
        </w:tc>
        <w:tc>
          <w:tcPr>
            <w:tcW w:type="dxa" w:w="215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Não faz</w:t>
            </w:r>
          </w:p>
        </w:tc>
      </w:tr>
      <w:tr>
        <w:trPr>
          <w:cantSplit w:val="1"/>
        </w:trPr>
        <w:tc>
          <w:tcPr>
            <w:tcW w:type="dxa" w:w="147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Rotas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routes/</w:t>
            </w:r>
          </w:p>
        </w:tc>
        <w:tc>
          <w:tcPr>
            <w:tcW w:type="dxa" w:w="374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Recebe a requisição, declara o perfil exigido, converte a entrada pelo esquema e chama um serviço.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 tem regra de negócio nem consulta o banco.</w:t>
            </w:r>
          </w:p>
        </w:tc>
      </w:tr>
      <w:tr>
        <w:trPr>
          <w:cantSplit w:val="1"/>
        </w:trPr>
        <w:tc>
          <w:tcPr>
            <w:tcW w:type="dxa" w:w="147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Esquemas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schemas/ (Pydantic)</w:t>
            </w:r>
          </w:p>
        </w:tc>
        <w:tc>
          <w:tcPr>
            <w:tcW w:type="dxa" w:w="374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Formato de entrada e saída de cada rota: tipos, obrigatoriedade, tamanhos e validações de campo. Entrada inválida responde 400 com a mensagem de cada campo.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 acessa o banco.</w:t>
            </w:r>
          </w:p>
        </w:tc>
      </w:tr>
      <w:tr>
        <w:trPr>
          <w:cantSplit w:val="1"/>
        </w:trPr>
        <w:tc>
          <w:tcPr>
            <w:tcW w:type="dxa" w:w="147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Segurança e sessão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deps.py, security.py</w:t>
            </w:r>
          </w:p>
        </w:tc>
        <w:tc>
          <w:tcPr>
            <w:tcW w:type="dxa" w:w="374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Exige sessão válida e renova os 60 minutos; recusa com 403 quem não tem o perfil; aplica a regra de senha, o hash bcrypt (custo ≥ 10) e os tokens de link.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 conhece as telas.</w:t>
            </w:r>
          </w:p>
        </w:tc>
      </w:tr>
      <w:tr>
        <w:trPr>
          <w:cantSplit w:val="1"/>
        </w:trPr>
        <w:tc>
          <w:tcPr>
            <w:tcW w:type="dxa" w:w="147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Serviços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services/</w:t>
            </w:r>
          </w:p>
        </w:tc>
        <w:tc>
          <w:tcPr>
            <w:tcW w:type="dxa" w:w="374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Regras de negócio (RN04, RN05, RN07, elegibilidade do orientador, protocolo, situações). Cada operação é uma transação e grava o log de auditoria. Os comentários citam o passo do diagrama de sequência.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 monta resposta HTTP: sinaliza o erro com ErroAPI(código, mensagem).</w:t>
            </w:r>
          </w:p>
        </w:tc>
      </w:tr>
      <w:tr>
        <w:trPr>
          <w:cantSplit w:val="1"/>
        </w:trPr>
        <w:tc>
          <w:tcPr>
            <w:tcW w:type="dxa" w:w="147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Modelos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models.py (SQLAlchemy)</w:t>
            </w:r>
          </w:p>
        </w:tc>
        <w:tc>
          <w:tcPr>
            <w:tcW w:type="dxa" w:w="374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Tabelas, relacionamentos e restrições, com os nomes do modelo lógico.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Não tem regra de negócio.</w:t>
            </w:r>
          </w:p>
        </w:tc>
      </w:tr>
      <w:tr>
        <w:trPr>
          <w:cantSplit w:val="1"/>
        </w:trPr>
        <w:tc>
          <w:tcPr>
            <w:tcW w:type="dxa" w:w="147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Acesso ao banco e esquema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database.py, migrations/, seed.py</w:t>
            </w:r>
          </w:p>
        </w:tc>
        <w:tc>
          <w:tcPr>
            <w:tcW w:type="dxa" w:w="374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Uma sessão por requisição, fechada assim que a rota termina; migrações versionadas 0001 a 0004; carga inicial repetível.</w:t>
            </w:r>
          </w:p>
        </w:tc>
        <w:tc>
          <w:tcPr>
            <w:tcW w:type="dxa" w:w="215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60"/>
      </w:pP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Módulos transversais: erros.py dá o formato único de erro; config.py lê as variáveis de ambiente; services/auditoria.py grava o log que o banco não deixa alterar (RNF03); services/email.py registra cada envio em notificacao_email e envia depois da resposta, sem atrasar quem fez o pedido. A pasta repositories/ está reservada: hoje os serviços usam o ORM diretamente.</w:t>
      </w:r>
    </w:p>
    <w:p>
      <w:pPr>
        <w:pStyle w:val="Heading1"/>
        <w:keepNext/>
        <w:spacing w:before="360" w:after="200"/>
      </w:pPr>
      <w:r>
        <w:rPr>
          <w:rFonts w:ascii="Arial" w:hAnsi="Arial" w:eastAsia="Arial" w:cs="Arial"/>
          <w:b/>
          <w:color w:val="000000"/>
          <w:sz w:val="30"/>
        </w:rPr>
        <w:t>5. CAMINHO DE UMA REQUISIÇÃO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Exemplo do envio do cadastro de TCC para análise, POST /api/v1/tccs/{id}/submissao (DS-FL01, RBN03.03 e RBN03.04):</w:t>
      </w: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1.</w:t>
        <w:tab/>
      </w:r>
      <w:r>
        <w:rPr>
          <w:rFonts w:ascii="Arial" w:hAnsi="Arial" w:eastAsia="Arial" w:cs="Arial"/>
          <w:b w:val="0"/>
          <w:color w:val="000000"/>
          <w:sz w:val="22"/>
        </w:rPr>
        <w:t>No passo 3 de TEL05, o aluno confirma o envio. lib/api.ts faz a chamada ao próprio endereço do site, levando o cookie de sessão.</w:t>
      </w: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2.</w:t>
        <w:tab/>
      </w:r>
      <w:r>
        <w:rPr>
          <w:rFonts w:ascii="Arial" w:hAnsi="Arial" w:eastAsia="Arial" w:cs="Arial"/>
          <w:b w:val="0"/>
          <w:color w:val="000000"/>
          <w:sz w:val="22"/>
        </w:rPr>
        <w:t>O repasse do Next.js entrega a chamada à API.</w:t>
      </w: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3.</w:t>
        <w:tab/>
      </w:r>
      <w:r>
        <w:rPr>
          <w:rFonts w:ascii="Arial" w:hAnsi="Arial" w:eastAsia="Arial" w:cs="Arial"/>
          <w:b w:val="0"/>
          <w:color w:val="000000"/>
          <w:sz w:val="22"/>
        </w:rPr>
        <w:t>A rota confere a sessão (401 se inválida) e o perfil de aluno (403) e chama o serviço de submissão.</w:t>
      </w: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4.</w:t>
        <w:tab/>
      </w:r>
      <w:r>
        <w:rPr>
          <w:rFonts w:ascii="Arial" w:hAnsi="Arial" w:eastAsia="Arial" w:cs="Arial"/>
          <w:b w:val="0"/>
          <w:color w:val="000000"/>
          <w:sz w:val="22"/>
        </w:rPr>
        <w:t>O serviço carrega o TCC travando a linha (SELECT … FOR UPDATE), para que dois cliques não gerem dois protocolos (RNF06), e confere o dono (404, RN07), a matrícula (403, RN05) e as pendências (422 com campos_pendentes).</w:t>
      </w: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5.</w:t>
        <w:tab/>
      </w:r>
      <w:r>
        <w:rPr>
          <w:rFonts w:ascii="Arial" w:hAnsi="Arial" w:eastAsia="Arial" w:cs="Arial"/>
          <w:b w:val="0"/>
          <w:color w:val="000000"/>
          <w:sz w:val="22"/>
        </w:rPr>
        <w:t>Se o cadastro já estava em análise, devolve o mesmo protocolo. Se não, gera TCC-AAAA-NNNNN, muda a situação para EM_ANALISE e grava o histórico e a auditoria na mesma transação, agendando o e-mail ao orientador.</w:t>
      </w: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6.</w:t>
        <w:tab/>
      </w:r>
      <w:r>
        <w:rPr>
          <w:rFonts w:ascii="Arial" w:hAnsi="Arial" w:eastAsia="Arial" w:cs="Arial"/>
          <w:b w:val="0"/>
          <w:color w:val="000000"/>
          <w:sz w:val="22"/>
        </w:rPr>
        <w:t>A API responde 200 com o protocolo; a sessão do banco fecha e o e-mail sai em seguida, com conexão própria.</w:t>
      </w: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7.</w:t>
        <w:tab/>
      </w:r>
      <w:r>
        <w:rPr>
          <w:rFonts w:ascii="Arial" w:hAnsi="Arial" w:eastAsia="Arial" w:cs="Arial"/>
          <w:b w:val="0"/>
          <w:color w:val="000000"/>
          <w:sz w:val="22"/>
        </w:rPr>
        <w:t>A tela mostra o protocolo e bloqueia a edição.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Esse caminho foi medido com 30 envios simultâneos: p95 de 0,73 s, para a meta de 3 s do RNF01 (Relatório de Execução de Testes, aba Desempenho RNF01).</w:t>
      </w:r>
    </w:p>
    <w:p>
      <w:pPr>
        <w:pStyle w:val="Heading1"/>
        <w:keepNext/>
        <w:spacing w:before="360" w:after="200"/>
      </w:pPr>
      <w:r>
        <w:rPr>
          <w:rFonts w:ascii="Arial" w:hAnsi="Arial" w:eastAsia="Arial" w:cs="Arial"/>
          <w:b/>
          <w:color w:val="000000"/>
          <w:sz w:val="30"/>
        </w:rPr>
        <w:t>6. SEGURANÇA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4535"/>
        <w:gridCol w:w="4535"/>
      </w:tblGrid>
      <w:tr>
        <w:trPr>
          <w:tblHeader w:val="1"/>
          <w:cantSplit w:val="1"/>
        </w:trPr>
        <w:tc>
          <w:tcPr>
            <w:tcW w:type="dxa" w:w="283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Ameaça ou requisito</w:t>
            </w:r>
          </w:p>
        </w:tc>
        <w:tc>
          <w:tcPr>
            <w:tcW w:type="dxa" w:w="6236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Como a arquitetura responde</w:t>
            </w:r>
          </w:p>
        </w:tc>
      </w:tr>
      <w:tr>
        <w:trPr>
          <w:cantSplit w:val="1"/>
        </w:trPr>
        <w:tc>
          <w:tcPr>
            <w:tcW w:type="dxa" w:w="283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Roubo de sessão por script na página</w:t>
            </w:r>
          </w:p>
        </w:tc>
        <w:tc>
          <w:tcPr>
            <w:tcW w:type="dxa" w:w="62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Token só em cookie httponly, SameSite=Lax e Secure em produção (COOKIE_SEGURO=1).</w:t>
            </w:r>
          </w:p>
        </w:tc>
      </w:tr>
      <w:tr>
        <w:trPr>
          <w:cantSplit w:val="1"/>
        </w:trPr>
        <w:tc>
          <w:tcPr>
            <w:tcW w:type="dxa" w:w="283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Senha vazada do banco</w:t>
            </w:r>
          </w:p>
        </w:tc>
        <w:tc>
          <w:tcPr>
            <w:tcW w:type="dxa" w:w="62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Só o hash bcrypt (custo ≥ 10) fica gravado; tokens de link e de sessão também só como hash.</w:t>
            </w:r>
          </w:p>
        </w:tc>
      </w:tr>
      <w:tr>
        <w:trPr>
          <w:cantSplit w:val="1"/>
        </w:trPr>
        <w:tc>
          <w:tcPr>
            <w:tcW w:type="dxa" w:w="283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Força bruta no login</w:t>
            </w:r>
          </w:p>
        </w:tc>
        <w:tc>
          <w:tcPr>
            <w:tcW w:type="dxa" w:w="62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Bloqueio de 15 minutos após 3 tentativas e mensagem genérica, que não revela se o e-mail existe.</w:t>
            </w:r>
          </w:p>
        </w:tc>
      </w:tr>
      <w:tr>
        <w:trPr>
          <w:cantSplit w:val="1"/>
        </w:trPr>
        <w:tc>
          <w:tcPr>
            <w:tcW w:type="dxa" w:w="283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Acesso a dado de outro usuário</w:t>
            </w:r>
          </w:p>
        </w:tc>
        <w:tc>
          <w:tcPr>
            <w:tcW w:type="dxa" w:w="62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Autorização por perfil em toda rota e por vínculo no serviço (RN07); sem vínculo, a API responde 404, sem revelar que o registro existe.</w:t>
            </w:r>
          </w:p>
        </w:tc>
      </w:tr>
      <w:tr>
        <w:trPr>
          <w:cantSplit w:val="1"/>
        </w:trPr>
        <w:tc>
          <w:tcPr>
            <w:tcW w:type="dxa" w:w="283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Interceptação</w:t>
            </w:r>
          </w:p>
        </w:tc>
        <w:tc>
          <w:tcPr>
            <w:tcW w:type="dxa" w:w="62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HTTPS em todo o caminho (RNF02) e TLS também entre a API e o banco no ambiente integrado.</w:t>
            </w:r>
          </w:p>
        </w:tc>
      </w:tr>
      <w:tr>
        <w:trPr>
          <w:cantSplit w:val="1"/>
        </w:trPr>
        <w:tc>
          <w:tcPr>
            <w:tcW w:type="dxa" w:w="283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Alteração do histórico</w:t>
            </w:r>
          </w:p>
        </w:tc>
        <w:tc>
          <w:tcPr>
            <w:tcW w:type="dxa" w:w="62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Log de auditoria com gatilho no banco que recusa UPDATE e DELETE (migração 0003, RNF03).</w:t>
            </w:r>
          </w:p>
        </w:tc>
      </w:tr>
      <w:tr>
        <w:trPr>
          <w:cantSplit w:val="1"/>
        </w:trPr>
        <w:tc>
          <w:tcPr>
            <w:tcW w:type="dxa" w:w="283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Dados pessoais (LGPD)</w:t>
            </w:r>
          </w:p>
        </w:tc>
        <w:tc>
          <w:tcPr>
            <w:tcW w:type="dxa" w:w="62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Cada perfil vê só o que precisa (RN07), os testes usam dados fictícios e as alterações ficam auditadas. Não se presume conformidade jurídica certificada (risco R08).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200"/>
      </w:pPr>
      <w:r>
        <w:rPr>
          <w:rFonts w:ascii="Arial" w:hAnsi="Arial" w:eastAsia="Arial" w:cs="Arial"/>
          <w:b/>
          <w:color w:val="000000"/>
          <w:sz w:val="30"/>
        </w:rPr>
        <w:t>7. DADOS E CONSISTÊNCIA</w:t>
      </w: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Integridade garantida também pelo banco: e-mail único sem diferenciar maiúsculas, um TCC por aluno e período, protocolo único e domínios de situação com CHECK.</w:t>
      </w: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Transações curtas: cada operação do serviço é uma transação, e a sessão fecha quando a rota termina, antes das tarefas em segundo plano. Sem isso, sob carga, cada requisição segurava duas conexões e o conjunto de conexões se esgotava; a correção foi feita na S03 e confirmada no teste de carga.</w:t>
      </w: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Esquema só por migração: o mesmo esquema no SQLite de desenvolvimento e no PostgreSQL, e um teste falha se o modelo mudar sem a migração correspondente.</w:t>
      </w:r>
    </w:p>
    <w:p>
      <w:pPr>
        <w:pStyle w:val="Heading1"/>
        <w:keepNext/>
        <w:spacing w:before="360" w:after="200"/>
      </w:pPr>
      <w:r>
        <w:rPr>
          <w:rFonts w:ascii="Arial" w:hAnsi="Arial" w:eastAsia="Arial" w:cs="Arial"/>
          <w:b/>
          <w:color w:val="000000"/>
          <w:sz w:val="30"/>
        </w:rPr>
        <w:t>8. AMBIENTES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204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Ambiente</w:t>
            </w:r>
          </w:p>
        </w:tc>
        <w:tc>
          <w:tcPr>
            <w:tcW w:type="dxa" w:w="317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Onde roda</w:t>
            </w:r>
          </w:p>
        </w:tc>
        <w:tc>
          <w:tcPr>
            <w:tcW w:type="dxa" w:w="385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Uso</w:t>
            </w:r>
          </w:p>
        </w:tc>
      </w:tr>
      <w:tr>
        <w:trPr>
          <w:cantSplit w:val="1"/>
        </w:trPr>
        <w:tc>
          <w:tcPr>
            <w:tcW w:type="dxa" w:w="204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Local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npm run dev, uvicorn --reload e SQLite, ou Docker Compose</w:t>
            </w:r>
          </w:p>
        </w:tc>
        <w:tc>
          <w:tcPr>
            <w:tcW w:type="dxa" w:w="385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Desenvolvimento e testes de cada integrante (README, seção Como rodar).</w:t>
            </w:r>
          </w:p>
        </w:tc>
      </w:tr>
      <w:tr>
        <w:trPr>
          <w:cantSplit w:val="1"/>
        </w:trPr>
        <w:tc>
          <w:tcPr>
            <w:tcW w:type="dxa" w:w="204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Integrado e homologação</w:t>
            </w:r>
          </w:p>
        </w:tc>
        <w:tc>
          <w:tcPr>
            <w:tcW w:type="dxa" w:w="317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Vercel (site), Render (API) e Neon (PostgreSQL)</w:t>
            </w:r>
          </w:p>
        </w:tc>
        <w:tc>
          <w:tcPr>
            <w:tcW w:type="dxa" w:w="385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Testes de integração e validação com a coordenação (HT06). Configuração em render.yaml, .vercelignore e README.</w:t>
            </w:r>
          </w:p>
        </w:tc>
      </w:tr>
    </w:tbl>
    <w:p>
      <w:pPr>
        <w:spacing w:before="0" w:after="60"/>
      </w:pPr>
    </w:p>
    <w:p>
      <w:pPr>
        <w:spacing w:before="120" w:after="60"/>
        <w:jc w:val="center"/>
      </w:pPr>
      <w:r>
        <w:drawing>
          <wp:inline>
            <wp:extent cx="5760000" cy="29232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implantacao-1-ambiente-integrad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23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hAnsi="Arial" w:eastAsia="Arial" w:cs="Arial"/>
          <w:b w:val="0"/>
          <w:color w:val="000000"/>
          <w:sz w:val="18"/>
        </w:rPr>
        <w:t>Figura 1 – Diagrama de implantação do ambiente integrado. Fonte: elaborado pelos autores (2026).</w:t>
      </w:r>
    </w:p>
    <w:p>
      <w:pPr>
        <w:pStyle w:val="Heading1"/>
        <w:keepNext/>
        <w:spacing w:before="360" w:after="200"/>
      </w:pPr>
      <w:r>
        <w:rPr>
          <w:rFonts w:ascii="Arial" w:hAnsi="Arial" w:eastAsia="Arial" w:cs="Arial"/>
          <w:b/>
          <w:color w:val="000000"/>
          <w:sz w:val="30"/>
        </w:rPr>
        <w:t>9. DECISÕES DE ARQUITETURA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294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Decisão</w:t>
            </w:r>
          </w:p>
        </w:tc>
        <w:tc>
          <w:tcPr>
            <w:tcW w:type="dxa" w:w="36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Motivo</w:t>
            </w:r>
          </w:p>
        </w:tc>
        <w:tc>
          <w:tcPr>
            <w:tcW w:type="dxa" w:w="2494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Alternativa descartada</w:t>
            </w:r>
          </w:p>
        </w:tc>
      </w:tr>
      <w:tr>
        <w:trPr>
          <w:cantSplit w:val="1"/>
        </w:trPr>
        <w:tc>
          <w:tcPr>
            <w:tcW w:type="dxa" w:w="29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Monólito modular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Equipe pequena e integração como maior risco; um só serviço para publicar e testar</w:t>
            </w:r>
          </w:p>
        </w:tc>
        <w:tc>
          <w:tcPr>
            <w:tcW w:type="dxa" w:w="249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Microsserviços por módulo</w:t>
            </w:r>
          </w:p>
        </w:tc>
      </w:tr>
      <w:tr>
        <w:trPr>
          <w:cantSplit w:val="1"/>
        </w:trPr>
        <w:tc>
          <w:tcPr>
            <w:tcW w:type="dxa" w:w="29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Site e API na mesma origem, com repasse de /api/v1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Cookie de sessão sem CORS e sem expor a API diretamente</w:t>
            </w:r>
          </w:p>
        </w:tc>
        <w:tc>
          <w:tcPr>
            <w:tcW w:type="dxa" w:w="249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Site chamando a API em outro domínio</w:t>
            </w:r>
          </w:p>
        </w:tc>
      </w:tr>
      <w:tr>
        <w:trPr>
          <w:cantSplit w:val="1"/>
        </w:trPr>
        <w:tc>
          <w:tcPr>
            <w:tcW w:type="dxa" w:w="29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Sessão em cookie httponly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Protege o token de scripts na página</w:t>
            </w:r>
          </w:p>
        </w:tc>
        <w:tc>
          <w:tcPr>
            <w:tcW w:type="dxa" w:w="249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Token no armazenamento do navegador</w:t>
            </w:r>
          </w:p>
        </w:tc>
      </w:tr>
      <w:tr>
        <w:trPr>
          <w:cantSplit w:val="1"/>
        </w:trPr>
        <w:tc>
          <w:tcPr>
            <w:tcW w:type="dxa" w:w="29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Regras no serviço e rotas finas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Regras testáveis sem HTTP e reaproveitáveis</w:t>
            </w:r>
          </w:p>
        </w:tc>
        <w:tc>
          <w:tcPr>
            <w:tcW w:type="dxa" w:w="249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Regra na rota ou na tela</w:t>
            </w:r>
          </w:p>
        </w:tc>
      </w:tr>
      <w:tr>
        <w:trPr>
          <w:cantSplit w:val="1"/>
        </w:trPr>
        <w:tc>
          <w:tcPr>
            <w:tcW w:type="dxa" w:w="29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Validação responde 400; regra de negócio, 409 ou 422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É o que as fichas pedem; separa campo inválido de operação não permitida</w:t>
            </w:r>
          </w:p>
        </w:tc>
        <w:tc>
          <w:tcPr>
            <w:tcW w:type="dxa" w:w="249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O 422 padrão do FastAPI para tudo</w:t>
            </w:r>
          </w:p>
        </w:tc>
      </w:tr>
      <w:tr>
        <w:trPr>
          <w:cantSplit w:val="1"/>
        </w:trPr>
        <w:tc>
          <w:tcPr>
            <w:tcW w:type="dxa" w:w="29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Esquema por migrações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Mesmo banco em todos os ambientes e histórico no Git (HT05)</w:t>
            </w:r>
          </w:p>
        </w:tc>
        <w:tc>
          <w:tcPr>
            <w:tcW w:type="dxa" w:w="249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Criar as tabelas ao iniciar a aplicação</w:t>
            </w:r>
          </w:p>
        </w:tc>
      </w:tr>
      <w:tr>
        <w:trPr>
          <w:cantSplit w:val="1"/>
        </w:trPr>
        <w:tc>
          <w:tcPr>
            <w:tcW w:type="dxa" w:w="29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E-mail depois da resposta, registrado em notificacao_email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 falha de envio não desfaz o cadastro e pode ser reenviada (RBN01.05, RBN03.06)</w:t>
            </w:r>
          </w:p>
        </w:tc>
        <w:tc>
          <w:tcPr>
            <w:tcW w:type="dxa" w:w="249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Enviar dentro da requisição</w:t>
            </w:r>
          </w:p>
        </w:tc>
      </w:tr>
      <w:tr>
        <w:trPr>
          <w:cantSplit w:val="1"/>
        </w:trPr>
        <w:tc>
          <w:tcPr>
            <w:tcW w:type="dxa" w:w="29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Restrições no banco além do código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Duplicidade e concorrência barradas mesmo com dois cliques (RNF06)</w:t>
            </w:r>
          </w:p>
        </w:tc>
        <w:tc>
          <w:tcPr>
            <w:tcW w:type="dxa" w:w="249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Conferir só no código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200"/>
      </w:pPr>
      <w:r>
        <w:rPr>
          <w:rFonts w:ascii="Arial" w:hAnsi="Arial" w:eastAsia="Arial" w:cs="Arial"/>
          <w:b/>
          <w:color w:val="000000"/>
          <w:sz w:val="30"/>
        </w:rPr>
        <w:t>10. ATENDIMENTO AOS REQUISITOS NÃO FUNCIONAIS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A tabela compara cada requisito não funcional da planilha Requisitos_SIGA_UEA.xlsx com o que o sistema faz em 20/10/2026. Atendido: cumprido e verificado; Parcial: parte cumprida e parte pendente; Planejado: depende de um módulo ou do ambiente ainda não entregue.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907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RNF</w:t>
            </w:r>
          </w:p>
        </w:tc>
        <w:tc>
          <w:tcPr>
            <w:tcW w:type="dxa" w:w="260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O que a planilha exige</w:t>
            </w:r>
          </w:p>
        </w:tc>
        <w:tc>
          <w:tcPr>
            <w:tcW w:type="dxa" w:w="36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Como o sistema atende</w:t>
            </w:r>
          </w:p>
        </w:tc>
        <w:tc>
          <w:tcPr>
            <w:tcW w:type="dxa" w:w="1928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90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RNF01</w:t>
            </w:r>
          </w:p>
        </w:tc>
        <w:tc>
          <w:tcPr>
            <w:tcW w:type="dxa" w:w="260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Submissão do cadastro em até 3 s (p95) com 30 envios simultâneos.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Trava de linha, transação curta e e-mail depois da resposta. Medido: p95 de 0,73 s com 30 envios, em PostgreSQL 16 local.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Atendido localmente; repetir no ambiente integrado</w:t>
            </w:r>
          </w:p>
        </w:tc>
      </w:tr>
      <w:tr>
        <w:trPr>
          <w:cantSplit w:val="1"/>
        </w:trPr>
        <w:tc>
          <w:tcPr>
            <w:tcW w:type="dxa" w:w="90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RNF02</w:t>
            </w:r>
          </w:p>
        </w:tc>
        <w:tc>
          <w:tcPr>
            <w:tcW w:type="dxa" w:w="260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bcrypt custo ≥ 10; HTTPS com TLS ≥ 1.2; sessão de 60 min; LGPD; agenda pública sem dados pessoais.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bcrypt custo 12, sessão de 60 min com renovação e acesso por perfil e vínculo. O HTTPS vem da Vercel e do Render. A agenda pública é do MOD07.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Parcial: HTTPS depende da publicação; agenda planejada</w:t>
            </w:r>
          </w:p>
        </w:tc>
      </w:tr>
      <w:tr>
        <w:trPr>
          <w:cantSplit w:val="1"/>
        </w:trPr>
        <w:tc>
          <w:tcPr>
            <w:tcW w:type="dxa" w:w="90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RNF03</w:t>
            </w:r>
          </w:p>
        </w:tc>
        <w:tc>
          <w:tcPr>
            <w:tcW w:type="dxa" w:w="260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Log não editável com usuário, data/hora (America/Manaus), campo, valor anterior e novo; retenção de 5 anos.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Log com todos esses campos; o banco recusa alterar ou apagar (migração 0003). A data é gravada em UTC e mostrada no fuso de Manaus.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Parcial: a retenção de 5 anos depende do backup planejado</w:t>
            </w:r>
          </w:p>
        </w:tc>
      </w:tr>
      <w:tr>
        <w:trPr>
          <w:cantSplit w:val="1"/>
        </w:trPr>
        <w:tc>
          <w:tcPr>
            <w:tcW w:type="dxa" w:w="90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RNF04</w:t>
            </w:r>
          </w:p>
        </w:tc>
        <w:tc>
          <w:tcPr>
            <w:tcW w:type="dxa" w:w="260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Sem rolagem horizontal em 360 e 768 px, no Chrome e no Safari móveis.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Telas testadas em 360 e 768 px no Google Chrome, sem rolagem horizontal (59 checagens).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Parcial: falta o teste no Safari</w:t>
            </w:r>
          </w:p>
        </w:tc>
      </w:tr>
      <w:tr>
        <w:trPr>
          <w:cantSplit w:val="1"/>
        </w:trPr>
        <w:tc>
          <w:tcPr>
            <w:tcW w:type="dxa" w:w="90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RNF05</w:t>
            </w:r>
          </w:p>
        </w:tc>
        <w:tc>
          <w:tcPr>
            <w:tcW w:type="dxa" w:w="260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Ata em PDF em até 5 s (p95) após a confirmação do resultado.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Gerador de PDF previsto na API (MOD04).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Planejado</w:t>
            </w:r>
          </w:p>
        </w:tc>
      </w:tr>
      <w:tr>
        <w:trPr>
          <w:cantSplit w:val="1"/>
        </w:trPr>
        <w:tc>
          <w:tcPr>
            <w:tcW w:type="dxa" w:w="90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RNF06</w:t>
            </w:r>
          </w:p>
        </w:tc>
        <w:tc>
          <w:tcPr>
            <w:tcW w:type="dxa" w:w="260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Sem protocolo duplicado; falha de envio não apaga a versão anterior; SHA-256 conferido no envio e na leitura.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Protocolo com trava de linha e restrição única; arquivo validado antes de substituir o anterior; SHA-256 gravado no envio e conferido ao ler (fotos). Os PDFs do TCC seguem o mesmo padrão.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Atendido para fotos e protocolo; PDFs com o RAN07</w:t>
            </w:r>
          </w:p>
        </w:tc>
      </w:tr>
      <w:tr>
        <w:trPr>
          <w:cantSplit w:val="1"/>
        </w:trPr>
        <w:tc>
          <w:tcPr>
            <w:tcW w:type="dxa" w:w="90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RNF07</w:t>
            </w:r>
          </w:p>
        </w:tc>
        <w:tc>
          <w:tcPr>
            <w:tcW w:type="dxa" w:w="260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99% de disponibilidade no pico e recuperação em até 30 min.</w:t>
            </w:r>
          </w:p>
        </w:tc>
        <w:tc>
          <w:tcPr>
            <w:tcW w:type="dxa" w:w="36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No plano grátis do Render a API dorme sem uso; o diagrama de implantação prevê monitoramento e backup.</w:t>
            </w:r>
          </w:p>
        </w:tc>
        <w:tc>
          <w:tcPr>
            <w:tcW w:type="dxa" w:w="19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Planejado: exige plano pago ou monitoramento</w:t>
            </w:r>
          </w:p>
        </w:tc>
      </w:tr>
    </w:tbl>
    <w:p>
      <w:pPr>
        <w:spacing w:before="0" w:after="60"/>
      </w:pP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Pontos em que o sistema difere da planilha, por decisão registrada da equipe:</w:t>
      </w: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RN16 diz que as recusas de orientação não são guardadas. O sistema guarda a recusa e o motivo, porque o RNF03 exige registrar toda alteração; a recusa não vale como vínculo. Sugere-se ajustar o texto da RN16.</w:t>
      </w: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A planilha fala em e-mail institucional; por decisão da equipe, o cadastro aceita qualquer e-mail válido.</w:t>
      </w: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O DS-FL01 envia o e-mail ao orientador só na submissão; como o RBN03.03 exige o aceite antes, o aviso sai quando o aluno indica o orientador, e outro sai na submissão.</w:t>
      </w:r>
    </w:p>
    <w:p>
      <w:pPr>
        <w:pStyle w:val="Heading1"/>
        <w:keepNext/>
        <w:spacing w:before="360" w:after="200"/>
      </w:pPr>
      <w:r>
        <w:rPr>
          <w:rFonts w:ascii="Arial" w:hAnsi="Arial" w:eastAsia="Arial" w:cs="Arial"/>
          <w:b/>
          <w:color w:val="000000"/>
          <w:sz w:val="30"/>
        </w:rPr>
        <w:t>11. VERIFICAÇÃO DA ARQUITETURA</w:t>
      </w: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Suíte da API (backend/tests, pytest): 123 execuções em SQLite e em PostgreSQL 16, cobrindo as 51 operações do contrato.</w:t>
      </w: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Testes no navegador (docs/testes/e2e): fluxos completos pela tela e responsividade em 360 e 768 px.</w:t>
      </w: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Teste de carga (backend/scripts/carga_rnf01.py): RNF01 e RNF06.</w:t>
      </w:r>
    </w:p>
    <w:p>
      <w:pPr>
        <w:tabs>
          <w:tab w:pos="510" w:val="left"/>
        </w:tabs>
        <w:spacing w:before="0" w:after="80" w:line="276" w:lineRule="auto"/>
        <w:ind w:left="510" w:hanging="340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•</w:t>
        <w:tab/>
      </w:r>
      <w:r>
        <w:rPr>
          <w:rFonts w:ascii="Arial" w:hAnsi="Arial" w:eastAsia="Arial" w:cs="Arial"/>
          <w:b w:val="0"/>
          <w:color w:val="000000"/>
          <w:sz w:val="22"/>
        </w:rPr>
        <w:t>Resultados e evidências: Relatório de Execução de Testes (pasta 07_Testes).</w:t>
      </w:r>
    </w:p>
    <w:p>
      <w:pPr>
        <w:pStyle w:val="Heading1"/>
        <w:keepNext/>
        <w:spacing w:before="360" w:after="200"/>
      </w:pPr>
      <w:r>
        <w:rPr>
          <w:rFonts w:ascii="Arial" w:hAnsi="Arial" w:eastAsia="Arial" w:cs="Arial"/>
          <w:b/>
          <w:color w:val="000000"/>
          <w:sz w:val="30"/>
        </w:rPr>
        <w:t>12. REGISTRO DE ALTERAÇÕES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1"/>
          <w:cantSplit w:val="1"/>
        </w:trPr>
        <w:tc>
          <w:tcPr>
            <w:tcW w:type="dxa" w:w="1020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Versão</w:t>
            </w:r>
          </w:p>
        </w:tc>
        <w:tc>
          <w:tcPr>
            <w:tcW w:type="dxa" w:w="136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Data</w:t>
            </w:r>
          </w:p>
        </w:tc>
        <w:tc>
          <w:tcPr>
            <w:tcW w:type="dxa" w:w="4989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170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Responsável</w:t>
            </w:r>
          </w:p>
        </w:tc>
      </w:tr>
      <w:tr>
        <w:trPr>
          <w:cantSplit w:val="1"/>
        </w:trPr>
        <w:tc>
          <w:tcPr>
            <w:tcW w:type="dxa" w:w="10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1.0</w:t>
            </w:r>
          </w:p>
        </w:tc>
        <w:tc>
          <w:tcPr>
            <w:tcW w:type="dxa" w:w="136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20/10/2026</w:t>
            </w:r>
          </w:p>
        </w:tc>
        <w:tc>
          <w:tcPr>
            <w:tcW w:type="dxa" w:w="498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Criação do documento.</w:t>
            </w: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Igor Leite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200"/>
      </w:pPr>
      <w:r>
        <w:rPr>
          <w:rFonts w:ascii="Arial" w:hAnsi="Arial" w:eastAsia="Arial" w:cs="Arial"/>
          <w:b/>
          <w:color w:val="000000"/>
          <w:sz w:val="30"/>
        </w:rPr>
        <w:t>13. APROVAÇÕES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Os campos abaixo se destinam à assinatura de quem aprova este documento. Enquanto não houver aprovação, permanecem em branco.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3024"/>
        <w:gridCol w:w="3024"/>
        <w:gridCol w:w="3024"/>
      </w:tblGrid>
      <w:tr>
        <w:trPr>
          <w:tblHeader w:val="1"/>
          <w:cantSplit w:val="1"/>
        </w:trPr>
        <w:tc>
          <w:tcPr>
            <w:tcW w:type="dxa" w:w="368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Assinatura – Equipe de desenvolvimento</w:t>
            </w:r>
          </w:p>
        </w:tc>
        <w:tc>
          <w:tcPr>
            <w:tcW w:type="dxa" w:w="3685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Assinatura – Profª Drª Diana Maria da Câmara / Coordenação NUCOMP</w:t>
            </w:r>
          </w:p>
        </w:tc>
        <w:tc>
          <w:tcPr>
            <w:tcW w:type="dxa" w:w="1701"/>
            <w:shd w:val="clear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Data</w:t>
            </w:r>
          </w:p>
        </w:tc>
      </w:tr>
      <w:tr>
        <w:trPr>
          <w:cantSplit w:val="1"/>
        </w:trPr>
        <w:tc>
          <w:tcPr>
            <w:tcW w:type="dxa" w:w="368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</w:p>
          <w:p>
            <w:pPr>
              <w:spacing w:before="0" w:after="40" w:line="260" w:lineRule="auto"/>
            </w:pPr>
          </w:p>
          <w:p>
            <w:pPr>
              <w:spacing w:before="0" w:after="40" w:line="260" w:lineRule="auto"/>
            </w:pPr>
          </w:p>
        </w:tc>
        <w:tc>
          <w:tcPr>
            <w:tcW w:type="dxa" w:w="368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</w:p>
        </w:tc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40" w:line="260" w:lineRule="auto"/>
            </w:pP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200"/>
      </w:pPr>
      <w:r>
        <w:rPr>
          <w:rFonts w:ascii="Arial" w:hAnsi="Arial" w:eastAsia="Arial" w:cs="Arial"/>
          <w:b/>
          <w:color w:val="000000"/>
          <w:sz w:val="30"/>
        </w:rPr>
        <w:t>14. REFERÊNCIAS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SIGA UEA. Plano de Integração do Projeto. Versão 2.3. Manaus: NUCOMP – EST/UEA, 20 out. 2026.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SIGA UEA. Requisitos_SIGA_UEA.xlsx: matriz de requisitos, regras de negócio, requisitos não funcionais, fluxos, telas e rastreabilidade. Manaus: NUCOMP – EST/UEA, 2026.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SIGA UEA. Plano de Gerenciamento de Configuração. Versão 1.1. Manaus: NUCOMP – EST/UEA, 20 out. 2026.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 w:val="0"/>
          <w:color w:val="000000"/>
          <w:sz w:val="22"/>
        </w:rPr>
        <w:t>SIGA UEA. Contrato da API. Versão 1.0. Manaus: NUCOMP – EST/UEA, 20 out. 2026.</w:t>
      </w:r>
    </w:p>
    <w:sectPr>
      <w:footerReference r:id="rId6" w:type="default"/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3C">
    <w:pPr>
      <w:jc w:val="right"/>
      <w:rPr/>
    </w:pPr>
    <w:r w:rsidDel="00000000" w:rsidR="00000000" w:rsidRPr="00000000">
      <w:rPr>
        <w:rFonts w:ascii="Arial" w:cs="Arial" w:eastAsia="Arial" w:hAnsi="Arial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7" w:hanging="283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Modelo SIGA UEA</dc:title>
  <cp:lastModifiedBy>python-docx</cp:lastModifiedBy>
  <cp:revision>1</cp:revision>
  <dcterms:modified xsi:type="dcterms:W3CDTF">2026-09-24T13:42:05Z</dcterms:modified>
  <cp:version>1.5</cp:version>
  <dc:creator>Equipe SIGA UEA</dc:creator>
  <dc:description/>
</cp:coreProperties>
</file>