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(S393924)  ·  Luke Ren (S394678)  ·  Peng Song (S394967)  ·  Sihao Cui (S399370)</w:t>
      </w:r>
    </w:p>
    <w:p>
      <w:pPr>
        <w:spacing w:before="20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20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24"/>
          </w:tcPr>
          <w:p>
            <w:pPr>
              <w:spacing w:before="10" w:after="10"/>
            </w:pPr>
            <w:r/>
            <w:r>
              <w:rPr>
                <w:b/>
                <w:sz w:val="19"/>
              </w:rPr>
              <w:t>Concept</w:t>
            </w:r>
          </w:p>
        </w:tc>
        <w:tc>
          <w:tcPr>
            <w:tcW w:type="dxa" w:w="3657"/>
          </w:tcPr>
          <w:p>
            <w:pPr>
              <w:spacing w:before="10" w:after="10"/>
            </w:pPr>
            <w:r/>
            <w:r>
              <w:rPr>
                <w:b/>
                <w:sz w:val="19"/>
              </w:rPr>
              <w:t>Model 2.1 (104 rows, all team1 − team2)</w:t>
            </w:r>
          </w:p>
        </w:tc>
        <w:tc>
          <w:tcPr>
            <w:tcW w:type="dxa" w:w="3657"/>
          </w:tcPr>
          <w:p>
            <w:pPr>
              <w:spacing w:before="10" w:after="10"/>
            </w:pPr>
            <w:r/>
            <w:r>
              <w:rPr>
                <w:b/>
                <w:sz w:val="19"/>
              </w:rPr>
              <w:t>Model 2.2 (208 rows)</w:t>
            </w:r>
          </w:p>
        </w:tc>
      </w:tr>
      <w:tr>
        <w:tc>
          <w:tcPr>
            <w:tcW w:type="dxa" w:w="2324"/>
          </w:tcPr>
          <w:p>
            <w:pPr>
              <w:spacing w:before="10" w:after="10"/>
            </w:pPr>
            <w:r/>
            <w:r>
              <w:rPr>
                <w:sz w:val="19"/>
              </w:rPr>
              <w:t>FIFA ranking *</w:t>
            </w:r>
          </w:p>
        </w:tc>
        <w:tc>
          <w:tcPr>
            <w:tcW w:type="dxa" w:w="3657"/>
          </w:tcPr>
          <w:p>
            <w:pPr>
              <w:spacing w:before="10" w:after="10"/>
            </w:pPr>
            <w:r/>
            <w:r>
              <w:rPr>
                <w:sz w:val="19"/>
              </w:rPr>
              <w:t>log_rank_diff</w:t>
            </w:r>
          </w:p>
        </w:tc>
        <w:tc>
          <w:tcPr>
            <w:tcW w:type="dxa" w:w="3657"/>
          </w:tcPr>
          <w:p>
            <w:pPr>
              <w:spacing w:before="10" w:after="10"/>
            </w:pPr>
            <w:r/>
            <w:r>
              <w:rPr>
                <w:sz w:val="19"/>
              </w:rPr>
              <w:t>team_log_rank, opp_log_rank</w:t>
            </w:r>
          </w:p>
        </w:tc>
      </w:tr>
      <w:tr>
        <w:tc>
          <w:tcPr>
            <w:tcW w:type="dxa" w:w="2324"/>
          </w:tcPr>
          <w:p>
            <w:pPr>
              <w:spacing w:before="10" w:after="10"/>
            </w:pPr>
            <w:r/>
            <w:r>
              <w:rPr>
                <w:sz w:val="19"/>
              </w:rPr>
              <w:t>Squad value *</w:t>
            </w:r>
          </w:p>
        </w:tc>
        <w:tc>
          <w:tcPr>
            <w:tcW w:type="dxa" w:w="3657"/>
          </w:tcPr>
          <w:p>
            <w:pPr>
              <w:spacing w:before="10" w:after="10"/>
            </w:pPr>
            <w:r/>
            <w:r>
              <w:rPr>
                <w:sz w:val="19"/>
              </w:rPr>
              <w:t>log_value_diff</w:t>
            </w:r>
          </w:p>
        </w:tc>
        <w:tc>
          <w:tcPr>
            <w:tcW w:type="dxa" w:w="3657"/>
          </w:tcPr>
          <w:p>
            <w:pPr>
              <w:spacing w:before="10" w:after="10"/>
            </w:pPr>
            <w:r/>
            <w:r>
              <w:rPr>
                <w:sz w:val="19"/>
              </w:rPr>
              <w:t>team_log_value</w:t>
            </w:r>
          </w:p>
        </w:tc>
      </w:tr>
      <w:tr>
        <w:tc>
          <w:tcPr>
            <w:tcW w:type="dxa" w:w="2324"/>
          </w:tcPr>
          <w:p>
            <w:pPr>
              <w:spacing w:before="10" w:after="10"/>
            </w:pPr>
            <w:r/>
            <w:r>
              <w:rPr>
                <w:sz w:val="19"/>
              </w:rPr>
              <w:t>Host at home *</w:t>
            </w:r>
          </w:p>
        </w:tc>
        <w:tc>
          <w:tcPr>
            <w:tcW w:type="dxa" w:w="3657"/>
          </w:tcPr>
          <w:p>
            <w:pPr>
              <w:spacing w:before="10" w:after="10"/>
            </w:pPr>
            <w:r/>
            <w:r>
              <w:rPr>
                <w:sz w:val="19"/>
              </w:rPr>
              <w:t>host_home_diff</w:t>
            </w:r>
          </w:p>
        </w:tc>
        <w:tc>
          <w:tcPr>
            <w:tcW w:type="dxa" w:w="3657"/>
          </w:tcPr>
          <w:p>
            <w:pPr>
              <w:spacing w:before="10" w:after="10"/>
            </w:pPr>
            <w:r/>
            <w:r>
              <w:rPr>
                <w:sz w:val="19"/>
              </w:rPr>
              <w:t>is_host_home</w:t>
            </w:r>
          </w:p>
        </w:tc>
      </w:tr>
      <w:tr>
        <w:tc>
          <w:tcPr>
            <w:tcW w:type="dxa" w:w="2324"/>
          </w:tcPr>
          <w:p>
            <w:pPr>
              <w:spacing w:before="10" w:after="10"/>
            </w:pPr>
            <w:r/>
            <w:r>
              <w:rPr>
                <w:sz w:val="19"/>
              </w:rPr>
              <w:t>Stage *</w:t>
            </w:r>
          </w:p>
        </w:tc>
        <w:tc>
          <w:tcPr>
            <w:tcW w:type="dxa" w:w="3657"/>
          </w:tcPr>
          <w:p>
            <w:pPr>
              <w:spacing w:before="10" w:after="10"/>
            </w:pPr>
            <w:r/>
            <w:r>
              <w:rPr>
                <w:sz w:val="19"/>
              </w:rPr>
              <w:t>stage_ord</w:t>
            </w:r>
          </w:p>
        </w:tc>
        <w:tc>
          <w:tcPr>
            <w:tcW w:type="dxa" w:w="3657"/>
          </w:tcPr>
          <w:p>
            <w:pPr>
              <w:spacing w:before="10" w:after="10"/>
            </w:pPr>
            <w:r/>
            <w:r>
              <w:rPr>
                <w:sz w:val="19"/>
              </w:rPr>
              <w:t>is_knockout</w:t>
            </w:r>
          </w:p>
        </w:tc>
      </w:tr>
      <w:tr>
        <w:tc>
          <w:tcPr>
            <w:tcW w:type="dxa" w:w="2324"/>
          </w:tcPr>
          <w:p>
            <w:pPr>
              <w:spacing w:before="10" w:after="10"/>
            </w:pPr>
            <w:r/>
            <w:r>
              <w:rPr>
                <w:sz w:val="19"/>
              </w:rPr>
              <w:t>Form — points</w:t>
            </w:r>
          </w:p>
        </w:tc>
        <w:tc>
          <w:tcPr>
            <w:tcW w:type="dxa" w:w="3657"/>
          </w:tcPr>
          <w:p>
            <w:pPr>
              <w:spacing w:before="10" w:after="10"/>
            </w:pPr>
            <w:r/>
            <w:r>
              <w:rPr>
                <w:sz w:val="19"/>
              </w:rPr>
              <w:t>ppg_diff</w:t>
            </w:r>
          </w:p>
        </w:tc>
        <w:tc>
          <w:tcPr>
            <w:tcW w:type="dxa" w:w="3657"/>
          </w:tcPr>
          <w:p>
            <w:pPr>
              <w:spacing w:before="10" w:after="10"/>
            </w:pPr>
            <w:r/>
            <w:r>
              <w:rPr>
                <w:sz w:val="19"/>
              </w:rPr>
              <w:t>—</w:t>
            </w:r>
          </w:p>
        </w:tc>
      </w:tr>
      <w:tr>
        <w:tc>
          <w:tcPr>
            <w:tcW w:type="dxa" w:w="2324"/>
          </w:tcPr>
          <w:p>
            <w:pPr>
              <w:spacing w:before="10" w:after="10"/>
            </w:pPr>
            <w:r/>
            <w:r>
              <w:rPr>
                <w:sz w:val="19"/>
              </w:rPr>
              <w:t>Form — goal difference</w:t>
            </w:r>
          </w:p>
        </w:tc>
        <w:tc>
          <w:tcPr>
            <w:tcW w:type="dxa" w:w="3657"/>
          </w:tcPr>
          <w:p>
            <w:pPr>
              <w:spacing w:before="10" w:after="10"/>
            </w:pPr>
            <w:r/>
            <w:r>
              <w:rPr>
                <w:sz w:val="19"/>
              </w:rPr>
              <w:t>gd_pg_diff</w:t>
            </w:r>
          </w:p>
        </w:tc>
        <w:tc>
          <w:tcPr>
            <w:tcW w:type="dxa" w:w="3657"/>
          </w:tcPr>
          <w:p>
            <w:pPr>
              <w:spacing w:before="10" w:after="10"/>
            </w:pPr>
            <w:r/>
            <w:r>
              <w:rPr>
                <w:sz w:val="19"/>
              </w:rPr>
              <w:t>—</w:t>
            </w:r>
          </w:p>
        </w:tc>
      </w:tr>
      <w:tr>
        <w:tc>
          <w:tcPr>
            <w:tcW w:type="dxa" w:w="2324"/>
          </w:tcPr>
          <w:p>
            <w:pPr>
              <w:spacing w:before="10" w:after="10"/>
            </w:pPr>
            <w:r/>
            <w:r>
              <w:rPr>
                <w:sz w:val="19"/>
              </w:rPr>
              <w:t>Rest days</w:t>
            </w:r>
          </w:p>
        </w:tc>
        <w:tc>
          <w:tcPr>
            <w:tcW w:type="dxa" w:w="3657"/>
          </w:tcPr>
          <w:p>
            <w:pPr>
              <w:spacing w:before="10" w:after="10"/>
            </w:pPr>
            <w:r/>
            <w:r>
              <w:rPr>
                <w:sz w:val="19"/>
              </w:rPr>
              <w:t>rest_days_diff</w:t>
            </w:r>
          </w:p>
        </w:tc>
        <w:tc>
          <w:tcPr>
            <w:tcW w:type="dxa" w:w="3657"/>
          </w:tcPr>
          <w:p>
            <w:pPr>
              <w:spacing w:before="10" w:after="10"/>
            </w:pPr>
            <w:r/>
            <w:r>
              <w:rPr>
                <w:sz w:val="19"/>
              </w:rPr>
              <w:t>—</w:t>
            </w:r>
          </w:p>
        </w:tc>
      </w:tr>
      <w:tr>
        <w:tc>
          <w:tcPr>
            <w:tcW w:type="dxa" w:w="2324"/>
          </w:tcPr>
          <w:p>
            <w:pPr>
              <w:spacing w:before="10" w:after="10"/>
            </w:pPr>
            <w:r/>
            <w:r>
              <w:rPr>
                <w:sz w:val="19"/>
              </w:rPr>
              <w:t>Confederation</w:t>
            </w:r>
          </w:p>
        </w:tc>
        <w:tc>
          <w:tcPr>
            <w:tcW w:type="dxa" w:w="3657"/>
          </w:tcPr>
          <w:p>
            <w:pPr>
              <w:spacing w:before="10" w:after="10"/>
            </w:pPr>
            <w:r/>
            <w:r>
              <w:rPr>
                <w:sz w:val="19"/>
              </w:rPr>
              <w:t>same_confed</w:t>
            </w:r>
          </w:p>
        </w:tc>
        <w:tc>
          <w:tcPr>
            <w:tcW w:type="dxa" w:w="3657"/>
          </w:tcPr>
          <w:p>
            <w:pPr>
              <w:spacing w:before="10" w:after="10"/>
            </w:pPr>
            <w:r/>
            <w:r>
              <w:rPr>
                <w:sz w:val="19"/>
              </w:rPr>
              <w:t>—</w:t>
            </w:r>
          </w:p>
        </w:tc>
      </w:tr>
      <w:tr>
        <w:tc>
          <w:tcPr>
            <w:tcW w:type="dxa" w:w="2324"/>
          </w:tcPr>
          <w:p>
            <w:pPr>
              <w:spacing w:before="10" w:after="10"/>
            </w:pPr>
            <w:r/>
            <w:r>
              <w:rPr>
                <w:sz w:val="19"/>
              </w:rPr>
              <w:t>Form — goals for</w:t>
            </w:r>
          </w:p>
        </w:tc>
        <w:tc>
          <w:tcPr>
            <w:tcW w:type="dxa" w:w="3657"/>
          </w:tcPr>
          <w:p>
            <w:pPr>
              <w:spacing w:before="10" w:after="10"/>
            </w:pPr>
            <w:r/>
            <w:r>
              <w:rPr>
                <w:sz w:val="19"/>
              </w:rPr>
              <w:t>—</w:t>
            </w:r>
          </w:p>
        </w:tc>
        <w:tc>
          <w:tcPr>
            <w:tcW w:type="dxa" w:w="3657"/>
          </w:tcPr>
          <w:p>
            <w:pPr>
              <w:spacing w:before="10" w:after="10"/>
            </w:pPr>
            <w:r/>
            <w:r>
              <w:rPr>
                <w:sz w:val="19"/>
              </w:rPr>
              <w:t>team_gf_pg</w:t>
            </w:r>
          </w:p>
        </w:tc>
      </w:tr>
      <w:tr>
        <w:tc>
          <w:tcPr>
            <w:tcW w:type="dxa" w:w="2324"/>
          </w:tcPr>
          <w:p>
            <w:pPr>
              <w:spacing w:before="10" w:after="10"/>
            </w:pPr>
            <w:r/>
            <w:r>
              <w:rPr>
                <w:sz w:val="19"/>
              </w:rPr>
              <w:t>Form — goals against</w:t>
            </w:r>
          </w:p>
        </w:tc>
        <w:tc>
          <w:tcPr>
            <w:tcW w:type="dxa" w:w="3657"/>
          </w:tcPr>
          <w:p>
            <w:pPr>
              <w:spacing w:before="10" w:after="10"/>
            </w:pPr>
            <w:r/>
            <w:r>
              <w:rPr>
                <w:sz w:val="19"/>
              </w:rPr>
              <w:t>—</w:t>
            </w:r>
          </w:p>
        </w:tc>
        <w:tc>
          <w:tcPr>
            <w:tcW w:type="dxa" w:w="3657"/>
          </w:tcPr>
          <w:p>
            <w:pPr>
              <w:spacing w:before="10" w:after="10"/>
            </w:pPr>
            <w:r/>
            <w:r>
              <w:rPr>
                <w:sz w:val="19"/>
              </w:rPr>
              <w:t>opp_ga_pg</w:t>
            </w:r>
          </w:p>
        </w:tc>
      </w:tr>
      <w:tr>
        <w:tc>
          <w:tcPr>
            <w:tcW w:type="dxa" w:w="2324"/>
          </w:tcPr>
          <w:p>
            <w:pPr>
              <w:spacing w:before="10" w:after="10"/>
            </w:pPr>
            <w:r/>
            <w:r>
              <w:rPr>
                <w:sz w:val="19"/>
              </w:rPr>
              <w:t>Form — opponent goals for</w:t>
            </w:r>
          </w:p>
        </w:tc>
        <w:tc>
          <w:tcPr>
            <w:tcW w:type="dxa" w:w="3657"/>
          </w:tcPr>
          <w:p>
            <w:pPr>
              <w:spacing w:before="10" w:after="10"/>
            </w:pPr>
            <w:r/>
            <w:r>
              <w:rPr>
                <w:sz w:val="19"/>
              </w:rPr>
              <w:t>—</w:t>
            </w:r>
          </w:p>
        </w:tc>
        <w:tc>
          <w:tcPr>
            <w:tcW w:type="dxa" w:w="3657"/>
          </w:tcPr>
          <w:p>
            <w:pPr>
              <w:spacing w:before="10" w:after="10"/>
            </w:pPr>
            <w:r/>
            <w:r>
              <w:rPr>
                <w:sz w:val="19"/>
              </w:rPr>
              <w:t>opp_gf_pg</w:t>
            </w:r>
          </w:p>
        </w:tc>
      </w:tr>
    </w:tbl>
    <w:p>
      <w:pPr>
        <w:spacing w:after="18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20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9"/>
              </w:rPr>
              <w:t>Model</w:t>
            </w:r>
          </w:p>
        </w:tc>
        <w:tc>
          <w:tcPr>
            <w:tcW w:type="dxa" w:w="907"/>
          </w:tcPr>
          <w:p>
            <w:pPr>
              <w:spacing w:before="10" w:after="10"/>
            </w:pPr>
            <w:r/>
            <w:r>
              <w:rPr>
                <w:b/>
                <w:sz w:val="19"/>
              </w:rPr>
              <w:t>Terms</w:t>
            </w:r>
          </w:p>
        </w:tc>
        <w:tc>
          <w:tcPr>
            <w:tcW w:type="dxa" w:w="1474"/>
          </w:tcPr>
          <w:p>
            <w:pPr>
              <w:spacing w:before="10" w:after="10"/>
            </w:pPr>
            <w:r/>
            <w:r>
              <w:rPr>
                <w:b/>
                <w:sz w:val="19"/>
              </w:rPr>
              <w:t>CV RMSE</w:t>
            </w:r>
          </w:p>
        </w:tc>
        <w:tc>
          <w:tcPr>
            <w:tcW w:type="dxa" w:w="2041"/>
          </w:tcPr>
          <w:p>
            <w:pPr>
              <w:spacing w:before="10" w:after="10"/>
            </w:pPr>
            <w:r/>
            <w:r>
              <w:rPr>
                <w:b/>
                <w:sz w:val="19"/>
              </w:rPr>
              <w:t>Walk-forward RMSE</w:t>
            </w:r>
          </w:p>
        </w:tc>
        <w:tc>
          <w:tcPr>
            <w:tcW w:type="dxa" w:w="1701"/>
          </w:tcPr>
          <w:p>
            <w:pPr>
              <w:spacing w:before="10" w:after="10"/>
            </w:pPr>
            <w:r/>
            <w:r>
              <w:rPr>
                <w:b/>
                <w:sz w:val="19"/>
              </w:rPr>
              <w:t>Hold-out RMSE</w:t>
            </w:r>
          </w:p>
        </w:tc>
      </w:tr>
      <w:tr>
        <w:tc>
          <w:tcPr>
            <w:tcW w:type="dxa" w:w="3061"/>
          </w:tcPr>
          <w:p>
            <w:pPr>
              <w:spacing w:before="10" w:after="10"/>
            </w:pPr>
            <w:r/>
            <w:r>
              <w:rPr>
                <w:sz w:val="19"/>
              </w:rPr>
              <w:t>Mean baseline</w:t>
            </w:r>
          </w:p>
        </w:tc>
        <w:tc>
          <w:tcPr>
            <w:tcW w:type="dxa" w:w="907"/>
          </w:tcPr>
          <w:p>
            <w:pPr>
              <w:spacing w:before="10" w:after="10"/>
            </w:pPr>
            <w:r/>
            <w:r>
              <w:rPr>
                <w:sz w:val="19"/>
              </w:rPr>
              <w:t>0</w:t>
            </w:r>
          </w:p>
        </w:tc>
        <w:tc>
          <w:tcPr>
            <w:tcW w:type="dxa" w:w="1474"/>
          </w:tcPr>
          <w:p>
            <w:pPr>
              <w:spacing w:before="10" w:after="10"/>
            </w:pPr>
            <w:r/>
            <w:r>
              <w:rPr>
                <w:sz w:val="19"/>
              </w:rPr>
              <w:t>2.03</w:t>
            </w:r>
          </w:p>
        </w:tc>
        <w:tc>
          <w:tcPr>
            <w:tcW w:type="dxa" w:w="2041"/>
          </w:tcPr>
          <w:p>
            <w:pPr>
              <w:spacing w:before="10" w:after="10"/>
            </w:pPr>
            <w:r/>
            <w:r>
              <w:rPr>
                <w:sz w:val="19"/>
              </w:rPr>
              <w:t>2.10</w:t>
            </w:r>
          </w:p>
        </w:tc>
        <w:tc>
          <w:tcPr>
            <w:tcW w:type="dxa" w:w="1701"/>
          </w:tcPr>
          <w:p>
            <w:pPr>
              <w:spacing w:before="10" w:after="10"/>
            </w:pPr>
            <w:r/>
            <w:r>
              <w:rPr>
                <w:sz w:val="19"/>
              </w:rPr>
              <w:t>1.97</w:t>
            </w:r>
          </w:p>
        </w:tc>
      </w:tr>
      <w:tr>
        <w:tc>
          <w:tcPr>
            <w:tcW w:type="dxa" w:w="3061"/>
          </w:tcPr>
          <w:p>
            <w:pPr>
              <w:spacing w:before="10" w:after="10"/>
            </w:pPr>
            <w:r/>
            <w:r>
              <w:rPr>
                <w:sz w:val="19"/>
              </w:rPr>
              <w:t>Full OLS, eight variables</w:t>
            </w:r>
          </w:p>
        </w:tc>
        <w:tc>
          <w:tcPr>
            <w:tcW w:type="dxa" w:w="907"/>
          </w:tcPr>
          <w:p>
            <w:pPr>
              <w:spacing w:before="10" w:after="10"/>
            </w:pPr>
            <w:r/>
            <w:r>
              <w:rPr>
                <w:sz w:val="19"/>
              </w:rPr>
              <w:t>8</w:t>
            </w:r>
          </w:p>
        </w:tc>
        <w:tc>
          <w:tcPr>
            <w:tcW w:type="dxa" w:w="1474"/>
          </w:tcPr>
          <w:p>
            <w:pPr>
              <w:spacing w:before="10" w:after="10"/>
            </w:pPr>
            <w:r/>
            <w:r>
              <w:rPr>
                <w:sz w:val="19"/>
              </w:rPr>
              <w:t>1.55</w:t>
            </w:r>
          </w:p>
        </w:tc>
        <w:tc>
          <w:tcPr>
            <w:tcW w:type="dxa" w:w="2041"/>
          </w:tcPr>
          <w:p>
            <w:pPr>
              <w:spacing w:before="10" w:after="10"/>
            </w:pPr>
            <w:r/>
            <w:r>
              <w:rPr>
                <w:sz w:val="19"/>
              </w:rPr>
              <w:t>1.82</w:t>
            </w:r>
          </w:p>
        </w:tc>
        <w:tc>
          <w:tcPr>
            <w:tcW w:type="dxa" w:w="1701"/>
          </w:tcPr>
          <w:p>
            <w:pPr>
              <w:spacing w:before="10" w:after="10"/>
            </w:pPr>
            <w:r/>
            <w:r>
              <w:rPr>
                <w:sz w:val="19"/>
              </w:rPr>
              <w:t>1.91</w:t>
            </w:r>
          </w:p>
        </w:tc>
      </w:tr>
      <w:tr>
        <w:tc>
          <w:tcPr>
            <w:tcW w:type="dxa" w:w="3061"/>
          </w:tcPr>
          <w:p>
            <w:pPr>
              <w:spacing w:before="10" w:after="10"/>
            </w:pPr>
            <w:r/>
            <w:r>
              <w:rPr>
                <w:sz w:val="19"/>
              </w:rPr>
              <w:t>Weighted symmetric ridge</w:t>
            </w:r>
          </w:p>
        </w:tc>
        <w:tc>
          <w:tcPr>
            <w:tcW w:type="dxa" w:w="907"/>
          </w:tcPr>
          <w:p>
            <w:pPr>
              <w:spacing w:before="10" w:after="10"/>
            </w:pPr>
            <w:r/>
            <w:r>
              <w:rPr>
                <w:sz w:val="19"/>
              </w:rPr>
              <w:t>8</w:t>
            </w:r>
          </w:p>
        </w:tc>
        <w:tc>
          <w:tcPr>
            <w:tcW w:type="dxa" w:w="1474"/>
          </w:tcPr>
          <w:p>
            <w:pPr>
              <w:spacing w:before="10" w:after="10"/>
            </w:pPr>
            <w:r/>
            <w:r>
              <w:rPr>
                <w:sz w:val="19"/>
              </w:rPr>
              <w:t>1.51</w:t>
            </w:r>
          </w:p>
        </w:tc>
        <w:tc>
          <w:tcPr>
            <w:tcW w:type="dxa" w:w="2041"/>
          </w:tcPr>
          <w:p>
            <w:pPr>
              <w:spacing w:before="10" w:after="10"/>
            </w:pPr>
            <w:r/>
            <w:r>
              <w:rPr>
                <w:sz w:val="19"/>
              </w:rPr>
              <w:t>1.45</w:t>
            </w:r>
          </w:p>
        </w:tc>
        <w:tc>
          <w:tcPr>
            <w:tcW w:type="dxa" w:w="1701"/>
          </w:tcPr>
          <w:p>
            <w:pPr>
              <w:spacing w:before="10" w:after="10"/>
            </w:pPr>
            <w:r/>
            <w:r>
              <w:rPr>
                <w:sz w:val="19"/>
              </w:rPr>
              <w:t>1.52</w:t>
            </w:r>
          </w:p>
        </w:tc>
      </w:tr>
      <w:tr>
        <w:tc>
          <w:tcPr>
            <w:tcW w:type="dxa" w:w="3061"/>
          </w:tcPr>
          <w:p>
            <w:pPr>
              <w:spacing w:before="10" w:after="10"/>
            </w:pPr>
            <w:r/>
            <w:r>
              <w:rPr>
                <w:sz w:val="19"/>
              </w:rPr>
              <w:t>Final: strength + host</w:t>
            </w:r>
          </w:p>
        </w:tc>
        <w:tc>
          <w:tcPr>
            <w:tcW w:type="dxa" w:w="907"/>
          </w:tcPr>
          <w:p>
            <w:pPr>
              <w:spacing w:before="10" w:after="10"/>
            </w:pPr>
            <w:r/>
            <w:r>
              <w:rPr>
                <w:sz w:val="19"/>
              </w:rPr>
              <w:t>2</w:t>
            </w:r>
          </w:p>
        </w:tc>
        <w:tc>
          <w:tcPr>
            <w:tcW w:type="dxa" w:w="1474"/>
          </w:tcPr>
          <w:p>
            <w:pPr>
              <w:spacing w:before="10" w:after="10"/>
            </w:pPr>
            <w:r/>
            <w:r>
              <w:rPr>
                <w:sz w:val="19"/>
              </w:rPr>
              <w:t>1.49</w:t>
            </w:r>
          </w:p>
        </w:tc>
        <w:tc>
          <w:tcPr>
            <w:tcW w:type="dxa" w:w="2041"/>
          </w:tcPr>
          <w:p>
            <w:pPr>
              <w:spacing w:before="10" w:after="10"/>
            </w:pPr>
            <w:r/>
            <w:r>
              <w:rPr>
                <w:sz w:val="19"/>
              </w:rPr>
              <w:t>1.43</w:t>
            </w:r>
          </w:p>
        </w:tc>
        <w:tc>
          <w:tcPr>
            <w:tcW w:type="dxa" w:w="1701"/>
          </w:tcPr>
          <w:p>
            <w:pPr>
              <w:spacing w:before="10" w:after="10"/>
            </w:pPr>
            <w:r/>
            <w:r>
              <w:rPr>
                <w:sz w:val="19"/>
              </w:rPr>
              <w:t>1.52</w:t>
            </w:r>
          </w:p>
        </w:tc>
      </w:tr>
    </w:tbl>
    <w:p>
      <w:pPr>
        <w:spacing w:after="180"/>
      </w:pPr>
      <w:r>
        <w:rPr>
          <w:i/>
          <w:sz w:val="18"/>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120000" cy="2070000"/>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120000" cy="2070000"/>
                    </a:xfrm>
                    <a:prstGeom prst="rect"/>
                  </pic:spPr>
                </pic:pic>
              </a:graphicData>
            </a:graphic>
          </wp:inline>
        </w:drawing>
      </w:r>
    </w:p>
    <w:p>
      <w:pPr>
        <w:spacing w:after="180"/>
        <w:jc w:val="center"/>
      </w:pPr>
      <w:r>
        <w:rPr>
          <w:i/>
          <w:sz w:val="18"/>
        </w:rPr>
        <w:t>Figure 1. Model 2.1. (a) Fitted model with 95% confidence and prediction bands. (b) Share of 2,000 random relabellings in which each term of the full model is significant. (c) Out-of-sample RMSE of the competing models.</w:t>
      </w:r>
    </w:p>
    <w:p>
      <w:pPr>
        <w:spacing w:before="20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20" w:before="80"/>
        <w:jc w:val="center"/>
      </w:pPr>
      <w:r>
        <w:drawing>
          <wp:inline xmlns:a="http://schemas.openxmlformats.org/drawingml/2006/main" xmlns:pic="http://schemas.openxmlformats.org/drawingml/2006/picture">
            <wp:extent cx="6120000" cy="1836000"/>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0000" cy="1836000"/>
                    </a:xfrm>
                    <a:prstGeom prst="rect"/>
                  </pic:spPr>
                </pic:pic>
              </a:graphicData>
            </a:graphic>
          </wp:inline>
        </w:drawing>
      </w:r>
    </w:p>
    <w:p>
      <w:pPr>
        <w:spacing w:after="180" w:before="80"/>
        <w:jc w:val="center"/>
      </w:pPr>
      <w:r>
        <w:rPr>
          <w:i/>
          <w:sz w:val="18"/>
        </w:rPr>
        <w:t>Figure 2. Model 2.2 residual diagnostics. (a) Predicted against actual goals. (b) Residuals against fitted values, showing the mild heteroscedasticity the Breusch-Pagan test detects. (c) Normal Q-Q plot: the departure in the lower tail is the 26.4% of team-matches that finish goalless, which is why robust standard errors are reported alongside the classical ones.</w:t>
      </w:r>
    </w:p>
    <w:p>
      <w:pPr>
        <w:spacing w:after="80"/>
      </w:pPr>
      <w:r>
        <w:rPr>
          <w:i w:val="0"/>
          <w:sz w:val="20"/>
        </w:rPr>
        <w:t>Competing algorithms. Six alternatives were fitted on the same 80/20 split (Figure 3).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p>
      <w:pPr>
        <w:spacing w:after="120"/>
      </w:pPr>
      <w:r>
        <w:rPr>
          <w:sz w:val="20"/>
        </w:rPr>
        <w:t>Two further optimisations from the Week 9 practical were applied to both models. Z-score standardisation left them unchanged to four decimal places (RMSE 1.287 and 1.500 before and after), which is the expected result: rescaling a predictor rescales its coefficient and nothing else in ordinary least squares. A Yeo-Johnson transform of the predictors did help, lowering hold-out RMSE from 1.287 to 1.252 and raising R2 from 0.175 to 0.219 in model 2.2, and from 1.500 to 1.463 and 0.417 to 0.445 in model 2.1. The gain is under three per cent and is bought with coefficients that no longer carry a direct football interpretation, so we report the untransformed models and record the transform as the available refinement.</w:t>
      </w:r>
    </w:p>
    <w:p>
      <w:pPr>
        <w:spacing w:before="60" w:after="20"/>
        <w:jc w:val="center"/>
      </w:pPr>
      <w:r>
        <w:drawing>
          <wp:inline xmlns:a="http://schemas.openxmlformats.org/drawingml/2006/main" xmlns:pic="http://schemas.openxmlformats.org/drawingml/2006/picture">
            <wp:extent cx="6120000" cy="2443741"/>
            <wp:docPr id="4" name="Picture 4"/>
            <wp:cNvGraphicFramePr>
              <a:graphicFrameLocks noChangeAspect="1"/>
            </wp:cNvGraphicFramePr>
            <a:graphic>
              <a:graphicData uri="http://schemas.openxmlformats.org/drawingml/2006/picture">
                <pic:pic>
                  <pic:nvPicPr>
                    <pic:cNvPr id="0" name="report_figure_models.png"/>
                    <pic:cNvPicPr/>
                  </pic:nvPicPr>
                  <pic:blipFill>
                    <a:blip r:embed="rId13"/>
                    <a:stretch>
                      <a:fillRect/>
                    </a:stretch>
                  </pic:blipFill>
                  <pic:spPr>
                    <a:xfrm>
                      <a:off x="0" y="0"/>
                      <a:ext cx="6120000" cy="2443741"/>
                    </a:xfrm>
                    <a:prstGeom prst="rect"/>
                  </pic:spPr>
                </pic:pic>
              </a:graphicData>
            </a:graphic>
          </wp:inline>
        </w:drawing>
      </w:r>
    </w:p>
    <w:p>
      <w:pPr>
        <w:spacing w:after="180"/>
        <w:jc w:val="center"/>
      </w:pPr>
      <w:r>
        <w:rPr>
          <w:i/>
          <w:sz w:val="18"/>
        </w:rPr>
        <w:t>Figure 3. Model 2.2 against six competing regression algorithms on the same 80/20 hold-out. Only the regularised linear models improve on ordinary least squares, and marginally; gradient boosting is worse than predicting the training mean. Residual diagnostic plots are in the repository.</w:t>
      </w:r>
    </w:p>
    <w:p>
      <w:pPr>
        <w:spacing w:before="20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p>
      <w:pPr>
        <w:spacing w:after="20" w:before="80"/>
        <w:jc w:val="center"/>
      </w:pPr>
      <w:r>
        <w:drawing>
          <wp:inline xmlns:a="http://schemas.openxmlformats.org/drawingml/2006/main" xmlns:pic="http://schemas.openxmlformats.org/drawingml/2006/picture">
            <wp:extent cx="6120000" cy="2349884"/>
            <wp:docPr id="5" name="Picture 5"/>
            <wp:cNvGraphicFramePr>
              <a:graphicFrameLocks noChangeAspect="1"/>
            </wp:cNvGraphicFramePr>
            <a:graphic>
              <a:graphicData uri="http://schemas.openxmlformats.org/drawingml/2006/picture">
                <pic:pic>
                  <pic:nvPicPr>
                    <pic:cNvPr id="0" name="report_figure_form.png"/>
                    <pic:cNvPicPr/>
                  </pic:nvPicPr>
                  <pic:blipFill>
                    <a:blip r:embed="rId14"/>
                    <a:stretch>
                      <a:fillRect/>
                    </a:stretch>
                  </pic:blipFill>
                  <pic:spPr>
                    <a:xfrm>
                      <a:off x="0" y="0"/>
                      <a:ext cx="6120000" cy="2349884"/>
                    </a:xfrm>
                    <a:prstGeom prst="rect"/>
                  </pic:spPr>
                </pic:pic>
              </a:graphicData>
            </a:graphic>
          </wp:inline>
        </w:drawing>
      </w:r>
    </w:p>
    <w:p>
      <w:pPr>
        <w:spacing w:after="180" w:before="80"/>
        <w:jc w:val="center"/>
      </w:pPr>
      <w:r>
        <w:rPr>
          <w:i/>
          <w:sz w:val="18"/>
        </w:rPr>
        <w:t>Figure 4.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4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