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4891649">
      <w:pPr>
        <w:spacing w:after="20"/>
        <w:jc w:val="center"/>
      </w:pPr>
      <w:r>
        <w:rPr>
          <w:b/>
          <w:sz w:val="26"/>
        </w:rPr>
        <w:t>Predicting FIFA World Cup 2026 Match Outcomes from Pre-Match Information</w:t>
      </w:r>
    </w:p>
    <w:p w14:paraId="5447C6A0">
      <w:pPr>
        <w:spacing w:after="20"/>
        <w:jc w:val="center"/>
      </w:pPr>
      <w:r>
        <w:rPr>
          <w:sz w:val="19"/>
        </w:rPr>
        <w:t>HIT140 Foundations of Data Science · Assessment 3 · Darwin Group 26</w:t>
      </w:r>
    </w:p>
    <w:p w14:paraId="0C09856D">
      <w:pPr>
        <w:spacing w:after="120"/>
        <w:jc w:val="center"/>
      </w:pPr>
      <w:r>
        <w:rPr>
          <w:sz w:val="19"/>
        </w:rPr>
        <w:t>Abel Qin (S393924)  ·  Luke Ren (S394678)  ·  Peng Song (S394967)  ·  Sihao Cui (S399370)</w:t>
      </w:r>
    </w:p>
    <w:p w14:paraId="1C6DFB9F">
      <w:pPr>
        <w:spacing w:before="200" w:after="40"/>
      </w:pPr>
      <w:r>
        <w:rPr>
          <w:b/>
          <w:sz w:val="22"/>
        </w:rPr>
        <w:t>1  Introduction</w:t>
      </w:r>
    </w:p>
    <w:p w14:paraId="23BB841B">
      <w:pPr>
        <w:spacing w:before="0" w:after="80"/>
        <w:rPr>
          <w:b/>
          <w:sz w:val="22"/>
        </w:rPr>
      </w:pPr>
      <w:r>
        <w:rPr>
          <w:sz w:val="20"/>
        </w:rPr>
        <w:t>The FIFA World Cup 2026 left a detailed public record of all 104 matches and of how each was played. Nearly all of that record, however, concerns what happened during a game and so is not helpful in predicting it. This report asks a harder question: how much of a match can be explained from information already available when the referee blew the first whistle? We develop and test two multiple linear regression models. Model 2.1 predicts the goal difference between the two teams in a game (104 rows, one per match). Model 2.2 predicts the number of goals scored by one team in a game (208 rows, each representing one team in one match). Both have exactly eight explanatory variables, all eight available prior to kick-off, and four of them (the maximum permitted number, counted at concept level) are shared between the two models (Table 1). All data preparation, analysis and visualisation were done in Python.</w:t>
      </w:r>
    </w:p>
    <w:p w14:paraId="6B56E087">
      <w:pPr>
        <w:spacing w:before="200" w:after="40"/>
      </w:pPr>
      <w:r>
        <w:rPr>
          <w:b/>
          <w:sz w:val="22"/>
        </w:rPr>
        <w:t>2  Data and feature engineering</w:t>
      </w:r>
    </w:p>
    <w:p w14:paraId="637C6E5F">
      <w:pPr>
        <w:keepNext w:val="0"/>
        <w:keepLines w:val="0"/>
        <w:widowControl/>
        <w:suppressLineNumbers w:val="0"/>
        <w:spacing w:before="0" w:after="80"/>
      </w:pPr>
      <w:r>
        <w:rPr>
          <w:sz w:val="20"/>
        </w:rPr>
        <w:t>All 104 match results are taken from the OpenFootball worldcup.json dataset (CC0). Two sources outside the three listed in the project brief, which the unit coordinator confirmed is acceptable when cited, supply pre-tournament team strength: the FIFA World Ranking released on 11 June 2026, and Transfermarkt squad market valuations as published in June 2026. Confederation membership follows the standard FIFA classification. Goals are counted after extra time and exclude penalty shoot-outs; five games went to extra time and four to penalties. Avoiding leakage. The dataset builder reads the fixture list grouped by date. A team's running tournament record is only updated once all of the games for that date have been read, so for any given match the explanatory variables used are only (a) pre-tournament inputs or (b) the results of games played on strictly earlier dates. Matches played on the same day never inform each other, and nothing from the match being predicted is used. Handling the opening round. In-tournament form is not defined until a team has played. Rather than dropping rows, which the fixed row counts forbid, the form variables are shrunk towards a prior: (sum + 2 x prior) / (games + 2), with priors of 1.3 goals scored and conceded and 1.0 points per game. Every team therefore begins its first game at the prior, and all 104 and 208 rows are complete without imputation. The builder asserts its own output: no missing values, exactly eight explanatory variables in each model, concept-level overlap of at most four, and goal totals matching the source results.</w:t>
      </w:r>
    </w:p>
    <w:p w14:paraId="697F72C6">
      <w:pPr>
        <w:spacing w:after="80"/>
      </w:pPr>
      <w:r>
        <w:rPr>
          <w:i w:val="0"/>
          <w:sz w:val="20"/>
        </w:rPr>
        <w:t>.</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4"/>
        <w:gridCol w:w="3657"/>
        <w:gridCol w:w="3657"/>
      </w:tblGrid>
      <w:tr w14:paraId="64CDA88E">
        <w:trPr>
          <w:jc w:val="center"/>
        </w:trPr>
        <w:tc>
          <w:tcPr>
            <w:tcW w:w="2324" w:type="dxa"/>
          </w:tcPr>
          <w:p w14:paraId="6708ECA3">
            <w:pPr>
              <w:spacing w:before="10" w:after="10"/>
            </w:pPr>
            <w:r>
              <w:rPr>
                <w:b/>
                <w:sz w:val="19"/>
              </w:rPr>
              <w:t>Concept</w:t>
            </w:r>
          </w:p>
        </w:tc>
        <w:tc>
          <w:tcPr>
            <w:tcW w:w="3657" w:type="dxa"/>
          </w:tcPr>
          <w:p w14:paraId="5CEB2D70">
            <w:pPr>
              <w:spacing w:before="10" w:after="10"/>
            </w:pPr>
            <w:r>
              <w:rPr>
                <w:b/>
                <w:sz w:val="19"/>
              </w:rPr>
              <w:t>Model 2.1 (104 rows, all team1 − team2)</w:t>
            </w:r>
          </w:p>
        </w:tc>
        <w:tc>
          <w:tcPr>
            <w:tcW w:w="3657" w:type="dxa"/>
          </w:tcPr>
          <w:p w14:paraId="10888425">
            <w:pPr>
              <w:spacing w:before="10" w:after="10"/>
            </w:pPr>
            <w:r>
              <w:rPr>
                <w:b/>
                <w:sz w:val="19"/>
              </w:rPr>
              <w:t>Model 2.2 (208 rows)</w:t>
            </w:r>
          </w:p>
        </w:tc>
      </w:tr>
      <w:tr w14:paraId="6961887F">
        <w:trPr>
          <w:jc w:val="center"/>
        </w:trPr>
        <w:tc>
          <w:tcPr>
            <w:tcW w:w="2324" w:type="dxa"/>
          </w:tcPr>
          <w:p w14:paraId="69F6AE8D">
            <w:pPr>
              <w:spacing w:before="10" w:after="10"/>
            </w:pPr>
            <w:r>
              <w:rPr>
                <w:sz w:val="19"/>
              </w:rPr>
              <w:t>FIFA ranking *</w:t>
            </w:r>
          </w:p>
        </w:tc>
        <w:tc>
          <w:tcPr>
            <w:tcW w:w="3657" w:type="dxa"/>
          </w:tcPr>
          <w:p w14:paraId="7962003F">
            <w:pPr>
              <w:spacing w:before="10" w:after="10"/>
            </w:pPr>
            <w:r>
              <w:rPr>
                <w:sz w:val="19"/>
              </w:rPr>
              <w:t>log_rank_diff</w:t>
            </w:r>
          </w:p>
        </w:tc>
        <w:tc>
          <w:tcPr>
            <w:tcW w:w="3657" w:type="dxa"/>
          </w:tcPr>
          <w:p w14:paraId="36BF492F">
            <w:pPr>
              <w:spacing w:before="10" w:after="10"/>
            </w:pPr>
            <w:r>
              <w:rPr>
                <w:sz w:val="19"/>
              </w:rPr>
              <w:t>team_log_rank, opp_log_rank</w:t>
            </w:r>
          </w:p>
        </w:tc>
      </w:tr>
      <w:tr w14:paraId="60C9D27E">
        <w:trPr>
          <w:jc w:val="center"/>
        </w:trPr>
        <w:tc>
          <w:tcPr>
            <w:tcW w:w="2324" w:type="dxa"/>
          </w:tcPr>
          <w:p w14:paraId="580F1EB3">
            <w:pPr>
              <w:spacing w:before="10" w:after="10"/>
            </w:pPr>
            <w:r>
              <w:rPr>
                <w:sz w:val="19"/>
              </w:rPr>
              <w:t>Squad value *</w:t>
            </w:r>
          </w:p>
        </w:tc>
        <w:tc>
          <w:tcPr>
            <w:tcW w:w="3657" w:type="dxa"/>
          </w:tcPr>
          <w:p w14:paraId="688C1C23">
            <w:pPr>
              <w:spacing w:before="10" w:after="10"/>
            </w:pPr>
            <w:r>
              <w:rPr>
                <w:sz w:val="19"/>
              </w:rPr>
              <w:t>log_value_diff</w:t>
            </w:r>
          </w:p>
        </w:tc>
        <w:tc>
          <w:tcPr>
            <w:tcW w:w="3657" w:type="dxa"/>
          </w:tcPr>
          <w:p w14:paraId="367103EC">
            <w:pPr>
              <w:spacing w:before="10" w:after="10"/>
            </w:pPr>
            <w:r>
              <w:rPr>
                <w:sz w:val="19"/>
              </w:rPr>
              <w:t>team_log_value</w:t>
            </w:r>
          </w:p>
        </w:tc>
      </w:tr>
      <w:tr w14:paraId="59C39938">
        <w:trPr>
          <w:jc w:val="center"/>
        </w:trPr>
        <w:tc>
          <w:tcPr>
            <w:tcW w:w="2324" w:type="dxa"/>
          </w:tcPr>
          <w:p w14:paraId="62D6CE52">
            <w:pPr>
              <w:spacing w:before="10" w:after="10"/>
            </w:pPr>
            <w:r>
              <w:rPr>
                <w:sz w:val="19"/>
              </w:rPr>
              <w:t>Host at home *</w:t>
            </w:r>
          </w:p>
        </w:tc>
        <w:tc>
          <w:tcPr>
            <w:tcW w:w="3657" w:type="dxa"/>
          </w:tcPr>
          <w:p w14:paraId="01BD1BA9">
            <w:pPr>
              <w:spacing w:before="10" w:after="10"/>
            </w:pPr>
            <w:r>
              <w:rPr>
                <w:sz w:val="19"/>
              </w:rPr>
              <w:t>host_home_diff</w:t>
            </w:r>
          </w:p>
        </w:tc>
        <w:tc>
          <w:tcPr>
            <w:tcW w:w="3657" w:type="dxa"/>
          </w:tcPr>
          <w:p w14:paraId="4D9B310D">
            <w:pPr>
              <w:spacing w:before="10" w:after="10"/>
            </w:pPr>
            <w:r>
              <w:rPr>
                <w:sz w:val="19"/>
              </w:rPr>
              <w:t>is_host_home</w:t>
            </w:r>
          </w:p>
        </w:tc>
      </w:tr>
      <w:tr w14:paraId="4D6CDF1D">
        <w:trPr>
          <w:jc w:val="center"/>
        </w:trPr>
        <w:tc>
          <w:tcPr>
            <w:tcW w:w="2324" w:type="dxa"/>
          </w:tcPr>
          <w:p w14:paraId="02675D28">
            <w:pPr>
              <w:spacing w:before="10" w:after="10"/>
            </w:pPr>
            <w:r>
              <w:rPr>
                <w:sz w:val="19"/>
              </w:rPr>
              <w:t>Stage *</w:t>
            </w:r>
          </w:p>
        </w:tc>
        <w:tc>
          <w:tcPr>
            <w:tcW w:w="3657" w:type="dxa"/>
          </w:tcPr>
          <w:p w14:paraId="7582D56B">
            <w:pPr>
              <w:spacing w:before="10" w:after="10"/>
            </w:pPr>
            <w:r>
              <w:rPr>
                <w:sz w:val="19"/>
              </w:rPr>
              <w:t>stage_ord</w:t>
            </w:r>
          </w:p>
        </w:tc>
        <w:tc>
          <w:tcPr>
            <w:tcW w:w="3657" w:type="dxa"/>
          </w:tcPr>
          <w:p w14:paraId="35FC8C78">
            <w:pPr>
              <w:spacing w:before="10" w:after="10"/>
            </w:pPr>
            <w:r>
              <w:rPr>
                <w:sz w:val="19"/>
              </w:rPr>
              <w:t>is_knockout</w:t>
            </w:r>
          </w:p>
        </w:tc>
      </w:tr>
      <w:tr w14:paraId="4F173202">
        <w:trPr>
          <w:jc w:val="center"/>
        </w:trPr>
        <w:tc>
          <w:tcPr>
            <w:tcW w:w="2324" w:type="dxa"/>
          </w:tcPr>
          <w:p w14:paraId="61F0B318">
            <w:pPr>
              <w:spacing w:before="10" w:after="10"/>
            </w:pPr>
            <w:r>
              <w:rPr>
                <w:sz w:val="19"/>
              </w:rPr>
              <w:t>Form — points</w:t>
            </w:r>
          </w:p>
        </w:tc>
        <w:tc>
          <w:tcPr>
            <w:tcW w:w="3657" w:type="dxa"/>
          </w:tcPr>
          <w:p w14:paraId="2BA2D6A0">
            <w:pPr>
              <w:spacing w:before="10" w:after="10"/>
            </w:pPr>
            <w:r>
              <w:rPr>
                <w:sz w:val="19"/>
              </w:rPr>
              <w:t>ppg_diff</w:t>
            </w:r>
          </w:p>
        </w:tc>
        <w:tc>
          <w:tcPr>
            <w:tcW w:w="3657" w:type="dxa"/>
          </w:tcPr>
          <w:p w14:paraId="07A36A24">
            <w:pPr>
              <w:spacing w:before="10" w:after="10"/>
            </w:pPr>
            <w:r>
              <w:rPr>
                <w:sz w:val="19"/>
              </w:rPr>
              <w:t>—</w:t>
            </w:r>
          </w:p>
        </w:tc>
      </w:tr>
      <w:tr w14:paraId="714A882B">
        <w:trPr>
          <w:jc w:val="center"/>
        </w:trPr>
        <w:tc>
          <w:tcPr>
            <w:tcW w:w="2324" w:type="dxa"/>
          </w:tcPr>
          <w:p w14:paraId="63885A89">
            <w:pPr>
              <w:spacing w:before="10" w:after="10"/>
            </w:pPr>
            <w:r>
              <w:rPr>
                <w:sz w:val="19"/>
              </w:rPr>
              <w:t>Form — goal difference</w:t>
            </w:r>
          </w:p>
        </w:tc>
        <w:tc>
          <w:tcPr>
            <w:tcW w:w="3657" w:type="dxa"/>
          </w:tcPr>
          <w:p w14:paraId="3F61B8A3">
            <w:pPr>
              <w:spacing w:before="10" w:after="10"/>
            </w:pPr>
            <w:r>
              <w:rPr>
                <w:sz w:val="19"/>
              </w:rPr>
              <w:t>gd_pg_diff</w:t>
            </w:r>
          </w:p>
        </w:tc>
        <w:tc>
          <w:tcPr>
            <w:tcW w:w="3657" w:type="dxa"/>
          </w:tcPr>
          <w:p w14:paraId="49C7D368">
            <w:pPr>
              <w:spacing w:before="10" w:after="10"/>
            </w:pPr>
            <w:r>
              <w:rPr>
                <w:sz w:val="19"/>
              </w:rPr>
              <w:t>—</w:t>
            </w:r>
          </w:p>
        </w:tc>
      </w:tr>
      <w:tr w14:paraId="65EB3FC9">
        <w:trPr>
          <w:jc w:val="center"/>
        </w:trPr>
        <w:tc>
          <w:tcPr>
            <w:tcW w:w="2324" w:type="dxa"/>
          </w:tcPr>
          <w:p w14:paraId="5C55C426">
            <w:pPr>
              <w:spacing w:before="10" w:after="10"/>
            </w:pPr>
            <w:r>
              <w:rPr>
                <w:sz w:val="19"/>
              </w:rPr>
              <w:t>Rest days</w:t>
            </w:r>
          </w:p>
        </w:tc>
        <w:tc>
          <w:tcPr>
            <w:tcW w:w="3657" w:type="dxa"/>
          </w:tcPr>
          <w:p w14:paraId="66116FD4">
            <w:pPr>
              <w:spacing w:before="10" w:after="10"/>
            </w:pPr>
            <w:r>
              <w:rPr>
                <w:sz w:val="19"/>
              </w:rPr>
              <w:t>rest_days_diff</w:t>
            </w:r>
          </w:p>
        </w:tc>
        <w:tc>
          <w:tcPr>
            <w:tcW w:w="3657" w:type="dxa"/>
          </w:tcPr>
          <w:p w14:paraId="29DCCD16">
            <w:pPr>
              <w:spacing w:before="10" w:after="10"/>
            </w:pPr>
            <w:r>
              <w:rPr>
                <w:sz w:val="19"/>
              </w:rPr>
              <w:t>—</w:t>
            </w:r>
          </w:p>
        </w:tc>
      </w:tr>
      <w:tr w14:paraId="67A76994">
        <w:trPr>
          <w:jc w:val="center"/>
        </w:trPr>
        <w:tc>
          <w:tcPr>
            <w:tcW w:w="2324" w:type="dxa"/>
          </w:tcPr>
          <w:p w14:paraId="4D04A412">
            <w:pPr>
              <w:spacing w:before="10" w:after="10"/>
            </w:pPr>
            <w:r>
              <w:rPr>
                <w:sz w:val="19"/>
              </w:rPr>
              <w:t>Confederation</w:t>
            </w:r>
          </w:p>
        </w:tc>
        <w:tc>
          <w:tcPr>
            <w:tcW w:w="3657" w:type="dxa"/>
          </w:tcPr>
          <w:p w14:paraId="695F4205">
            <w:pPr>
              <w:spacing w:before="10" w:after="10"/>
            </w:pPr>
            <w:r>
              <w:rPr>
                <w:sz w:val="19"/>
              </w:rPr>
              <w:t>same_confed</w:t>
            </w:r>
          </w:p>
        </w:tc>
        <w:tc>
          <w:tcPr>
            <w:tcW w:w="3657" w:type="dxa"/>
          </w:tcPr>
          <w:p w14:paraId="54C5F66A">
            <w:pPr>
              <w:spacing w:before="10" w:after="10"/>
            </w:pPr>
            <w:r>
              <w:rPr>
                <w:sz w:val="19"/>
              </w:rPr>
              <w:t>—</w:t>
            </w:r>
          </w:p>
        </w:tc>
      </w:tr>
      <w:tr w14:paraId="7E6EE181">
        <w:trPr>
          <w:jc w:val="center"/>
        </w:trPr>
        <w:tc>
          <w:tcPr>
            <w:tcW w:w="2324" w:type="dxa"/>
          </w:tcPr>
          <w:p w14:paraId="65754E20">
            <w:pPr>
              <w:spacing w:before="10" w:after="10"/>
            </w:pPr>
            <w:r>
              <w:rPr>
                <w:sz w:val="19"/>
              </w:rPr>
              <w:t>Form — goals for</w:t>
            </w:r>
          </w:p>
        </w:tc>
        <w:tc>
          <w:tcPr>
            <w:tcW w:w="3657" w:type="dxa"/>
          </w:tcPr>
          <w:p w14:paraId="13963708">
            <w:pPr>
              <w:spacing w:before="10" w:after="10"/>
            </w:pPr>
            <w:r>
              <w:rPr>
                <w:sz w:val="19"/>
              </w:rPr>
              <w:t>—</w:t>
            </w:r>
          </w:p>
        </w:tc>
        <w:tc>
          <w:tcPr>
            <w:tcW w:w="3657" w:type="dxa"/>
          </w:tcPr>
          <w:p w14:paraId="6769D035">
            <w:pPr>
              <w:spacing w:before="10" w:after="10"/>
            </w:pPr>
            <w:r>
              <w:rPr>
                <w:sz w:val="19"/>
              </w:rPr>
              <w:t>team_gf_pg</w:t>
            </w:r>
          </w:p>
        </w:tc>
      </w:tr>
      <w:tr w14:paraId="1D890AF8">
        <w:trPr>
          <w:jc w:val="center"/>
        </w:trPr>
        <w:tc>
          <w:tcPr>
            <w:tcW w:w="2324" w:type="dxa"/>
          </w:tcPr>
          <w:p w14:paraId="64618FAD">
            <w:pPr>
              <w:spacing w:before="10" w:after="10"/>
            </w:pPr>
            <w:r>
              <w:rPr>
                <w:sz w:val="19"/>
              </w:rPr>
              <w:t>Form — goals against</w:t>
            </w:r>
          </w:p>
        </w:tc>
        <w:tc>
          <w:tcPr>
            <w:tcW w:w="3657" w:type="dxa"/>
          </w:tcPr>
          <w:p w14:paraId="6DDB570F">
            <w:pPr>
              <w:spacing w:before="10" w:after="10"/>
            </w:pPr>
            <w:r>
              <w:rPr>
                <w:sz w:val="19"/>
              </w:rPr>
              <w:t>—</w:t>
            </w:r>
          </w:p>
        </w:tc>
        <w:tc>
          <w:tcPr>
            <w:tcW w:w="3657" w:type="dxa"/>
          </w:tcPr>
          <w:p w14:paraId="38D25233">
            <w:pPr>
              <w:spacing w:before="10" w:after="10"/>
            </w:pPr>
            <w:r>
              <w:rPr>
                <w:sz w:val="19"/>
              </w:rPr>
              <w:t>opp_ga_pg</w:t>
            </w:r>
          </w:p>
        </w:tc>
      </w:tr>
      <w:tr w14:paraId="39E933D2">
        <w:trPr>
          <w:jc w:val="center"/>
        </w:trPr>
        <w:tc>
          <w:tcPr>
            <w:tcW w:w="2324" w:type="dxa"/>
          </w:tcPr>
          <w:p w14:paraId="43A6765E">
            <w:pPr>
              <w:spacing w:before="10" w:after="10"/>
            </w:pPr>
            <w:r>
              <w:rPr>
                <w:sz w:val="19"/>
              </w:rPr>
              <w:t>Form — opponent goals for</w:t>
            </w:r>
          </w:p>
        </w:tc>
        <w:tc>
          <w:tcPr>
            <w:tcW w:w="3657" w:type="dxa"/>
          </w:tcPr>
          <w:p w14:paraId="60CBED01">
            <w:pPr>
              <w:spacing w:before="10" w:after="10"/>
            </w:pPr>
            <w:r>
              <w:rPr>
                <w:sz w:val="19"/>
              </w:rPr>
              <w:t>—</w:t>
            </w:r>
          </w:p>
        </w:tc>
        <w:tc>
          <w:tcPr>
            <w:tcW w:w="3657" w:type="dxa"/>
          </w:tcPr>
          <w:p w14:paraId="7D21C820">
            <w:pPr>
              <w:spacing w:before="10" w:after="10"/>
            </w:pPr>
            <w:r>
              <w:rPr>
                <w:sz w:val="19"/>
              </w:rPr>
              <w:t>opp_gf_pg</w:t>
            </w:r>
          </w:p>
        </w:tc>
      </w:tr>
    </w:tbl>
    <w:p w14:paraId="3D8DAAB8">
      <w:pPr>
        <w:spacing w:after="180"/>
      </w:pPr>
      <w:r>
        <w:rPr>
          <w:i/>
          <w:sz w:val="18"/>
        </w:rPr>
        <w:t>Table 1. The eight explanatory variables of each model. Four concepts marked * are shared between the two models, which is the maximum the brief allows; no column name is identical, because model 2.1 expresses each as a team1-minus-team2 difference while model 2.2 uses levels for the team and its opponent.</w:t>
      </w:r>
    </w:p>
    <w:p w14:paraId="2B14B907">
      <w:pPr>
        <w:spacing w:before="200" w:after="40"/>
      </w:pPr>
      <w:r>
        <w:rPr>
          <w:b/>
          <w:sz w:val="22"/>
        </w:rPr>
        <w:t>3  Model 2.1  —  goal difference between the two teams</w:t>
      </w:r>
    </w:p>
    <w:p w14:paraId="72B8FDC3">
      <w:pPr>
        <w:spacing w:after="80" w:before="0"/>
        <w:rPr>
          <w:rFonts w:hint="default"/>
          <w:i w:val="0"/>
          <w:sz w:val="20"/>
        </w:rPr>
      </w:pPr>
      <w:r>
        <w:rPr>
          <w:sz w:val="20"/>
        </w:rPr>
        <w:t>Exploratory analysis. Goal difference is approximately symmetric (mean = +0.48, SD = 2.02). It is correlated with ranking (r = 0.63) and with squad value (r = 0.66), and these two are also correlated with each other (r = 0.79), so they carry one signal rather than two. Form correlates at r = 0.32, yet its partial correlation given strength is only -0.06 (p &gt; 0.5), so form is largely strength in disguise. The third finding is a fixture artefact: the list of fixtures places the better-ranked side in the 'first' position at some stages and in the 'second' position at others, which produced a seemingly significant p-value of 0.046 for the intercept and 0.035 for stage. A relabelling test, randomly swapping the two teams and refitting the full model 2,000 times, shows that those two terms are significant in only 7% and 6% of relabellings, which is the chance rate, whereas ranking and value survive in 99-100% (Figure 1b).</w:t>
      </w:r>
    </w:p>
    <w:p w14:paraId="312E8C5A">
      <w:pPr>
        <w:spacing w:after="80" w:before="0"/>
        <w:rPr>
          <w:rFonts w:hint="default"/>
          <w:i w:val="0"/>
          <w:sz w:val="20"/>
        </w:rPr>
      </w:pPr>
      <w:r>
        <w:rPr>
          <w:sz w:val="20"/>
        </w:rPr>
        <w:t>Modelling and optimisation. The models were tested using repeated 10-fold cross-validation (30 repeats) and a walk-forward test that predicts each stage from the stages before it. The full eight-variable OLS (adjusted R2 of 0.48) achieves a CV RMSE of 1.55 but 1.82 walk-forward, worse than a ranking-only regression, because it learns the artefact of the listing. This was resolved by two changes that arose out of the exploratory analysis: a strength index, defined as the mean of the two log-differences (equal weights were not rejected, p = 0.59), and a symmetric specification without an intercept. Of the remaining variables only host advantage lowered both errors. Twenty competing models, ranging from ridge, lasso, elastic net and Huber to principal component and partial least squares regression, best-subset selection and tree ensembles, were all knocked out by the two-term model on both tests (Figure 1c).</w:t>
      </w:r>
    </w:p>
    <w:p w14:paraId="7EEDB131">
      <w:pPr>
        <w:spacing w:after="80" w:before="0"/>
        <w:rPr>
          <w:rFonts w:hint="default"/>
          <w:i w:val="0"/>
          <w:sz w:val="20"/>
        </w:rPr>
      </w:pPr>
      <w:r>
        <w:rPr>
          <w:sz w:val="20"/>
        </w:rPr>
        <w:t>Final model: goal_diff = 0.90 x strength + 0.82 x host_home_diff, with strength defined as (log_rank_diff + log_value_diff) / 2. This is not a ninth variable: the index is formed from two of the eight with equal weights, so the final model uses three of the eight. Cross-validated RMSE falls 3.7% to 1.49 and walk-forward RMSE 21% to 1.43 (bootstrap 95% CI of the gain -0.59 to -0.18). Doubling a team's combined ranking and value advantage is worth 0.63 goals. The strength coefficient is precise (95% CI 0.72-1.09) and stays within 0.83-0.99 across four robustness tests, while the host effect rests on only 13 matches and is uncertain (HC3 p = 0.12). Residuals do not violate the tests for normality (Shapiro-Wilk p = 0.48), constant variance (Breusch-Pagan p = 0.17) or linearity (RESET p = 0.35).</w:t>
      </w:r>
    </w:p>
    <w:p w14:paraId="56DF8543">
      <w:pPr>
        <w:spacing w:after="80" w:before="0"/>
      </w:pPr>
      <w:r>
        <w:rPr>
          <w:sz w:val="20"/>
        </w:rPr>
        <w:t>Week 9 hold-out protocol. Fitted with scikit-learn on an 80/20 random split, the full eight-variable model returns MAE 1.205, MSE 2.249, RMSE 1.500, normalised RMSE 0.150 and R2 0.416, against 1.644, 3.871, 1.967, 0.197 and -0.004 for a baseline that predicts the mean of the training set. The model therefore performs far better than the naive baseline on a random split, but as Table 2 shows, that is not the whole story.</w:t>
      </w:r>
    </w:p>
    <w:tbl>
      <w:tblPr>
        <w:tblStyle w:val="3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61"/>
        <w:gridCol w:w="907"/>
        <w:gridCol w:w="1474"/>
        <w:gridCol w:w="2041"/>
        <w:gridCol w:w="1701"/>
      </w:tblGrid>
      <w:tr w14:paraId="3A4397DF">
        <w:trPr>
          <w:jc w:val="center"/>
        </w:trPr>
        <w:tc>
          <w:tcPr>
            <w:tcW w:w="3061" w:type="dxa"/>
          </w:tcPr>
          <w:p w14:paraId="3757B3BF">
            <w:pPr>
              <w:spacing w:before="10" w:after="10"/>
            </w:pPr>
            <w:r>
              <w:rPr>
                <w:b/>
                <w:sz w:val="19"/>
              </w:rPr>
              <w:t>Model</w:t>
            </w:r>
          </w:p>
        </w:tc>
        <w:tc>
          <w:tcPr>
            <w:tcW w:w="907" w:type="dxa"/>
          </w:tcPr>
          <w:p w14:paraId="2E7A2AAB">
            <w:pPr>
              <w:spacing w:before="10" w:after="10"/>
            </w:pPr>
            <w:r>
              <w:rPr>
                <w:b/>
                <w:sz w:val="19"/>
              </w:rPr>
              <w:t>Terms</w:t>
            </w:r>
          </w:p>
        </w:tc>
        <w:tc>
          <w:tcPr>
            <w:tcW w:w="1474" w:type="dxa"/>
          </w:tcPr>
          <w:p w14:paraId="3B18B3C7">
            <w:pPr>
              <w:spacing w:before="10" w:after="10"/>
            </w:pPr>
            <w:r>
              <w:rPr>
                <w:b/>
                <w:sz w:val="19"/>
              </w:rPr>
              <w:t>CV RMSE</w:t>
            </w:r>
          </w:p>
        </w:tc>
        <w:tc>
          <w:tcPr>
            <w:tcW w:w="2041" w:type="dxa"/>
          </w:tcPr>
          <w:p w14:paraId="6E4CC6B4">
            <w:pPr>
              <w:spacing w:before="10" w:after="10"/>
            </w:pPr>
            <w:r>
              <w:rPr>
                <w:b/>
                <w:sz w:val="19"/>
              </w:rPr>
              <w:t>Walk-forward RMSE</w:t>
            </w:r>
          </w:p>
        </w:tc>
        <w:tc>
          <w:tcPr>
            <w:tcW w:w="1701" w:type="dxa"/>
          </w:tcPr>
          <w:p w14:paraId="5217B4EA">
            <w:pPr>
              <w:spacing w:before="10" w:after="10"/>
            </w:pPr>
            <w:r>
              <w:rPr>
                <w:b/>
                <w:sz w:val="19"/>
              </w:rPr>
              <w:t>Hold-out RMSE</w:t>
            </w:r>
          </w:p>
        </w:tc>
      </w:tr>
      <w:tr w14:paraId="5B06F766">
        <w:trPr>
          <w:jc w:val="center"/>
        </w:trPr>
        <w:tc>
          <w:tcPr>
            <w:tcW w:w="3061" w:type="dxa"/>
          </w:tcPr>
          <w:p w14:paraId="5D25D9D2">
            <w:pPr>
              <w:spacing w:before="10" w:after="10"/>
            </w:pPr>
            <w:r>
              <w:rPr>
                <w:sz w:val="19"/>
              </w:rPr>
              <w:t>Mean baseline</w:t>
            </w:r>
          </w:p>
        </w:tc>
        <w:tc>
          <w:tcPr>
            <w:tcW w:w="907" w:type="dxa"/>
          </w:tcPr>
          <w:p w14:paraId="57DDD38A">
            <w:pPr>
              <w:spacing w:before="10" w:after="10"/>
            </w:pPr>
            <w:r>
              <w:rPr>
                <w:sz w:val="19"/>
              </w:rPr>
              <w:t>0</w:t>
            </w:r>
          </w:p>
        </w:tc>
        <w:tc>
          <w:tcPr>
            <w:tcW w:w="1474" w:type="dxa"/>
          </w:tcPr>
          <w:p w14:paraId="4E6E7216">
            <w:pPr>
              <w:spacing w:before="10" w:after="10"/>
            </w:pPr>
            <w:r>
              <w:rPr>
                <w:sz w:val="19"/>
              </w:rPr>
              <w:t>2.03</w:t>
            </w:r>
          </w:p>
        </w:tc>
        <w:tc>
          <w:tcPr>
            <w:tcW w:w="2041" w:type="dxa"/>
          </w:tcPr>
          <w:p w14:paraId="0921235A">
            <w:pPr>
              <w:spacing w:before="10" w:after="10"/>
            </w:pPr>
            <w:r>
              <w:rPr>
                <w:sz w:val="19"/>
              </w:rPr>
              <w:t>2.10</w:t>
            </w:r>
          </w:p>
        </w:tc>
        <w:tc>
          <w:tcPr>
            <w:tcW w:w="1701" w:type="dxa"/>
          </w:tcPr>
          <w:p w14:paraId="3D7EE45E">
            <w:pPr>
              <w:spacing w:before="10" w:after="10"/>
            </w:pPr>
            <w:r>
              <w:rPr>
                <w:sz w:val="19"/>
              </w:rPr>
              <w:t>1.97</w:t>
            </w:r>
          </w:p>
        </w:tc>
      </w:tr>
      <w:tr w14:paraId="73826B93">
        <w:trPr>
          <w:jc w:val="center"/>
        </w:trPr>
        <w:tc>
          <w:tcPr>
            <w:tcW w:w="3061" w:type="dxa"/>
          </w:tcPr>
          <w:p w14:paraId="4323B54C">
            <w:pPr>
              <w:spacing w:before="10" w:after="10"/>
            </w:pPr>
            <w:r>
              <w:rPr>
                <w:sz w:val="19"/>
              </w:rPr>
              <w:t>Full OLS, eight variables</w:t>
            </w:r>
          </w:p>
        </w:tc>
        <w:tc>
          <w:tcPr>
            <w:tcW w:w="907" w:type="dxa"/>
          </w:tcPr>
          <w:p w14:paraId="0E48A066">
            <w:pPr>
              <w:spacing w:before="10" w:after="10"/>
            </w:pPr>
            <w:r>
              <w:rPr>
                <w:sz w:val="19"/>
              </w:rPr>
              <w:t>8</w:t>
            </w:r>
          </w:p>
        </w:tc>
        <w:tc>
          <w:tcPr>
            <w:tcW w:w="1474" w:type="dxa"/>
          </w:tcPr>
          <w:p w14:paraId="6589A490">
            <w:pPr>
              <w:spacing w:before="10" w:after="10"/>
            </w:pPr>
            <w:r>
              <w:rPr>
                <w:sz w:val="19"/>
              </w:rPr>
              <w:t>1.55</w:t>
            </w:r>
          </w:p>
        </w:tc>
        <w:tc>
          <w:tcPr>
            <w:tcW w:w="2041" w:type="dxa"/>
          </w:tcPr>
          <w:p w14:paraId="6563A19C">
            <w:pPr>
              <w:spacing w:before="10" w:after="10"/>
            </w:pPr>
            <w:r>
              <w:rPr>
                <w:sz w:val="19"/>
              </w:rPr>
              <w:t>1.82</w:t>
            </w:r>
          </w:p>
        </w:tc>
        <w:tc>
          <w:tcPr>
            <w:tcW w:w="1701" w:type="dxa"/>
          </w:tcPr>
          <w:p w14:paraId="25799004">
            <w:pPr>
              <w:spacing w:before="10" w:after="10"/>
            </w:pPr>
            <w:r>
              <w:rPr>
                <w:sz w:val="19"/>
              </w:rPr>
              <w:t>1.91</w:t>
            </w:r>
          </w:p>
        </w:tc>
      </w:tr>
      <w:tr w14:paraId="19D78567">
        <w:trPr>
          <w:jc w:val="center"/>
        </w:trPr>
        <w:tc>
          <w:tcPr>
            <w:tcW w:w="3061" w:type="dxa"/>
          </w:tcPr>
          <w:p w14:paraId="4A6D008F">
            <w:pPr>
              <w:spacing w:before="10" w:after="10"/>
            </w:pPr>
            <w:r>
              <w:rPr>
                <w:sz w:val="19"/>
              </w:rPr>
              <w:t>Weighted symmetric ridge</w:t>
            </w:r>
          </w:p>
        </w:tc>
        <w:tc>
          <w:tcPr>
            <w:tcW w:w="907" w:type="dxa"/>
          </w:tcPr>
          <w:p w14:paraId="5A7B3E27">
            <w:pPr>
              <w:spacing w:before="10" w:after="10"/>
            </w:pPr>
            <w:r>
              <w:rPr>
                <w:sz w:val="19"/>
              </w:rPr>
              <w:t>8</w:t>
            </w:r>
          </w:p>
        </w:tc>
        <w:tc>
          <w:tcPr>
            <w:tcW w:w="1474" w:type="dxa"/>
          </w:tcPr>
          <w:p w14:paraId="125E925D">
            <w:pPr>
              <w:spacing w:before="10" w:after="10"/>
            </w:pPr>
            <w:r>
              <w:rPr>
                <w:sz w:val="19"/>
              </w:rPr>
              <w:t>1.51</w:t>
            </w:r>
          </w:p>
        </w:tc>
        <w:tc>
          <w:tcPr>
            <w:tcW w:w="2041" w:type="dxa"/>
          </w:tcPr>
          <w:p w14:paraId="458579F5">
            <w:pPr>
              <w:spacing w:before="10" w:after="10"/>
            </w:pPr>
            <w:r>
              <w:rPr>
                <w:sz w:val="19"/>
              </w:rPr>
              <w:t>1.45</w:t>
            </w:r>
          </w:p>
        </w:tc>
        <w:tc>
          <w:tcPr>
            <w:tcW w:w="1701" w:type="dxa"/>
          </w:tcPr>
          <w:p w14:paraId="77A3D28D">
            <w:pPr>
              <w:spacing w:before="10" w:after="10"/>
            </w:pPr>
            <w:r>
              <w:rPr>
                <w:sz w:val="19"/>
              </w:rPr>
              <w:t>1.52</w:t>
            </w:r>
          </w:p>
        </w:tc>
      </w:tr>
      <w:tr w14:paraId="12390E33">
        <w:trPr>
          <w:jc w:val="center"/>
        </w:trPr>
        <w:tc>
          <w:tcPr>
            <w:tcW w:w="3061" w:type="dxa"/>
          </w:tcPr>
          <w:p w14:paraId="33E5FC9C">
            <w:pPr>
              <w:spacing w:before="10" w:after="10"/>
            </w:pPr>
            <w:r>
              <w:rPr>
                <w:sz w:val="19"/>
              </w:rPr>
              <w:t>Final: strength + host</w:t>
            </w:r>
          </w:p>
        </w:tc>
        <w:tc>
          <w:tcPr>
            <w:tcW w:w="907" w:type="dxa"/>
          </w:tcPr>
          <w:p w14:paraId="12920C54">
            <w:pPr>
              <w:spacing w:before="10" w:after="10"/>
            </w:pPr>
            <w:r>
              <w:rPr>
                <w:sz w:val="19"/>
              </w:rPr>
              <w:t>2</w:t>
            </w:r>
          </w:p>
        </w:tc>
        <w:tc>
          <w:tcPr>
            <w:tcW w:w="1474" w:type="dxa"/>
          </w:tcPr>
          <w:p w14:paraId="3E01E7D5">
            <w:pPr>
              <w:spacing w:before="10" w:after="10"/>
            </w:pPr>
            <w:r>
              <w:rPr>
                <w:sz w:val="19"/>
              </w:rPr>
              <w:t>1.49</w:t>
            </w:r>
          </w:p>
        </w:tc>
        <w:tc>
          <w:tcPr>
            <w:tcW w:w="2041" w:type="dxa"/>
          </w:tcPr>
          <w:p w14:paraId="24495912">
            <w:pPr>
              <w:spacing w:before="10" w:after="10"/>
            </w:pPr>
            <w:r>
              <w:rPr>
                <w:sz w:val="19"/>
              </w:rPr>
              <w:t>1.43</w:t>
            </w:r>
          </w:p>
        </w:tc>
        <w:tc>
          <w:tcPr>
            <w:tcW w:w="1701" w:type="dxa"/>
          </w:tcPr>
          <w:p w14:paraId="13DE8AD0">
            <w:pPr>
              <w:spacing w:before="10" w:after="10"/>
            </w:pPr>
            <w:r>
              <w:rPr>
                <w:sz w:val="19"/>
              </w:rPr>
              <w:t>1.52</w:t>
            </w:r>
          </w:p>
        </w:tc>
      </w:tr>
    </w:tbl>
    <w:p w14:paraId="571990F6">
      <w:pPr>
        <w:spacing w:after="180"/>
      </w:pPr>
      <w:r>
        <w:rPr>
          <w:i/>
          <w:sz w:val="18"/>
        </w:rPr>
        <w:t>Table 2. Out-of-sample error for model 2.1, in goals. Hold-out = last 16 matches, fitted on the first 88.</w:t>
      </w:r>
    </w:p>
    <w:p w14:paraId="16AC0203">
      <w:pPr>
        <w:spacing w:before="60" w:after="20"/>
        <w:jc w:val="center"/>
      </w:pPr>
      <w:r>
        <w:drawing>
          <wp:inline distT="0" distB="0" distL="114300" distR="114300">
            <wp:extent cx="6119495" cy="2069465"/>
            <wp:effectExtent l="0" t="0" r="1905" b="133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6120000" cy="2070000"/>
                    </a:xfrm>
                    <a:prstGeom prst="rect">
                      <a:avLst/>
                    </a:prstGeom>
                  </pic:spPr>
                </pic:pic>
              </a:graphicData>
            </a:graphic>
          </wp:inline>
        </w:drawing>
      </w:r>
    </w:p>
    <w:p w14:paraId="1B034742">
      <w:pPr>
        <w:spacing w:after="180"/>
        <w:jc w:val="center"/>
      </w:pPr>
      <w:r>
        <w:rPr>
          <w:i/>
          <w:sz w:val="18"/>
        </w:rPr>
        <w:t>Figure 1. Model 2.1. (a) Fitted model with 95% confidence and prediction bands. (b) Share of 2,000 random relabellings in which each term of the full model is significant. (c) Out-of-sample RMSE of the competing models.</w:t>
      </w:r>
    </w:p>
    <w:p w14:paraId="1E34E28D">
      <w:pPr>
        <w:spacing w:before="200" w:after="40"/>
      </w:pPr>
      <w:r>
        <w:rPr>
          <w:b/>
          <w:sz w:val="22"/>
        </w:rPr>
        <w:t>4  Model 2.2  —  goals scored by a team in a match</w:t>
      </w:r>
    </w:p>
    <w:p w14:paraId="25A4242F">
      <w:pPr>
        <w:spacing w:after="80" w:before="0"/>
        <w:rPr>
          <w:rFonts w:hint="default"/>
          <w:i w:val="0"/>
          <w:sz w:val="20"/>
        </w:rPr>
      </w:pPr>
      <w:r>
        <w:rPr>
          <w:sz w:val="20"/>
        </w:rPr>
        <w:t>Exploratory analysis. The mean number of goals per team-match is 1.48, the variance is 1.94 and the zero rate is 26.4%. Correlating the eight variables with the response makes the ordering clear: squad value (+0.40), the team's own FIFA ranking (-0.37) and the opponent's ranking (+0.32) are the three strongest. Behind these come the opponent's goals conceded per game (+0.21) and the host advantage (+0.14). The team's own scoring form is weak (+0.10), and two variables are basically noise: the opponent's goals-for form (-0.06) and the knockout flag (-0.01).</w:t>
      </w:r>
    </w:p>
    <w:p w14:paraId="664B3A69">
      <w:pPr>
        <w:spacing w:after="80" w:before="0"/>
        <w:rPr>
          <w:rFonts w:hint="default"/>
          <w:i w:val="0"/>
          <w:sz w:val="20"/>
        </w:rPr>
      </w:pPr>
      <w:r>
        <w:rPr>
          <w:sz w:val="20"/>
        </w:rPr>
        <w:t>Modelling and optimisation. The full eight-variable OLS gives R2 = 0.306 and adjusted R2 = 0.278 (AIC 669.33). An exhaustive search over all 255 subsets confirmed what the correlations suggested: removing opp_gf_pg (p = 0.580) and is_knockout (p = 0.658) reduces AIC to 665.75 and improves 10-fold CV RMSE from 1.203 to 1.191. The retained variables do not cause damaging collinearity, as variance inflation factors remain under 3.03 throughout.</w:t>
      </w:r>
    </w:p>
    <w:p w14:paraId="5F370118">
      <w:pPr>
        <w:spacing w:after="80" w:before="0"/>
      </w:pPr>
      <w:r>
        <w:rPr>
          <w:sz w:val="20"/>
        </w:rPr>
        <w:t>Final model.  goals_scored = -0.747 + 0.386 x team_log_value + 0.269 x opp_log_rank + 0.802 x is_host_home - 0.397 x team_gf_pg + 0.401 x opp_ga_pg - 0.226 x team_log_rank. Doubling a squad's value adds approximately 0.27 to the expected number of goals scored; being a host nation playing at home adds +0.80 goals. The diagnostics (Figure 2) show the count-data character of the response: the Breusch-Pagan test indicates mild heteroscedasticity (p = 0.0024) and the Jarque-Bera test rejects normal residuals (p &lt; 0.001, skewness 0.78), driven by the inflated number of zeros. Re-estimating with HC3 robust standard errors leaves squad value (p = 0.0007), opponent ranking (p = 0.0022) and host advantage (p = 0.0477) significant. Neither autocorrelation nor single outliers are responsible, as Durbin-Watson is 1.82 and the largest Cook's distance is 0.137.</w:t>
      </w:r>
    </w:p>
    <w:p w14:paraId="22F56F0D">
      <w:pPr>
        <w:spacing w:before="80" w:after="20"/>
        <w:jc w:val="center"/>
      </w:pPr>
      <w:r>
        <w:drawing>
          <wp:inline distT="0" distB="0" distL="114300" distR="114300">
            <wp:extent cx="6119495" cy="1835785"/>
            <wp:effectExtent l="0" t="0" r="1905" b="184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7"/>
                    <a:stretch>
                      <a:fillRect/>
                    </a:stretch>
                  </pic:blipFill>
                  <pic:spPr>
                    <a:xfrm>
                      <a:off x="0" y="0"/>
                      <a:ext cx="6120000" cy="1836000"/>
                    </a:xfrm>
                    <a:prstGeom prst="rect">
                      <a:avLst/>
                    </a:prstGeom>
                  </pic:spPr>
                </pic:pic>
              </a:graphicData>
            </a:graphic>
          </wp:inline>
        </w:drawing>
      </w:r>
    </w:p>
    <w:p w14:paraId="5B89FAAF">
      <w:pPr>
        <w:spacing w:before="80" w:after="180"/>
        <w:jc w:val="center"/>
      </w:pPr>
      <w:r>
        <w:rPr>
          <w:i/>
          <w:sz w:val="18"/>
        </w:rPr>
        <w:t>Figure 2. Model 2.2 residual diagnostics. (a) Predicted against actual goals. (b) Residuals against fitted values, showing the mild heteroscedasticity the Breusch-Pagan test detects. (c) Normal Q-Q plot: the departure in the lower tail is the 26.4% of team-matches that finish goalless, which is why robust standard errors are reported alongside the classical ones.</w:t>
      </w:r>
    </w:p>
    <w:p w14:paraId="69180F10">
      <w:pPr>
        <w:spacing w:after="80" w:before="0"/>
        <w:rPr>
          <w:rFonts w:hint="default"/>
          <w:i w:val="0"/>
          <w:sz w:val="20"/>
        </w:rPr>
      </w:pPr>
      <w:r>
        <w:rPr>
          <w:sz w:val="20"/>
        </w:rPr>
        <w:t>Competing algorithms. The same 80/20 split was used for six alternatives (Figure 3). No non-linear or ensemble method outperformed ordinary linear regression, and gradient boosting was not as good as predicting the mean of the training cases. The regularised linear models improved on OLS only a little, raising R2 from 0.175 to 0.196. With 208 rows and eight variables the flexible models overfit, so we recommend keeping linear regression, which is both the more interpretable and, in practice, the more accurate choice, with elastic net as a defensible alternative.</w:t>
      </w:r>
    </w:p>
    <w:p w14:paraId="086B4F7D">
      <w:pPr>
        <w:spacing w:after="80" w:before="0"/>
      </w:pPr>
      <w:r>
        <w:rPr>
          <w:sz w:val="20"/>
        </w:rPr>
        <w:t>Two further optimisations from the Week 9 practical were applied to both models. Z-score standardisation did not change them to four decimal places (RMSE 1.287 and 1.500 before and after), which is the expected result: rescaling a predictor rescales its coefficient and nothing else in ordinary least squares. A Yeo-Johnson transform of the predictors did help, lowering hold-out RMSE from 1.287 to 1.252 and raising R2 from 0.175 to 0.219 in model 2.2, and from 1.500 to 1.463 and 0.417 to 0.445 in model 2.1. The gain is less than three per cent and is bought with coefficients that no longer carry any direct football interpretation, so we report the untransformed models and record the transform as the available refinement.</w:t>
      </w:r>
    </w:p>
    <w:p w14:paraId="0A3905CA">
      <w:pPr>
        <w:spacing w:before="60" w:after="20"/>
        <w:jc w:val="center"/>
      </w:pPr>
      <w:r>
        <w:drawing>
          <wp:inline distT="0" distB="0" distL="114300" distR="114300">
            <wp:extent cx="6119495" cy="2443480"/>
            <wp:effectExtent l="0" t="0" r="1905" b="203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6120000" cy="2443741"/>
                    </a:xfrm>
                    <a:prstGeom prst="rect">
                      <a:avLst/>
                    </a:prstGeom>
                  </pic:spPr>
                </pic:pic>
              </a:graphicData>
            </a:graphic>
          </wp:inline>
        </w:drawing>
      </w:r>
    </w:p>
    <w:p w14:paraId="79FF610B">
      <w:pPr>
        <w:spacing w:after="180"/>
        <w:jc w:val="center"/>
      </w:pPr>
      <w:r>
        <w:rPr>
          <w:i/>
          <w:sz w:val="18"/>
        </w:rPr>
        <w:t>Figure 3. Model 2.2 against six competing regression algorithms on the same 80/20 hold-out. Only the regularised linear models improve on ordinary least squares, and marginally; gradient boosting is worse than predicting the training mean.</w:t>
      </w:r>
    </w:p>
    <w:p w14:paraId="5FBBBA9D">
      <w:pPr>
        <w:spacing w:before="200" w:after="40"/>
      </w:pPr>
      <w:r>
        <w:rPr>
          <w:b/>
          <w:sz w:val="22"/>
        </w:rPr>
        <w:t>5  Comparison, limitations and conclusions</w:t>
      </w:r>
    </w:p>
    <w:p w14:paraId="2BCCC08E">
      <w:pPr>
        <w:spacing w:after="80" w:before="0"/>
        <w:rPr>
          <w:rFonts w:hint="default"/>
          <w:i w:val="0"/>
          <w:sz w:val="20"/>
        </w:rPr>
      </w:pPr>
      <w:r>
        <w:rPr>
          <w:sz w:val="20"/>
        </w:rPr>
        <w:t>Both models concur about what matters. Both are dominated by pre-tournament strength, as measured by FIFA ranking and squad value, with playing at home as a host nation the only other variable that earns its place in either. They also agree about what does not matter, and that part is the more noteworthy. Model 2.1 finds that in-tournament form has a partial correlation of -0.06 once strength is controlled for, while model 2.2 finds the same variables weakly correlated (+0.10) and carrying a counter-intuitive negative coefficient. Read on its own, that minus sign implies a tactical story. Read together with model 2.1, the simpler explanation is collinearity against ranking and value: form in a seven-match tournament is primarily a noisy re-statement of the strength the teams already had (Figure 4).</w:t>
      </w:r>
    </w:p>
    <w:p w14:paraId="6AC85A5E">
      <w:pPr>
        <w:spacing w:after="80" w:before="0"/>
        <w:rPr>
          <w:rFonts w:hint="default"/>
          <w:i w:val="0"/>
          <w:sz w:val="20"/>
        </w:rPr>
      </w:pPr>
      <w:r>
        <w:rPr>
          <w:sz w:val="20"/>
        </w:rPr>
        <w:t>Under half the variance is explained by both models, and under a fifth by model 2.2. The 95% prediction interval for model 2.1 is plus or minus 2.9 goals, so it ranks fixtures far better than it forecasts them. Three limitations bound the work. Seven matches per team is a short history, which is why the form variables had to be shrunk towards a prior and why the flexible models overfit. The host effect rests on only 13 matches. And the methodological caveat extends beyond this dataset: random cross-validation rated the full eight-variable model of 2.1 as adequate, and only chronological validation exposed that it had learned a scheduling artefact rather than football. Where observations are ordered in time, random folds are not sufficient.</w:t>
      </w:r>
    </w:p>
    <w:p w14:paraId="225B00E5">
      <w:pPr>
        <w:spacing w:after="80" w:before="0"/>
      </w:pPr>
      <w:bookmarkStart w:id="0" w:name="_GoBack"/>
      <w:bookmarkEnd w:id="0"/>
      <w:r>
        <w:rPr>
          <w:sz w:val="20"/>
        </w:rPr>
        <w:t>For prediction we recommend the symmetric two-term model for goal difference and the six-variable linear regression for goals scored. For interpretation the lesson is blunter: most of what decides a World Cup match is settled before the tournament starts, and the rest is largely not forecastable from the data available beforehand.</w:t>
      </w:r>
    </w:p>
    <w:p w14:paraId="53FFF5CD">
      <w:pPr>
        <w:spacing w:before="80" w:after="20"/>
        <w:jc w:val="center"/>
      </w:pPr>
      <w:r>
        <w:drawing>
          <wp:inline distT="0" distB="0" distL="114300" distR="114300">
            <wp:extent cx="6119495" cy="2349500"/>
            <wp:effectExtent l="0" t="0" r="1905"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6120000" cy="2349884"/>
                    </a:xfrm>
                    <a:prstGeom prst="rect">
                      <a:avLst/>
                    </a:prstGeom>
                  </pic:spPr>
                </pic:pic>
              </a:graphicData>
            </a:graphic>
          </wp:inline>
        </w:drawing>
      </w:r>
    </w:p>
    <w:p w14:paraId="2B5203D1">
      <w:pPr>
        <w:spacing w:before="80" w:after="180"/>
        <w:jc w:val="center"/>
      </w:pPr>
      <w:r>
        <w:rPr>
          <w:i/>
          <w:sz w:val="18"/>
        </w:rPr>
        <w:t>Figure 4. Why both models reach the same verdict on form. (a) In model 2.2 the four variables measuring pre-tournament strength and venue outrank the three form variables, two of which sit on zero. (b) In model 2.1 the raw correlation of form with goal difference (filled) collapses to the chance level once strength is controlled for (open): form is largely a restatement of strength the teams already had.</w:t>
      </w:r>
    </w:p>
    <w:sectPr>
      <w:pgSz w:w="11906" w:h="16838"/>
      <w:pgMar w:top="1134" w:right="1134" w:bottom="1134"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苹方-简"/>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ＭＳ 明朝">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苹方-简">
    <w:panose1 w:val="020B0400000000000000"/>
    <w:charset w:val="86"/>
    <w:family w:val="auto"/>
    <w:pitch w:val="default"/>
    <w:sig w:usb0="A00002FF" w:usb1="7ACFFDFB" w:usb2="00000017" w:usb3="00000000" w:csb0="00040001" w:csb1="00000000"/>
  </w:font>
  <w:font w:name="Kingsoft Sign">
    <w:panose1 w:val="05050102010706020507"/>
    <w:charset w:val="00"/>
    <w:family w:val="auto"/>
    <w:pitch w:val="default"/>
    <w:sig w:usb0="00000000" w:usb1="10000000" w:usb2="00000000" w:usb3="00000000" w:csb0="00000001" w:csb1="00000000"/>
  </w:font>
  <w:font w:name="黑体-简">
    <w:panose1 w:val="02000000000000000000"/>
    <w:charset w:val="86"/>
    <w:family w:val="auto"/>
    <w:pitch w:val="default"/>
    <w:sig w:usb0="8000002F" w:usb1="0800004A" w:usb2="00000000" w:usb3="00000000" w:csb0="203E0000" w:csb1="00000000"/>
  </w:font>
  <w:font w:name="宋体-简">
    <w:panose1 w:val="02010800040101010101"/>
    <w:charset w:val="86"/>
    <w:family w:val="auto"/>
    <w:pitch w:val="default"/>
    <w:sig w:usb0="00000001" w:usb1="080F0000" w:usb2="00000000" w:usb3="00000000" w:csb0="00040000" w:csb1="00000000"/>
  </w:font>
  <w:font w:name="SimSun">
    <w:altName w:val="宋体-简"/>
    <w:panose1 w:val="02010600030101010101"/>
    <w:charset w:val="86"/>
    <w:family w:val="roman"/>
    <w:pitch w:val="variable"/>
    <w:sig w:usb0="00000003" w:usb1="288F0000" w:usb2="00000016" w:usb3="00000000" w:csb0="00040001" w:csb1="00000000"/>
  </w:font>
  <w:font w:name="Geist Fallback">
    <w:altName w:val="苹方-简"/>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77"/>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FDF47E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0" w:after="140" w:line="240" w:lineRule="auto"/>
    </w:pPr>
    <w:rPr>
      <w:rFonts w:ascii="Calibri" w:hAnsi="Calibri" w:eastAsia="Calibri" w:cstheme="minorBidi"/>
      <w:sz w:val="20"/>
      <w:szCs w:val="22"/>
      <w:lang w:val="en-US" w:eastAsia="en-US" w:bidi="ar-SA"/>
    </w:rPr>
  </w:style>
  <w:style w:type="paragraph" w:styleId="2">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3">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4">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7">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1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1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1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1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1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1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1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1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1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1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1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1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1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1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1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1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1"/>
    <w:link w:val="2"/>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1"/>
    <w:link w:val="3"/>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1"/>
    <w:link w:val="4"/>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1"/>
    <w:link w:val="36"/>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1"/>
    <w:link w:val="34"/>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1"/>
    <w:link w:val="148"/>
    <w:uiPriority w:val="29"/>
    <w:rPr>
      <w:i/>
      <w:iCs/>
      <w:color w:val="000000" w:themeColor="text1"/>
      <w14:textFill>
        <w14:solidFill>
          <w14:schemeClr w14:val="tx1"/>
        </w14:solidFill>
      </w14:textFill>
    </w:rPr>
  </w:style>
  <w:style w:type="character" w:customStyle="1" w:styleId="150">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1"/>
    <w:link w:val="6"/>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1"/>
    <w:link w:val="7"/>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1"/>
    <w:link w:val="8"/>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1"/>
    <w:link w:val="10"/>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1"/>
    <w:link w:val="156"/>
    <w:uiPriority w:val="30"/>
    <w:rPr>
      <w:b/>
      <w:bCs/>
      <w:i/>
      <w:iCs/>
      <w:color w:val="4F81BD" w:themeColor="accent1"/>
      <w14:textFill>
        <w14:solidFill>
          <w14:schemeClr w14:val="accent1"/>
        </w14:solidFill>
      </w14:textFill>
    </w:rPr>
  </w:style>
  <w:style w:type="character" w:customStyle="1" w:styleId="158">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1"/>
    <w:qFormat/>
    <w:uiPriority w:val="21"/>
    <w:rPr>
      <w:b/>
      <w:bCs/>
      <w:i/>
      <w:iCs/>
      <w:color w:val="4F81BD" w:themeColor="accent1"/>
      <w14:textFill>
        <w14:solidFill>
          <w14:schemeClr w14:val="accent1"/>
        </w14:solidFill>
      </w14:textFill>
    </w:rPr>
  </w:style>
  <w:style w:type="character" w:customStyle="1" w:styleId="160">
    <w:name w:val="Subtle Reference"/>
    <w:basedOn w:val="11"/>
    <w:qFormat/>
    <w:uiPriority w:val="31"/>
    <w:rPr>
      <w:smallCaps/>
      <w:color w:val="C0504D" w:themeColor="accent2"/>
      <w:u w:val="single"/>
      <w14:textFill>
        <w14:solidFill>
          <w14:schemeClr w14:val="accent2"/>
        </w14:solidFill>
      </w14:textFill>
    </w:rPr>
  </w:style>
  <w:style w:type="character" w:customStyle="1" w:styleId="161">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1.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5</Pages>
  <Words>0</Words>
  <Characters>0</Characters>
  <Lines>0</Lines>
  <Paragraphs>0</Paragraphs>
  <TotalTime>6</TotalTime>
  <ScaleCrop>false</ScaleCrop>
  <LinksUpToDate>false</LinksUpToDate>
  <CharactersWithSpaces>0</CharactersWithSpaces>
  <Application>WPS Office_12.1.25880.25880_F1E327BC-269C-435d-A152-05C5408002CA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2013-12-24T08:45:00Z</dcterms:created>
  <dc:creator>python-docx</dc:creator>
  <dc:description>generated by python-docx</dc:description>
  <cp:lastModifiedBy>Kyrie C</cp:lastModifiedBy>
  <dcterms:modified xsi:type="dcterms:W3CDTF">2026-10-15T01:13:47Z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ACE1EC188F0E608733A3CF6AAC5983A2_42</vt:lpwstr>
  </property>
</Properties>
</file>