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3366"/>
          <w:sz w:val="26"/>
        </w:rPr>
        <w:t>Objective 2.2: Multiple Linear Regression for Match Goals Scored</w:t>
      </w:r>
    </w:p>
    <w:p>
      <w:pPr>
        <w:spacing w:after="100"/>
      </w:pPr>
      <w:r>
        <w:rPr>
          <w:i/>
          <w:color w:val="555555"/>
          <w:sz w:val="17"/>
        </w:rPr>
        <w:t>Role 3 Contribution | Dataset: lr22_team_match_208.csv (N = 208) | Target: goals_scored</w:t>
      </w:r>
    </w:p>
    <w:p>
      <w:pPr>
        <w:spacing w:after="40"/>
      </w:pPr>
      <w:r>
        <w:rPr>
          <w:b/>
          <w:color w:val="113366"/>
          <w:sz w:val="21"/>
        </w:rPr>
        <w:t>1. Model Specification &amp; Best-Subset Selection</w:t>
      </w:r>
    </w:p>
    <w:p>
      <w:r>
        <w:t>To model the total goals scored by a team in an individual World Cup match (goals_scored, mean=1.48, var=1.94, zero-rate=26.4%), we evaluated 8 strictly pre-kick-off explanatory variables across all 255 candidate subsets. The global full model (k=8) achieved R²=0.306 and Adj. R²=0.278. Model comparison using information criteria demonstrated that eliminating redundant noise features (is_knockout, p=0.658; opp_gf_pg, p=0.580) minimised predictive penalty. The optimal model (k=6) yielded the lowest Akaike Information Criterion (AIC=665.75 vs. 669.33 full) and superior 10-fold cross-validation root mean squared error (CV RMSE=1.191 vs. 1.203). Variance Inflation Factors (VIF) for all retained features remain strictly below 3.03, confirming absence of damaging multicollinearity.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649"/>
            <w:shd w:fill="2B5C8F"/>
            <w:tcMar>
              <w:top w:w="40" w:type="dxa"/>
              <w:bottom w:w="40" w:type="dxa"/>
            </w:tcMar>
          </w:tcPr>
          <w:p>
            <w:r>
              <w:rPr>
                <w:b/>
                <w:color w:val="FFFFFF"/>
                <w:sz w:val="17"/>
              </w:rPr>
              <w:t>Predictor</w:t>
            </w:r>
          </w:p>
        </w:tc>
        <w:tc>
          <w:tcPr>
            <w:tcW w:type="dxa" w:w="1649"/>
            <w:shd w:fill="2B5C8F"/>
            <w:tcMar>
              <w:top w:w="40" w:type="dxa"/>
              <w:bottom w:w="40" w:type="dxa"/>
            </w:tcMar>
          </w:tcPr>
          <w:p>
            <w:r>
              <w:rPr>
                <w:b/>
                <w:color w:val="FFFFFF"/>
                <w:sz w:val="17"/>
              </w:rPr>
              <w:t>Coef (β̂)</w:t>
            </w:r>
          </w:p>
        </w:tc>
        <w:tc>
          <w:tcPr>
            <w:tcW w:type="dxa" w:w="1649"/>
            <w:shd w:fill="2B5C8F"/>
            <w:tcMar>
              <w:top w:w="40" w:type="dxa"/>
              <w:bottom w:w="40" w:type="dxa"/>
            </w:tcMar>
          </w:tcPr>
          <w:p>
            <w:r>
              <w:rPr>
                <w:b/>
                <w:color w:val="FFFFFF"/>
                <w:sz w:val="17"/>
              </w:rPr>
              <w:t>Std. Error</w:t>
            </w:r>
          </w:p>
        </w:tc>
        <w:tc>
          <w:tcPr>
            <w:tcW w:type="dxa" w:w="1649"/>
            <w:shd w:fill="2B5C8F"/>
            <w:tcMar>
              <w:top w:w="40" w:type="dxa"/>
              <w:bottom w:w="40" w:type="dxa"/>
            </w:tcMar>
          </w:tcPr>
          <w:p>
            <w:r>
              <w:rPr>
                <w:b/>
                <w:color w:val="FFFFFF"/>
                <w:sz w:val="17"/>
              </w:rPr>
              <w:t>t-stat</w:t>
            </w:r>
          </w:p>
        </w:tc>
        <w:tc>
          <w:tcPr>
            <w:tcW w:type="dxa" w:w="1649"/>
            <w:shd w:fill="2B5C8F"/>
            <w:tcMar>
              <w:top w:w="40" w:type="dxa"/>
              <w:bottom w:w="40" w:type="dxa"/>
            </w:tcMar>
          </w:tcPr>
          <w:p>
            <w:r>
              <w:rPr>
                <w:b/>
                <w:color w:val="FFFFFF"/>
                <w:sz w:val="17"/>
              </w:rPr>
              <w:t>p-value</w:t>
            </w:r>
          </w:p>
        </w:tc>
        <w:tc>
          <w:tcPr>
            <w:tcW w:type="dxa" w:w="1649"/>
            <w:shd w:fill="2B5C8F"/>
            <w:tcMar>
              <w:top w:w="40" w:type="dxa"/>
              <w:bottom w:w="40" w:type="dxa"/>
            </w:tcMar>
          </w:tcPr>
          <w:p>
            <w:r>
              <w:rPr>
                <w:b/>
                <w:color w:val="FFFFFF"/>
                <w:sz w:val="17"/>
              </w:rPr>
              <w:t>VIF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Intercept (const)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-0.747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0.979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-0.76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0.446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team_log_value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+0.386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0.117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+3.30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0.001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3.03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opp_log_rank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+0.269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0.083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+3.26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0.001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1.70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is_host_home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+0.802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0.346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+2.32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0.022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1.05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team_gf_pg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-0.397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0.215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-1.85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0.066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1.65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opp_ga_pg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+0.401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0.216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+1.86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0.064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left"/>
            </w:pPr>
            <w:r>
              <w:rPr>
                <w:sz w:val="16"/>
              </w:rPr>
              <w:t>team_log_rank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-0.226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0.120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-1.88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0.062</w:t>
            </w:r>
          </w:p>
        </w:tc>
        <w:tc>
          <w:tcPr>
            <w:tcW w:type="dxa" w:w="1649"/>
            <w:tcMar>
              <w:top w:w="40" w:type="dxa"/>
              <w:bottom w:w="40" w:type="dxa"/>
            </w:tcMar>
          </w:tcPr>
          <w:p>
            <w:pPr>
              <w:spacing w:after="20"/>
              <w:jc w:val="right"/>
            </w:pPr>
            <w:r>
              <w:rPr>
                <w:sz w:val="16"/>
              </w:rPr>
              <w:t>2.84</w:t>
            </w:r>
          </w:p>
        </w:tc>
      </w:tr>
    </w:tbl>
    <w:p>
      <w:pPr>
        <w:spacing w:before="80" w:after="40"/>
      </w:pPr>
      <w:r>
        <w:rPr>
          <w:b/>
          <w:color w:val="113366"/>
          <w:sz w:val="21"/>
        </w:rPr>
        <w:t>2. Substantive Football Analytics Interpretations</w:t>
      </w:r>
    </w:p>
    <w:p>
      <w:r>
        <w:t>1) Baseline Squad Quality: Team market value is the premier offensive driver (β̂=+0.386, p=0.001); a doubling of squad valuation increases expected goals by ~0.27 (ln(2)×0.386). Concurrently, facing lower-ranked opponents (higher ln rank) substantially boosts goal expectancy (β̂=+0.269, p=0.001).</w:t>
        <w:br/>
        <w:t>2) True Host Nation Edge: Controlling for underlying talent, playing on domestic soil yields a statistically significant premium of +0.802 goals per match (p=0.022), reflecting home crowds and familiarity.</w:t>
        <w:br/>
        <w:t>3) Tactical Form Dynamics: Prior form displays nuanced effects: opponent goals conceded earlier (opp_ga_pg) increases goal yield (β̂=+0.401, p=0.064), while team prior scoring displays a slight negative rebound (β̂=-0.397, p=0.066), reflecting tactical adaptation by subsequent rivals.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865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figure_LR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Figure 1. Diagnostics of the optimal LR2.2 model: (a) Predicted vs Actual goals; (b) Residuals vs Fitted; (c) Normal Q-Q plot.</w:t>
      </w:r>
    </w:p>
    <w:p>
      <w:pPr>
        <w:spacing w:before="60" w:after="40"/>
      </w:pPr>
      <w:r>
        <w:rPr>
          <w:b/>
          <w:color w:val="113366"/>
          <w:sz w:val="21"/>
        </w:rPr>
        <w:t>3. Residual Diagnostics &amp; Methodological Robustness</w:t>
      </w:r>
    </w:p>
    <w:p>
      <w:r>
        <w:t>Classical diagnostic testing identifies inherent count-data traits: the Breusch-Pagan test indicates mild heteroscedasticity (LM=20.30, p=0.0024), while Jarque-Bera rejects strict Gaussian residuals (JB=45.84, p&lt;0.001, skewness=0.78) driven by zero-inflation (26.4%). To ensure defensive rigor, MacKinnon-White HC3 robust standard errors were re-estimated (Table 1); squad value (p=0.0007), opponent rank (p=0.0022), and host edge (p=0.0477) remain strictly significant. Durbin-Watson (DW=1.82) confirms absence of severe residual autocorrelation. Maximum Cook's distance is 0.137, well below critical cutoffs (D &lt; 0.5), demonstrating that findings are not driven by outlier blowouts.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Times New Roman" w:hAnsi="Times New Roman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