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 w:before="0"/>
        <w:jc w:val="left"/>
      </w:pPr>
      <w:r>
        <w:rPr>
          <w:rFonts w:ascii="Calibri" w:hAnsi="Calibri" w:eastAsia="Calibri"/>
          <w:b/>
          <w:i w:val="0"/>
          <w:sz w:val="20"/>
        </w:rPr>
        <w:t>2. Linear Regression 2.1: predicting goal difference</w:t>
      </w:r>
    </w:p>
    <w:p>
      <w:pPr>
        <w:spacing w:after="70" w:before="0"/>
        <w:jc w:val="both"/>
      </w:pPr>
      <w:r>
        <w:rPr>
          <w:rFonts w:ascii="Calibri" w:hAnsi="Calibri" w:eastAsia="Calibri"/>
          <w:b/>
          <w:i w:val="0"/>
          <w:sz w:val="20"/>
        </w:rPr>
        <w:t xml:space="preserve">Data. </w:t>
      </w:r>
      <w:r>
        <w:rPr>
          <w:rFonts w:ascii="Calibri" w:hAnsi="Calibri" w:eastAsia="Calibri"/>
          <w:b w:val="0"/>
          <w:i w:val="0"/>
          <w:sz w:val="20"/>
        </w:rPr>
        <w:t>Each of the 104 matches has eight pre-match variables, all team 1 minus team 2: FIFA rank and squad value (log scale), host at home, form (points and goal difference per game), rest days, stage and same confederation. Nothing is missing and nothing leaks: form and rest are zero in all 24 opening matches.</w:t>
      </w:r>
    </w:p>
    <w:p>
      <w:pPr>
        <w:spacing w:after="70" w:before="0"/>
        <w:jc w:val="both"/>
      </w:pPr>
      <w:r>
        <w:rPr>
          <w:rFonts w:ascii="Calibri" w:hAnsi="Calibri" w:eastAsia="Calibri"/>
          <w:b/>
          <w:i w:val="0"/>
          <w:sz w:val="20"/>
        </w:rPr>
        <w:t xml:space="preserve">EDA. </w:t>
      </w:r>
      <w:r>
        <w:rPr>
          <w:rFonts w:ascii="Calibri" w:hAnsi="Calibri" w:eastAsia="Calibri"/>
          <w:b w:val="0"/>
          <w:i w:val="0"/>
          <w:sz w:val="20"/>
        </w:rPr>
        <w:t>Goal difference is roughly symmetric (mean +0.48, SD 2.02). (i) Rank and squad value correlate with the target (r = 0.63 and 0.66) and with each other (r = 0.79): one signal. (ii) Form correlates with the target (r ≈ 0.32), but its partial correlation given strength is −0.06 (p &gt; 0.5): form is strength in disguise. (iii) The mean exceeds zero (p = 0.017) only because the schedule lists the better-ranked team first in some stages and second in others. A relabelling test (randomly swapping the two teams and refitting the full OLS 2,000 times, Figure 2.1b) shows that the intercept and stage, both significant as scheduled (p = 0.046 and 0.035), are significant in only 7% and 6% of relabellings, the chance rate; rank and value remain significant in 99–100%.</w:t>
      </w:r>
    </w:p>
    <w:p>
      <w:pPr>
        <w:spacing w:after="70" w:before="0"/>
        <w:jc w:val="both"/>
      </w:pPr>
      <w:r>
        <w:rPr>
          <w:rFonts w:ascii="Calibri" w:hAnsi="Calibri" w:eastAsia="Calibri"/>
          <w:b/>
          <w:i w:val="0"/>
          <w:sz w:val="20"/>
        </w:rPr>
        <w:t xml:space="preserve">Modelling and optimisation. </w:t>
      </w:r>
      <w:r>
        <w:rPr>
          <w:rFonts w:ascii="Calibri" w:hAnsi="Calibri" w:eastAsia="Calibri"/>
          <w:b w:val="0"/>
          <w:i w:val="0"/>
          <w:sz w:val="20"/>
        </w:rPr>
        <w:t>All models were scored on identical folds by repeated 10-fold cross-validation (30 repeats, nested tuning) and by a walk-forward test that forecasts each stage from earlier ones (80 forecasts). The full 8-variable OLS (adjusted R² 0.48) has a CV RMSE of 1.55 but 1.82 in walk-forward, worse than a rank-only regression (1.55), because it learns the listing artefact. Two EDA-driven changes fixed this: a strength index, the mean of the two log differences (equal weights not rejected, p = 0.59), and a symmetric specification with no intercept. Of the other variables only host advantage lowered both errors. All twenty competing models (Table 2.1, Figure 2.1c), including ridge, lasso, elastic net, Huber, PCR, PLS, best subset and tree ensembles, lost to the two-term model on both tests.</w:t>
      </w:r>
    </w:p>
    <w:p>
      <w:pPr>
        <w:spacing w:after="70" w:before="0"/>
        <w:jc w:val="both"/>
      </w:pPr>
      <w:r>
        <w:rPr>
          <w:rFonts w:ascii="Calibri" w:hAnsi="Calibri" w:eastAsia="Calibri"/>
          <w:b/>
          <w:i w:val="0"/>
          <w:sz w:val="20"/>
        </w:rPr>
        <w:t xml:space="preserve">Final model. </w:t>
      </w:r>
      <w:r>
        <w:rPr>
          <w:rFonts w:ascii="Calibri" w:hAnsi="Calibri" w:eastAsia="Calibri"/>
          <w:b w:val="0"/>
          <w:i/>
          <w:sz w:val="20"/>
        </w:rPr>
        <w:t>goal_diff = 0.90 × strength + 0.82 × host_home_diff</w:t>
      </w:r>
      <w:r>
        <w:rPr>
          <w:rFonts w:ascii="Calibri" w:hAnsi="Calibri" w:eastAsia="Calibri"/>
          <w:b w:val="0"/>
          <w:i w:val="0"/>
          <w:sz w:val="20"/>
        </w:rPr>
        <w:t>, where strength = (log_rank_diff + log_value_diff)/2: two of the original variables combined with equal weights, not a ninth variable, so the model uses three of the eight. CV RMSE falls 3.7% to 1.49 and walk-forward RMSE 21% to 1.43 (bootstrap 95% CI of the gain −0.59 to −0.18). Doubling a team’s rank and value advantage is worth 0.63 goals. The strength coefficient is precise (95% CI 0.72–1.09) and stays within 0.83–0.99 under four robustness checks, including a refit on matches after squad values were published; the host effect rests on 13 matches and is uncertain (HC3 p = 0.12, date-clustered p = 0.06). Residuals pass normality, equal-variance and linearity tests (Shapiro–Wilk p = 0.48, Breusch–Pagan p = 0.17, RESET p = 0.35).</w:t>
      </w:r>
    </w:p>
    <w:p>
      <w:pPr>
        <w:spacing w:after="70" w:before="0"/>
        <w:jc w:val="both"/>
      </w:pPr>
      <w:r>
        <w:rPr>
          <w:rFonts w:ascii="Calibri" w:hAnsi="Calibri" w:eastAsia="Calibri"/>
          <w:b/>
          <w:i w:val="0"/>
          <w:sz w:val="20"/>
        </w:rPr>
        <w:t xml:space="preserve">Limits and recommendation. </w:t>
      </w:r>
      <w:r>
        <w:rPr>
          <w:rFonts w:ascii="Calibri" w:hAnsi="Calibri" w:eastAsia="Calibri"/>
          <w:b w:val="0"/>
          <w:i w:val="0"/>
          <w:sz w:val="20"/>
        </w:rPr>
        <w:t>With the last 16 matches held out, every conventional eight-variable model did worse than an always-draw forecast (1.64) and the symmetric models better; the host term did not help there. The 95% prediction interval is ±2.9 goals (90% coverage): pre-match data explain under half of the variance. We recommend the symmetric two-term model, with the weighted symmetric ridge as the fallback if all eight variables must stay. Random CV alone hid the full model’s weakness; validate chronologically too.</w:t>
      </w:r>
    </w:p>
    <w:p>
      <w:pPr>
        <w:spacing w:after="20" w:before="40"/>
        <w:jc w:val="center"/>
      </w:pPr>
      <w:r>
        <w:drawing>
          <wp:inline xmlns:a="http://schemas.openxmlformats.org/drawingml/2006/main" xmlns:pic="http://schemas.openxmlformats.org/drawingml/2006/picture">
            <wp:extent cx="5323453" cy="1799251"/>
            <wp:docPr id="1" name="Picture 1"/>
            <wp:cNvGraphicFramePr>
              <a:graphicFrameLocks noChangeAspect="1"/>
            </wp:cNvGraphicFramePr>
            <a:graphic>
              <a:graphicData uri="http://schemas.openxmlformats.org/drawingml/2006/picture">
                <pic:pic>
                  <pic:nvPicPr>
                    <pic:cNvPr id="0" name="report_figure_LR21.png"/>
                    <pic:cNvPicPr/>
                  </pic:nvPicPr>
                  <pic:blipFill>
                    <a:blip r:embed="rId9"/>
                    <a:stretch>
                      <a:fillRect/>
                    </a:stretch>
                  </pic:blipFill>
                  <pic:spPr>
                    <a:xfrm>
                      <a:off x="0" y="0"/>
                      <a:ext cx="5323453" cy="1799251"/>
                    </a:xfrm>
                    <a:prstGeom prst="rect"/>
                  </pic:spPr>
                </pic:pic>
              </a:graphicData>
            </a:graphic>
          </wp:inline>
        </w:drawing>
      </w:r>
    </w:p>
    <w:p>
      <w:pPr>
        <w:spacing w:after="70" w:before="0"/>
        <w:jc w:val="left"/>
      </w:pPr>
      <w:r>
        <w:rPr>
          <w:rFonts w:ascii="Calibri" w:hAnsi="Calibri" w:eastAsia="Calibri"/>
          <w:b/>
          <w:i w:val="0"/>
          <w:sz w:val="20"/>
        </w:rPr>
        <w:t xml:space="preserve">Figure 2.1. </w:t>
      </w:r>
      <w:r>
        <w:rPr>
          <w:rFonts w:ascii="Calibri" w:hAnsi="Calibri" w:eastAsia="Calibri"/>
          <w:b w:val="0"/>
          <w:i w:val="0"/>
          <w:sz w:val="20"/>
        </w:rPr>
        <w:t>(a) Final model with 95% confidence and prediction bands. (b) Share of 2,000 random relabellings in which each full-OLS term is significant (* = as scheduled). (c) Out-of-sample RMSE of competing models.</w:t>
      </w:r>
    </w:p>
    <w:p>
      <w:pPr>
        <w:spacing w:after="20" w:before="20"/>
        <w:jc w:val="left"/>
      </w:pPr>
      <w:r>
        <w:rPr>
          <w:rFonts w:ascii="Calibri" w:hAnsi="Calibri" w:eastAsia="Calibri"/>
          <w:b/>
          <w:i w:val="0"/>
          <w:sz w:val="20"/>
        </w:rPr>
        <w:t xml:space="preserve">Table 2.1. </w:t>
      </w:r>
      <w:r>
        <w:rPr>
          <w:rFonts w:ascii="Calibri" w:hAnsi="Calibri" w:eastAsia="Calibri"/>
          <w:b w:val="0"/>
          <w:i w:val="0"/>
          <w:sz w:val="20"/>
        </w:rPr>
        <w:t>Out-of-sample RMSE in goals (WF = walk-forward; hold-out = last 16 matches, fitted on the first 88).</w:t>
      </w:r>
    </w:p>
    <w:tbl>
      <w:tblPr>
        <w:tblW w:type="dxa" w:w="9026"/>
        <w:jc w:val="center"/>
        <w:tblBorders>
          <w:top w:val="single" w:sz="6" w:space="0" w:color="000000"/>
          <w:left w:val="nil"/>
          <w:bottom w:val="single" w:sz="6" w:space="0" w:color="000000"/>
          <w:right w:val="nil"/>
          <w:insideH w:val="nil"/>
          <w:insideV w:val="nil"/>
        </w:tblBorders>
        <w:tblLayout w:type="fixed"/>
        <w:tblCellMar>
          <w:top w:w="10" w:type="dxa"/>
          <w:left w:w="60" w:type="dxa"/>
          <w:bottom w:w="10" w:type="dxa"/>
          <w:right w:w="60" w:type="dxa"/>
        </w:tblCellMar>
        <w:tblLook w:firstColumn="1" w:firstRow="1" w:lastColumn="0" w:lastRow="0" w:noHBand="0" w:noVBand="1" w:val="04A0"/>
      </w:tblPr>
      <w:tblGrid>
        <w:gridCol w:w="3526"/>
        <w:gridCol w:w="800"/>
        <w:gridCol w:w="1100"/>
        <w:gridCol w:w="1000"/>
        <w:gridCol w:w="1100"/>
        <w:gridCol w:w="1500"/>
      </w:tblGrid>
      <w:tr>
        <w:tc>
          <w:tcPr>
            <w:tcW w:type="dxa" w:w="3526"/>
            <w:tcBorders>
              <w:top w:val="single" w:sz="6" w:space="0" w:color="000000"/>
              <w:left w:val="nil"/>
              <w:bottom w:val="single" w:sz="6" w:space="0" w:color="000000"/>
              <w:right w:val="nil"/>
              <w:insideH w:val="nil"/>
              <w:insideV w:val="nil"/>
            </w:tcBorders>
          </w:tcPr>
          <w:p>
            <w:pPr>
              <w:spacing w:after="0"/>
              <w:jc w:val="left"/>
            </w:pPr>
            <w:r>
              <w:rPr>
                <w:rFonts w:ascii="Calibri" w:hAnsi="Calibri" w:eastAsia="Calibri"/>
                <w:b/>
                <w:i w:val="0"/>
                <w:sz w:val="20"/>
              </w:rPr>
              <w:t>Model</w:t>
            </w:r>
          </w:p>
        </w:tc>
        <w:tc>
          <w:tcPr>
            <w:tcW w:type="dxa" w:w="800"/>
            <w:tcBorders>
              <w:top w:val="single" w:sz="6" w:space="0" w:color="000000"/>
              <w:left w:val="nil"/>
              <w:bottom w:val="single" w:sz="6" w:space="0" w:color="000000"/>
              <w:right w:val="nil"/>
              <w:insideH w:val="nil"/>
              <w:insideV w:val="nil"/>
            </w:tcBorders>
          </w:tcPr>
          <w:p>
            <w:pPr>
              <w:spacing w:after="0"/>
              <w:jc w:val="center"/>
            </w:pPr>
            <w:r>
              <w:rPr>
                <w:rFonts w:ascii="Calibri" w:hAnsi="Calibri" w:eastAsia="Calibri"/>
                <w:b/>
                <w:i w:val="0"/>
                <w:sz w:val="20"/>
              </w:rPr>
              <w:t>Terms</w:t>
            </w:r>
          </w:p>
        </w:tc>
        <w:tc>
          <w:tcPr>
            <w:tcW w:type="dxa" w:w="1100"/>
            <w:tcBorders>
              <w:top w:val="single" w:sz="6" w:space="0" w:color="000000"/>
              <w:left w:val="nil"/>
              <w:bottom w:val="single" w:sz="6" w:space="0" w:color="000000"/>
              <w:right w:val="nil"/>
              <w:insideH w:val="nil"/>
              <w:insideV w:val="nil"/>
            </w:tcBorders>
          </w:tcPr>
          <w:p>
            <w:pPr>
              <w:spacing w:after="0"/>
              <w:jc w:val="center"/>
            </w:pPr>
            <w:r>
              <w:rPr>
                <w:rFonts w:ascii="Calibri" w:hAnsi="Calibri" w:eastAsia="Calibri"/>
                <w:b/>
                <w:i w:val="0"/>
                <w:sz w:val="20"/>
              </w:rPr>
              <w:t>CV RMSE</w:t>
            </w:r>
          </w:p>
        </w:tc>
        <w:tc>
          <w:tcPr>
            <w:tcW w:type="dxa" w:w="1000"/>
            <w:tcBorders>
              <w:top w:val="single" w:sz="6" w:space="0" w:color="000000"/>
              <w:left w:val="nil"/>
              <w:bottom w:val="single" w:sz="6" w:space="0" w:color="000000"/>
              <w:right w:val="nil"/>
              <w:insideH w:val="nil"/>
              <w:insideV w:val="nil"/>
            </w:tcBorders>
          </w:tcPr>
          <w:p>
            <w:pPr>
              <w:spacing w:after="0"/>
              <w:jc w:val="center"/>
            </w:pPr>
            <w:r>
              <w:rPr>
                <w:rFonts w:ascii="Calibri" w:hAnsi="Calibri" w:eastAsia="Calibri"/>
                <w:b/>
                <w:i w:val="0"/>
                <w:sz w:val="20"/>
              </w:rPr>
              <w:t>CV R²</w:t>
            </w:r>
          </w:p>
        </w:tc>
        <w:tc>
          <w:tcPr>
            <w:tcW w:type="dxa" w:w="1100"/>
            <w:tcBorders>
              <w:top w:val="single" w:sz="6" w:space="0" w:color="000000"/>
              <w:left w:val="nil"/>
              <w:bottom w:val="single" w:sz="6" w:space="0" w:color="000000"/>
              <w:right w:val="nil"/>
              <w:insideH w:val="nil"/>
              <w:insideV w:val="nil"/>
            </w:tcBorders>
          </w:tcPr>
          <w:p>
            <w:pPr>
              <w:spacing w:after="0"/>
              <w:jc w:val="center"/>
            </w:pPr>
            <w:r>
              <w:rPr>
                <w:rFonts w:ascii="Calibri" w:hAnsi="Calibri" w:eastAsia="Calibri"/>
                <w:b/>
                <w:i w:val="0"/>
                <w:sz w:val="20"/>
              </w:rPr>
              <w:t>WF RMSE</w:t>
            </w:r>
          </w:p>
        </w:tc>
        <w:tc>
          <w:tcPr>
            <w:tcW w:type="dxa" w:w="1500"/>
            <w:tcBorders>
              <w:top w:val="single" w:sz="6" w:space="0" w:color="000000"/>
              <w:left w:val="nil"/>
              <w:bottom w:val="single" w:sz="6" w:space="0" w:color="000000"/>
              <w:right w:val="nil"/>
              <w:insideH w:val="nil"/>
              <w:insideV w:val="nil"/>
            </w:tcBorders>
          </w:tcPr>
          <w:p>
            <w:pPr>
              <w:spacing w:after="0"/>
              <w:jc w:val="center"/>
            </w:pPr>
            <w:r>
              <w:rPr>
                <w:rFonts w:ascii="Calibri" w:hAnsi="Calibri" w:eastAsia="Calibri"/>
                <w:b/>
                <w:i w:val="0"/>
                <w:sz w:val="20"/>
              </w:rPr>
              <w:t>Hold-out RMSE</w:t>
            </w:r>
          </w:p>
        </w:tc>
      </w:tr>
      <w:tr>
        <w:tc>
          <w:tcPr>
            <w:tcW w:type="dxa" w:w="3526"/>
          </w:tcPr>
          <w:p>
            <w:pPr>
              <w:spacing w:after="0"/>
              <w:jc w:val="left"/>
            </w:pPr>
            <w:r>
              <w:rPr>
                <w:rFonts w:ascii="Calibri" w:hAnsi="Calibri" w:eastAsia="Calibri"/>
                <w:b w:val="0"/>
                <w:i w:val="0"/>
                <w:sz w:val="20"/>
              </w:rPr>
              <w:t>Mean baseline</w:t>
            </w:r>
          </w:p>
        </w:tc>
        <w:tc>
          <w:tcPr>
            <w:tcW w:type="dxa" w:w="800"/>
          </w:tcPr>
          <w:p>
            <w:pPr>
              <w:spacing w:after="0"/>
              <w:jc w:val="center"/>
            </w:pPr>
            <w:r>
              <w:rPr>
                <w:rFonts w:ascii="Calibri" w:hAnsi="Calibri" w:eastAsia="Calibri"/>
                <w:b w:val="0"/>
                <w:i w:val="0"/>
                <w:sz w:val="20"/>
              </w:rPr>
              <w:t>0</w:t>
            </w:r>
          </w:p>
        </w:tc>
        <w:tc>
          <w:tcPr>
            <w:tcW w:type="dxa" w:w="1100"/>
          </w:tcPr>
          <w:p>
            <w:pPr>
              <w:spacing w:after="0"/>
              <w:jc w:val="center"/>
            </w:pPr>
            <w:r>
              <w:rPr>
                <w:rFonts w:ascii="Calibri" w:hAnsi="Calibri" w:eastAsia="Calibri"/>
                <w:b w:val="0"/>
                <w:i w:val="0"/>
                <w:sz w:val="20"/>
              </w:rPr>
              <w:t>2.03</w:t>
            </w:r>
          </w:p>
        </w:tc>
        <w:tc>
          <w:tcPr>
            <w:tcW w:type="dxa" w:w="1000"/>
          </w:tcPr>
          <w:p>
            <w:pPr>
              <w:spacing w:after="0"/>
              <w:jc w:val="center"/>
            </w:pPr>
            <w:r>
              <w:rPr>
                <w:rFonts w:ascii="Calibri" w:hAnsi="Calibri" w:eastAsia="Calibri"/>
                <w:b w:val="0"/>
                <w:i w:val="0"/>
                <w:sz w:val="20"/>
              </w:rPr>
              <w:t>−0.02</w:t>
            </w:r>
          </w:p>
        </w:tc>
        <w:tc>
          <w:tcPr>
            <w:tcW w:type="dxa" w:w="1100"/>
          </w:tcPr>
          <w:p>
            <w:pPr>
              <w:spacing w:after="0"/>
              <w:jc w:val="center"/>
            </w:pPr>
            <w:r>
              <w:rPr>
                <w:rFonts w:ascii="Calibri" w:hAnsi="Calibri" w:eastAsia="Calibri"/>
                <w:b w:val="0"/>
                <w:i w:val="0"/>
                <w:sz w:val="20"/>
              </w:rPr>
              <w:t>2.10</w:t>
            </w:r>
          </w:p>
        </w:tc>
        <w:tc>
          <w:tcPr>
            <w:tcW w:type="dxa" w:w="1500"/>
          </w:tcPr>
          <w:p>
            <w:pPr>
              <w:spacing w:after="0"/>
              <w:jc w:val="center"/>
            </w:pPr>
            <w:r>
              <w:rPr>
                <w:rFonts w:ascii="Calibri" w:hAnsi="Calibri" w:eastAsia="Calibri"/>
                <w:b w:val="0"/>
                <w:i w:val="0"/>
                <w:sz w:val="20"/>
              </w:rPr>
              <w:t>1.97</w:t>
            </w:r>
          </w:p>
        </w:tc>
      </w:tr>
      <w:tr>
        <w:tc>
          <w:tcPr>
            <w:tcW w:type="dxa" w:w="3526"/>
          </w:tcPr>
          <w:p>
            <w:pPr>
              <w:spacing w:after="0"/>
              <w:jc w:val="left"/>
            </w:pPr>
            <w:r>
              <w:rPr>
                <w:rFonts w:ascii="Calibri" w:hAnsi="Calibri" w:eastAsia="Calibri"/>
                <w:b w:val="0"/>
                <w:i w:val="0"/>
                <w:sz w:val="20"/>
              </w:rPr>
              <w:t>Full OLS, 8 variables</w:t>
            </w:r>
          </w:p>
        </w:tc>
        <w:tc>
          <w:tcPr>
            <w:tcW w:type="dxa" w:w="800"/>
          </w:tcPr>
          <w:p>
            <w:pPr>
              <w:spacing w:after="0"/>
              <w:jc w:val="center"/>
            </w:pPr>
            <w:r>
              <w:rPr>
                <w:rFonts w:ascii="Calibri" w:hAnsi="Calibri" w:eastAsia="Calibri"/>
                <w:b w:val="0"/>
                <w:i w:val="0"/>
                <w:sz w:val="20"/>
              </w:rPr>
              <w:t>8</w:t>
            </w:r>
          </w:p>
        </w:tc>
        <w:tc>
          <w:tcPr>
            <w:tcW w:type="dxa" w:w="1100"/>
          </w:tcPr>
          <w:p>
            <w:pPr>
              <w:spacing w:after="0"/>
              <w:jc w:val="center"/>
            </w:pPr>
            <w:r>
              <w:rPr>
                <w:rFonts w:ascii="Calibri" w:hAnsi="Calibri" w:eastAsia="Calibri"/>
                <w:b w:val="0"/>
                <w:i w:val="0"/>
                <w:sz w:val="20"/>
              </w:rPr>
              <w:t>1.55</w:t>
            </w:r>
          </w:p>
        </w:tc>
        <w:tc>
          <w:tcPr>
            <w:tcW w:type="dxa" w:w="1000"/>
          </w:tcPr>
          <w:p>
            <w:pPr>
              <w:spacing w:after="0"/>
              <w:jc w:val="center"/>
            </w:pPr>
            <w:r>
              <w:rPr>
                <w:rFonts w:ascii="Calibri" w:hAnsi="Calibri" w:eastAsia="Calibri"/>
                <w:b w:val="0"/>
                <w:i w:val="0"/>
                <w:sz w:val="20"/>
              </w:rPr>
              <w:t>0.41</w:t>
            </w:r>
          </w:p>
        </w:tc>
        <w:tc>
          <w:tcPr>
            <w:tcW w:type="dxa" w:w="1100"/>
          </w:tcPr>
          <w:p>
            <w:pPr>
              <w:spacing w:after="0"/>
              <w:jc w:val="center"/>
            </w:pPr>
            <w:r>
              <w:rPr>
                <w:rFonts w:ascii="Calibri" w:hAnsi="Calibri" w:eastAsia="Calibri"/>
                <w:b w:val="0"/>
                <w:i w:val="0"/>
                <w:sz w:val="20"/>
              </w:rPr>
              <w:t>1.82</w:t>
            </w:r>
          </w:p>
        </w:tc>
        <w:tc>
          <w:tcPr>
            <w:tcW w:type="dxa" w:w="1500"/>
          </w:tcPr>
          <w:p>
            <w:pPr>
              <w:spacing w:after="0"/>
              <w:jc w:val="center"/>
            </w:pPr>
            <w:r>
              <w:rPr>
                <w:rFonts w:ascii="Calibri" w:hAnsi="Calibri" w:eastAsia="Calibri"/>
                <w:b w:val="0"/>
                <w:i w:val="0"/>
                <w:sz w:val="20"/>
              </w:rPr>
              <w:t>1.91</w:t>
            </w:r>
          </w:p>
        </w:tc>
      </w:tr>
      <w:tr>
        <w:tc>
          <w:tcPr>
            <w:tcW w:type="dxa" w:w="3526"/>
          </w:tcPr>
          <w:p>
            <w:pPr>
              <w:spacing w:after="0"/>
              <w:jc w:val="left"/>
            </w:pPr>
            <w:r>
              <w:rPr>
                <w:rFonts w:ascii="Calibri" w:hAnsi="Calibri" w:eastAsia="Calibri"/>
                <w:b w:val="0"/>
                <w:i w:val="0"/>
                <w:sz w:val="20"/>
              </w:rPr>
              <w:t>Ridge, 8 variables</w:t>
            </w:r>
          </w:p>
        </w:tc>
        <w:tc>
          <w:tcPr>
            <w:tcW w:type="dxa" w:w="800"/>
          </w:tcPr>
          <w:p>
            <w:pPr>
              <w:spacing w:after="0"/>
              <w:jc w:val="center"/>
            </w:pPr>
            <w:r>
              <w:rPr>
                <w:rFonts w:ascii="Calibri" w:hAnsi="Calibri" w:eastAsia="Calibri"/>
                <w:b w:val="0"/>
                <w:i w:val="0"/>
                <w:sz w:val="20"/>
              </w:rPr>
              <w:t>8</w:t>
            </w:r>
          </w:p>
        </w:tc>
        <w:tc>
          <w:tcPr>
            <w:tcW w:type="dxa" w:w="1100"/>
          </w:tcPr>
          <w:p>
            <w:pPr>
              <w:spacing w:after="0"/>
              <w:jc w:val="center"/>
            </w:pPr>
            <w:r>
              <w:rPr>
                <w:rFonts w:ascii="Calibri" w:hAnsi="Calibri" w:eastAsia="Calibri"/>
                <w:b w:val="0"/>
                <w:i w:val="0"/>
                <w:sz w:val="20"/>
              </w:rPr>
              <w:t>1.53</w:t>
            </w:r>
          </w:p>
        </w:tc>
        <w:tc>
          <w:tcPr>
            <w:tcW w:type="dxa" w:w="1000"/>
          </w:tcPr>
          <w:p>
            <w:pPr>
              <w:spacing w:after="0"/>
              <w:jc w:val="center"/>
            </w:pPr>
            <w:r>
              <w:rPr>
                <w:rFonts w:ascii="Calibri" w:hAnsi="Calibri" w:eastAsia="Calibri"/>
                <w:b w:val="0"/>
                <w:i w:val="0"/>
                <w:sz w:val="20"/>
              </w:rPr>
              <w:t>0.42</w:t>
            </w:r>
          </w:p>
        </w:tc>
        <w:tc>
          <w:tcPr>
            <w:tcW w:type="dxa" w:w="1100"/>
          </w:tcPr>
          <w:p>
            <w:pPr>
              <w:spacing w:after="0"/>
              <w:jc w:val="center"/>
            </w:pPr>
            <w:r>
              <w:rPr>
                <w:rFonts w:ascii="Calibri" w:hAnsi="Calibri" w:eastAsia="Calibri"/>
                <w:b w:val="0"/>
                <w:i w:val="0"/>
                <w:sz w:val="20"/>
              </w:rPr>
              <w:t>1.62</w:t>
            </w:r>
          </w:p>
        </w:tc>
        <w:tc>
          <w:tcPr>
            <w:tcW w:type="dxa" w:w="1500"/>
          </w:tcPr>
          <w:p>
            <w:pPr>
              <w:spacing w:after="0"/>
              <w:jc w:val="center"/>
            </w:pPr>
            <w:r>
              <w:rPr>
                <w:rFonts w:ascii="Calibri" w:hAnsi="Calibri" w:eastAsia="Calibri"/>
                <w:b w:val="0"/>
                <w:i w:val="0"/>
                <w:sz w:val="20"/>
              </w:rPr>
              <w:t>1.83</w:t>
            </w:r>
          </w:p>
        </w:tc>
      </w:tr>
      <w:tr>
        <w:tc>
          <w:tcPr>
            <w:tcW w:type="dxa" w:w="3526"/>
          </w:tcPr>
          <w:p>
            <w:pPr>
              <w:spacing w:after="0"/>
              <w:jc w:val="left"/>
            </w:pPr>
            <w:r>
              <w:rPr>
                <w:rFonts w:ascii="Calibri" w:hAnsi="Calibri" w:eastAsia="Calibri"/>
                <w:b w:val="0"/>
                <w:i w:val="0"/>
                <w:sz w:val="20"/>
              </w:rPr>
              <w:t>Weighted symmetric ridge, 8 variables</w:t>
            </w:r>
          </w:p>
        </w:tc>
        <w:tc>
          <w:tcPr>
            <w:tcW w:type="dxa" w:w="800"/>
          </w:tcPr>
          <w:p>
            <w:pPr>
              <w:spacing w:after="0"/>
              <w:jc w:val="center"/>
            </w:pPr>
            <w:r>
              <w:rPr>
                <w:rFonts w:ascii="Calibri" w:hAnsi="Calibri" w:eastAsia="Calibri"/>
                <w:b w:val="0"/>
                <w:i w:val="0"/>
                <w:sz w:val="20"/>
              </w:rPr>
              <w:t>8</w:t>
            </w:r>
          </w:p>
        </w:tc>
        <w:tc>
          <w:tcPr>
            <w:tcW w:type="dxa" w:w="1100"/>
          </w:tcPr>
          <w:p>
            <w:pPr>
              <w:spacing w:after="0"/>
              <w:jc w:val="center"/>
            </w:pPr>
            <w:r>
              <w:rPr>
                <w:rFonts w:ascii="Calibri" w:hAnsi="Calibri" w:eastAsia="Calibri"/>
                <w:b w:val="0"/>
                <w:i w:val="0"/>
                <w:sz w:val="20"/>
              </w:rPr>
              <w:t>1.51</w:t>
            </w:r>
          </w:p>
        </w:tc>
        <w:tc>
          <w:tcPr>
            <w:tcW w:type="dxa" w:w="1000"/>
          </w:tcPr>
          <w:p>
            <w:pPr>
              <w:spacing w:after="0"/>
              <w:jc w:val="center"/>
            </w:pPr>
            <w:r>
              <w:rPr>
                <w:rFonts w:ascii="Calibri" w:hAnsi="Calibri" w:eastAsia="Calibri"/>
                <w:b w:val="0"/>
                <w:i w:val="0"/>
                <w:sz w:val="20"/>
              </w:rPr>
              <w:t>0.44</w:t>
            </w:r>
          </w:p>
        </w:tc>
        <w:tc>
          <w:tcPr>
            <w:tcW w:type="dxa" w:w="1100"/>
          </w:tcPr>
          <w:p>
            <w:pPr>
              <w:spacing w:after="0"/>
              <w:jc w:val="center"/>
            </w:pPr>
            <w:r>
              <w:rPr>
                <w:rFonts w:ascii="Calibri" w:hAnsi="Calibri" w:eastAsia="Calibri"/>
                <w:b w:val="0"/>
                <w:i w:val="0"/>
                <w:sz w:val="20"/>
              </w:rPr>
              <w:t>1.45</w:t>
            </w:r>
          </w:p>
        </w:tc>
        <w:tc>
          <w:tcPr>
            <w:tcW w:type="dxa" w:w="1500"/>
          </w:tcPr>
          <w:p>
            <w:pPr>
              <w:spacing w:after="0"/>
              <w:jc w:val="center"/>
            </w:pPr>
            <w:r>
              <w:rPr>
                <w:rFonts w:ascii="Calibri" w:hAnsi="Calibri" w:eastAsia="Calibri"/>
                <w:b w:val="0"/>
                <w:i w:val="0"/>
                <w:sz w:val="20"/>
              </w:rPr>
              <w:t>1.52</w:t>
            </w:r>
          </w:p>
        </w:tc>
      </w:tr>
      <w:tr>
        <w:tc>
          <w:tcPr>
            <w:tcW w:type="dxa" w:w="3526"/>
          </w:tcPr>
          <w:p>
            <w:pPr>
              <w:spacing w:after="0"/>
              <w:jc w:val="left"/>
            </w:pPr>
            <w:r>
              <w:rPr>
                <w:rFonts w:ascii="Calibri" w:hAnsi="Calibri" w:eastAsia="Calibri"/>
                <w:b w:val="0"/>
                <w:i w:val="0"/>
                <w:sz w:val="20"/>
              </w:rPr>
              <w:t>Symmetric OLS: strength</w:t>
            </w:r>
          </w:p>
        </w:tc>
        <w:tc>
          <w:tcPr>
            <w:tcW w:type="dxa" w:w="800"/>
          </w:tcPr>
          <w:p>
            <w:pPr>
              <w:spacing w:after="0"/>
              <w:jc w:val="center"/>
            </w:pPr>
            <w:r>
              <w:rPr>
                <w:rFonts w:ascii="Calibri" w:hAnsi="Calibri" w:eastAsia="Calibri"/>
                <w:b w:val="0"/>
                <w:i w:val="0"/>
                <w:sz w:val="20"/>
              </w:rPr>
              <w:t>1</w:t>
            </w:r>
          </w:p>
        </w:tc>
        <w:tc>
          <w:tcPr>
            <w:tcW w:type="dxa" w:w="1100"/>
          </w:tcPr>
          <w:p>
            <w:pPr>
              <w:spacing w:after="0"/>
              <w:jc w:val="center"/>
            </w:pPr>
            <w:r>
              <w:rPr>
                <w:rFonts w:ascii="Calibri" w:hAnsi="Calibri" w:eastAsia="Calibri"/>
                <w:b w:val="0"/>
                <w:i w:val="0"/>
                <w:sz w:val="20"/>
              </w:rPr>
              <w:t>1.50</w:t>
            </w:r>
          </w:p>
        </w:tc>
        <w:tc>
          <w:tcPr>
            <w:tcW w:type="dxa" w:w="1000"/>
          </w:tcPr>
          <w:p>
            <w:pPr>
              <w:spacing w:after="0"/>
              <w:jc w:val="center"/>
            </w:pPr>
            <w:r>
              <w:rPr>
                <w:rFonts w:ascii="Calibri" w:hAnsi="Calibri" w:eastAsia="Calibri"/>
                <w:b w:val="0"/>
                <w:i w:val="0"/>
                <w:sz w:val="20"/>
              </w:rPr>
              <w:t>0.45</w:t>
            </w:r>
          </w:p>
        </w:tc>
        <w:tc>
          <w:tcPr>
            <w:tcW w:type="dxa" w:w="1100"/>
          </w:tcPr>
          <w:p>
            <w:pPr>
              <w:spacing w:after="0"/>
              <w:jc w:val="center"/>
            </w:pPr>
            <w:r>
              <w:rPr>
                <w:rFonts w:ascii="Calibri" w:hAnsi="Calibri" w:eastAsia="Calibri"/>
                <w:b w:val="0"/>
                <w:i w:val="0"/>
                <w:sz w:val="20"/>
              </w:rPr>
              <w:t>1.44</w:t>
            </w:r>
          </w:p>
        </w:tc>
        <w:tc>
          <w:tcPr>
            <w:tcW w:type="dxa" w:w="1500"/>
          </w:tcPr>
          <w:p>
            <w:pPr>
              <w:spacing w:after="0"/>
              <w:jc w:val="center"/>
            </w:pPr>
            <w:r>
              <w:rPr>
                <w:rFonts w:ascii="Calibri" w:hAnsi="Calibri" w:eastAsia="Calibri"/>
                <w:b w:val="0"/>
                <w:i w:val="0"/>
                <w:sz w:val="20"/>
              </w:rPr>
              <w:t>1.37</w:t>
            </w:r>
          </w:p>
        </w:tc>
      </w:tr>
      <w:tr>
        <w:tc>
          <w:tcPr>
            <w:tcW w:type="dxa" w:w="3526"/>
          </w:tcPr>
          <w:p>
            <w:pPr>
              <w:spacing w:after="0"/>
              <w:jc w:val="left"/>
            </w:pPr>
            <w:r>
              <w:rPr>
                <w:rFonts w:ascii="Calibri" w:hAnsi="Calibri" w:eastAsia="Calibri"/>
                <w:b/>
                <w:i w:val="0"/>
                <w:sz w:val="20"/>
              </w:rPr>
              <w:t>Final: strength + host</w:t>
            </w:r>
          </w:p>
        </w:tc>
        <w:tc>
          <w:tcPr>
            <w:tcW w:type="dxa" w:w="800"/>
          </w:tcPr>
          <w:p>
            <w:pPr>
              <w:spacing w:after="0"/>
              <w:jc w:val="center"/>
            </w:pPr>
            <w:r>
              <w:rPr>
                <w:rFonts w:ascii="Calibri" w:hAnsi="Calibri" w:eastAsia="Calibri"/>
                <w:b/>
                <w:i w:val="0"/>
                <w:sz w:val="20"/>
              </w:rPr>
              <w:t>2</w:t>
            </w:r>
          </w:p>
        </w:tc>
        <w:tc>
          <w:tcPr>
            <w:tcW w:type="dxa" w:w="1100"/>
          </w:tcPr>
          <w:p>
            <w:pPr>
              <w:spacing w:after="0"/>
              <w:jc w:val="center"/>
            </w:pPr>
            <w:r>
              <w:rPr>
                <w:rFonts w:ascii="Calibri" w:hAnsi="Calibri" w:eastAsia="Calibri"/>
                <w:b/>
                <w:i w:val="0"/>
                <w:sz w:val="20"/>
              </w:rPr>
              <w:t>1.49</w:t>
            </w:r>
          </w:p>
        </w:tc>
        <w:tc>
          <w:tcPr>
            <w:tcW w:type="dxa" w:w="1000"/>
          </w:tcPr>
          <w:p>
            <w:pPr>
              <w:spacing w:after="0"/>
              <w:jc w:val="center"/>
            </w:pPr>
            <w:r>
              <w:rPr>
                <w:rFonts w:ascii="Calibri" w:hAnsi="Calibri" w:eastAsia="Calibri"/>
                <w:b/>
                <w:i w:val="0"/>
                <w:sz w:val="20"/>
              </w:rPr>
              <w:t>0.45</w:t>
            </w:r>
          </w:p>
        </w:tc>
        <w:tc>
          <w:tcPr>
            <w:tcW w:type="dxa" w:w="1100"/>
          </w:tcPr>
          <w:p>
            <w:pPr>
              <w:spacing w:after="0"/>
              <w:jc w:val="center"/>
            </w:pPr>
            <w:r>
              <w:rPr>
                <w:rFonts w:ascii="Calibri" w:hAnsi="Calibri" w:eastAsia="Calibri"/>
                <w:b/>
                <w:i w:val="0"/>
                <w:sz w:val="20"/>
              </w:rPr>
              <w:t>1.43</w:t>
            </w:r>
          </w:p>
        </w:tc>
        <w:tc>
          <w:tcPr>
            <w:tcW w:type="dxa" w:w="1500"/>
          </w:tcPr>
          <w:p>
            <w:pPr>
              <w:spacing w:after="0"/>
              <w:jc w:val="center"/>
            </w:pPr>
            <w:r>
              <w:rPr>
                <w:rFonts w:ascii="Calibri" w:hAnsi="Calibri" w:eastAsia="Calibri"/>
                <w:b/>
                <w:i w:val="0"/>
                <w:sz w:val="20"/>
              </w:rPr>
              <w:t>1.52</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7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