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13366"/>
          <w:sz w:val="23"/>
        </w:rPr>
        <w:t>Objective 2.2: Multiple Linear Regression for Match Goals Scored</w:t>
      </w:r>
    </w:p>
    <w:p>
      <w:pPr>
        <w:spacing w:after="40"/>
      </w:pPr>
      <w:r>
        <w:rPr>
          <w:i/>
          <w:color w:val="555555"/>
          <w:sz w:val="16"/>
        </w:rPr>
        <w:t>Role 3 Deliverable | Dataset: lr22_team_match_208.csv (N = 208) | Target: goals_scored</w:t>
      </w:r>
    </w:p>
    <w:p>
      <w:r>
        <w:rPr>
          <w:b/>
          <w:color w:val="113366"/>
          <w:sz w:val="19"/>
        </w:rPr>
        <w:t>1. Model Specification, Complete 8-Variable Estimation &amp; Selection</w:t>
      </w:r>
    </w:p>
    <w:p>
      <w:r>
        <w:t>To predict match goals scored (goals_scored, mean=1.48, var=1.94, zero-rate=26.4%), all 8 candidate explanatory variables mandated by the assessment brief were constructed strictly pre-kick-off (date-partitioned state tracking; no post-match leakage). Table 1 reports the full baseline model (k=8, R²=0.306, Adj. R²=0.278, AIC=669.33). An exhaustive 255-subset search revealed that two features introduce noise without explanatory power: is_knockout (p=0.658) and opp_gf_pg (p=0.580). Eliminating these two yields the optimal parsimonious model (k=6), achieving lower AIC (665.75 vs. 669.33) and superior 10-fold CV RMSE (1.191 vs. 1.203). All VIF values remain strictly below 3.03, verifying the absence of harmful multicollinearity.</w:t>
      </w:r>
    </w:p>
    <w:p>
      <w:pPr>
        <w:spacing w:before="20" w:after="20"/>
        <w:jc w:val="center"/>
      </w:pPr>
      <w:r>
        <w:rPr>
          <w:b/>
          <w:color w:val="113366"/>
          <w:sz w:val="15"/>
        </w:rPr>
        <w:t>Full 8-Var OLS: goals_scored = -0.905 + 0.379·val + 0.285·opp_rnk + 0.800·host - 0.368·gf + 0.386·opp_ga - 0.232·rnk + 0.120·opp_gf - 0.100·ko</w:t>
        <w:br/>
        <w:t>Optimal 6-Var OLS: goals_scored = -0.747 + 0.386·val + 0.269·opp_rnk + 0.802·host - 0.397·gf + 0.401·opp_ga - 0.226·rnk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  <w:shd w:fill="2B5C8F"/>
            <w:tcMar>
              <w:top w:w="25" w:type="dxa"/>
              <w:bottom w:w="25" w:type="dxa"/>
            </w:tcMar>
          </w:tcPr>
          <w:p>
            <w:r>
              <w:rPr>
                <w:b/>
                <w:color w:val="FFFFFF"/>
                <w:sz w:val="15"/>
              </w:rPr>
              <w:t>Explanatory Variable</w:t>
            </w:r>
          </w:p>
        </w:tc>
        <w:tc>
          <w:tcPr>
            <w:tcW w:type="dxa" w:w="1454"/>
            <w:shd w:fill="2B5C8F"/>
            <w:tcMar>
              <w:top w:w="25" w:type="dxa"/>
              <w:bottom w:w="25" w:type="dxa"/>
            </w:tcMar>
          </w:tcPr>
          <w:p>
            <w:r>
              <w:rPr>
                <w:b/>
                <w:color w:val="FFFFFF"/>
                <w:sz w:val="15"/>
              </w:rPr>
              <w:t>Coef (β̂)</w:t>
            </w:r>
          </w:p>
        </w:tc>
        <w:tc>
          <w:tcPr>
            <w:tcW w:type="dxa" w:w="1454"/>
            <w:shd w:fill="2B5C8F"/>
            <w:tcMar>
              <w:top w:w="25" w:type="dxa"/>
              <w:bottom w:w="25" w:type="dxa"/>
            </w:tcMar>
          </w:tcPr>
          <w:p>
            <w:r>
              <w:rPr>
                <w:b/>
                <w:color w:val="FFFFFF"/>
                <w:sz w:val="15"/>
              </w:rPr>
              <w:t>Std. Error</w:t>
            </w:r>
          </w:p>
        </w:tc>
        <w:tc>
          <w:tcPr>
            <w:tcW w:type="dxa" w:w="1454"/>
            <w:shd w:fill="2B5C8F"/>
            <w:tcMar>
              <w:top w:w="25" w:type="dxa"/>
              <w:bottom w:w="25" w:type="dxa"/>
            </w:tcMar>
          </w:tcPr>
          <w:p>
            <w:r>
              <w:rPr>
                <w:b/>
                <w:color w:val="FFFFFF"/>
                <w:sz w:val="15"/>
              </w:rPr>
              <w:t>t-stat</w:t>
            </w:r>
          </w:p>
        </w:tc>
        <w:tc>
          <w:tcPr>
            <w:tcW w:type="dxa" w:w="1454"/>
            <w:shd w:fill="2B5C8F"/>
            <w:tcMar>
              <w:top w:w="25" w:type="dxa"/>
              <w:bottom w:w="25" w:type="dxa"/>
            </w:tcMar>
          </w:tcPr>
          <w:p>
            <w:r>
              <w:rPr>
                <w:b/>
                <w:color w:val="FFFFFF"/>
                <w:sz w:val="15"/>
              </w:rPr>
              <w:t>p-value</w:t>
            </w:r>
          </w:p>
        </w:tc>
        <w:tc>
          <w:tcPr>
            <w:tcW w:type="dxa" w:w="1454"/>
            <w:shd w:fill="2B5C8F"/>
            <w:tcMar>
              <w:top w:w="25" w:type="dxa"/>
              <w:bottom w:w="25" w:type="dxa"/>
            </w:tcMar>
          </w:tcPr>
          <w:p>
            <w:r>
              <w:rPr>
                <w:b/>
                <w:color w:val="FFFFFF"/>
                <w:sz w:val="15"/>
              </w:rPr>
              <w:t>VIF</w:t>
            </w:r>
          </w:p>
        </w:tc>
        <w:tc>
          <w:tcPr>
            <w:tcW w:type="dxa" w:w="1454"/>
            <w:shd w:fill="2B5C8F"/>
            <w:tcMar>
              <w:top w:w="25" w:type="dxa"/>
              <w:bottom w:w="25" w:type="dxa"/>
            </w:tcMar>
          </w:tcPr>
          <w:p>
            <w:r>
              <w:rPr>
                <w:b/>
                <w:color w:val="FFFFFF"/>
                <w:sz w:val="15"/>
              </w:rPr>
              <w:t>Selection Status</w:t>
            </w:r>
          </w:p>
        </w:tc>
      </w:tr>
      <w:tr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Intercept (const)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-0.905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1.036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-0.87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0.384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Retained</w:t>
            </w:r>
          </w:p>
        </w:tc>
      </w:tr>
      <w:tr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team_log_value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+0.379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0.119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+3.18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0.002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3.03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Retained (Key Driver)</w:t>
            </w:r>
          </w:p>
        </w:tc>
      </w:tr>
      <w:tr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opp_log_rank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+0.285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0.094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+3.04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0.003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1.70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Retained (Key Driver)</w:t>
            </w:r>
          </w:p>
        </w:tc>
      </w:tr>
      <w:tr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is_host_home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+0.800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0.348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+2.30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0.022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1.05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Retained (Key Driver)</w:t>
            </w:r>
          </w:p>
        </w:tc>
      </w:tr>
      <w:tr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team_gf_pg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-0.368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0.223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-1.65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0.101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1.65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Retained in k=6</w:t>
            </w:r>
          </w:p>
        </w:tc>
      </w:tr>
      <w:tr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opp_ga_pg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+0.386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0.220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+1.75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0.081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1.36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Retained in k=6</w:t>
            </w:r>
          </w:p>
        </w:tc>
      </w:tr>
      <w:tr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team_log_rank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-0.232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0.121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-1.91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0.057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2.84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Retained in k=6</w:t>
            </w:r>
          </w:p>
        </w:tc>
      </w:tr>
      <w:tr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opp_gf_pg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+0.120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0.216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+0.55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0.580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1.54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b/>
                <w:color w:val="A00000"/>
                <w:sz w:val="14"/>
              </w:rPr>
              <w:t>Removed (Noise / p&gt;0.5)</w:t>
            </w:r>
          </w:p>
        </w:tc>
      </w:tr>
      <w:tr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sz w:val="14"/>
              </w:rPr>
              <w:t>is_knockout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-0.100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0.225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-0.44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0.658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right"/>
            </w:pPr>
            <w:r>
              <w:rPr>
                <w:sz w:val="14"/>
              </w:rPr>
              <w:t>1.60</w:t>
            </w:r>
          </w:p>
        </w:tc>
        <w:tc>
          <w:tcPr>
            <w:tcW w:type="dxa" w:w="1454"/>
            <w:tcMar>
              <w:top w:w="25" w:type="dxa"/>
              <w:bottom w:w="25" w:type="dxa"/>
            </w:tcMar>
          </w:tcPr>
          <w:p>
            <w:pPr>
              <w:spacing w:after="20"/>
              <w:jc w:val="left"/>
            </w:pPr>
            <w:r>
              <w:rPr>
                <w:b/>
                <w:color w:val="A00000"/>
                <w:sz w:val="14"/>
              </w:rPr>
              <w:t>Removed (Noise / p&gt;0.6)</w:t>
            </w:r>
          </w:p>
        </w:tc>
      </w:tr>
    </w:tbl>
    <w:p>
      <w:pPr>
        <w:spacing w:before="40"/>
      </w:pPr>
      <w:r>
        <w:rPr>
          <w:b/>
        </w:rPr>
        <w:t xml:space="preserve">Week 9 T1 Benchmark (80/20 Holdout): </w:t>
      </w:r>
      <w:r>
        <w:t>Evaluating against the naive baseline (predicting training mean ȳ=1.45), our model demonstrates authentic predictive power across all 5 standard metrics: MAE=0.918 (vs 0.952 baseline), MSE=1.637 (vs 2.191), RMSE=1.280 (vs 1.480), Normalised RMSE=0.183 (vs 0.211), and R²=+0.184 (vs -0.092 for naive mean).</w:t>
      </w:r>
    </w:p>
    <w:p>
      <w:pPr>
        <w:spacing w:before="40"/>
      </w:pPr>
      <w:r>
        <w:rPr>
          <w:b/>
          <w:color w:val="113366"/>
          <w:sz w:val="19"/>
        </w:rPr>
        <w:t>2. Football Analytics &amp; Tactical Nuance</w:t>
      </w:r>
    </w:p>
    <w:p>
      <w:r>
        <w:t>1) Baseline Quality: Team market value is the premier offensive driver (β̂=+0.379, p=0.002); doubling squad valuation yields ~+0.26 goals (ln(2)×0.379). Lower opponent FIFA ranking similarly raises goal expectancy (β̂=+0.285, p=0.003).</w:t>
        <w:br/>
        <w:t>2) True Host Nation Edge: Domestic venue imparts an incremental +0.800 goals (p=0.022) independently of team talent.</w:t>
        <w:br/>
        <w:t>3) Tactical Dynamics &amp; Pruning Justification: Opponents' prior defensive frailty (opp_ga_pg) boosts goal yield (β̂=+0.386, p=0.081). Conversely, is_knockout and opp_gf_pg display near-zero t-statistics (|t|&lt;0.6, p&gt;0.5), indicating knockout caution is already captured by defensive shrinkage priors.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309360" cy="1892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ure_LR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92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5"/>
        </w:rPr>
        <w:t>Figure 1. Evaluation suite: (a) Predicted vs Actual goals; (b) Residuals vs Fitted; (c) Normal Q-Q plot.</w:t>
      </w:r>
    </w:p>
    <w:p>
      <w:pPr>
        <w:spacing w:before="40"/>
      </w:pPr>
      <w:r>
        <w:rPr>
          <w:b/>
          <w:color w:val="113366"/>
          <w:sz w:val="19"/>
        </w:rPr>
        <w:t>3. Residual Diagnostics &amp; Robustness Defense</w:t>
      </w:r>
    </w:p>
    <w:p>
      <w:r>
        <w:t>Gauss-Markov tests highlight count-data properties: Breusch-Pagan detects mild heteroscedasticity (LM=20.30, p=0.0024), and Jarque-Bera rejects strict error normality (JB=45.84, p&lt;0.001, skewness=0.78) driven by 26.4% zero-inflation. Under Central Limit Theorem guarantees (N=208), we re-estimated MacKinnon-White HC3 robust standard errors: squad value (p=0.0007), opponent rank (p=0.0022), and host edge (p=0.0477) remain strictly significant. Durbin-Watson (DW=1.82) confirms absence of serial correlation, and maximum Cook's distance is 0.137 (&lt;0.5 cutoff), precluding outlier distortion.</w:t>
      </w:r>
    </w:p>
    <w:sectPr w:rsidR="00FC693F" w:rsidRPr="0006063C" w:rsidSect="00034616">
      <w:pgSz w:w="11909" w:h="16834"/>
      <w:pgMar w:top="691" w:right="864" w:bottom="691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40"/>
    </w:pPr>
    <w:rPr>
      <w:rFonts w:ascii="Times New Roman" w:hAnsi="Times New Roman"/>
      <w:color w:val="222222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