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center"/>
      </w:pPr>
      <w:r>
        <w:rPr>
          <w:b/>
          <w:color w:val="1A365D"/>
          <w:sz w:val="52"/>
        </w:rPr>
        <w:t>Guide Enseignant</w:t>
      </w:r>
    </w:p>
    <w:p>
      <w:pPr>
        <w:jc w:val="center"/>
      </w:pPr>
      <w:r>
        <w:rPr>
          <w:color w:val="2B6CB0"/>
          <w:sz w:val="28"/>
        </w:rPr>
        <w:t>SCORM Builder — Simulateur Réseau IPv4</w:t>
      </w:r>
    </w:p>
    <w:p/>
    <w:p>
      <w:pPr>
        <w:jc w:val="center"/>
      </w:pPr>
      <w:r>
        <w:rPr>
          <w:i/>
          <w:color w:val="718096"/>
          <w:sz w:val="22"/>
        </w:rPr>
        <w:t>Créer et déployer des activités réseau sur Moodle</w:t>
      </w:r>
    </w:p>
    <w:p>
      <w:r>
        <w:br w:type="page"/>
      </w:r>
    </w:p>
    <w:p>
      <w:pPr>
        <w:pStyle w:val="Heading1"/>
        <w:jc w:val="left"/>
      </w:pPr>
      <w:r>
        <w:rPr>
          <w:color w:val="1A365D"/>
        </w:rPr>
        <w:t>1. Présentation de l'outil</w:t>
      </w:r>
    </w:p>
    <w:p>
      <w:r>
        <w:t>Le SCORM Builder est un outil standalone (fichier HTML unique) permettant de concevoir des activités réseau pour vos élèves, de les configurer avec des objectifs pédagogiques évalués, puis de les exporter en package SCORM prêt à être déposé dans Moodle. Il fonctionne entièrement dans votre navigateur, sans installation.</w:t>
      </w:r>
    </w:p>
    <w:p>
      <w:pPr>
        <w:spacing w:before="80" w:after="120"/>
        <w:ind w:left="283" w:right="283"/>
      </w:pPr>
      <w:r>
        <w:rPr>
          <w:color w:val="744210"/>
          <w:sz w:val="18"/>
        </w:rPr>
        <w:t>💡 Ouvrez simplement scorm-builder.html dans Chrome ou Firefox. Aucune connexion internet n'est requise pour construire le réseau et configurer l'évaluation.</w:t>
      </w:r>
    </w:p>
    <w:p>
      <w:pPr>
        <w:pStyle w:val="Heading1"/>
        <w:jc w:val="left"/>
      </w:pPr>
      <w:r>
        <w:rPr>
          <w:color w:val="1A365D"/>
        </w:rPr>
        <w:t>2. Les trois onglets du Builder</w:t>
      </w:r>
    </w:p>
    <w:p>
      <w:pPr>
        <w:pStyle w:val="Heading2"/>
        <w:jc w:val="left"/>
      </w:pPr>
      <w:r>
        <w:rPr>
          <w:color w:val="2B6CB0"/>
        </w:rPr>
        <w:t>2.1  Onglet 1 — Construire le réseau</w:t>
      </w:r>
    </w:p>
    <w:p>
      <w:pPr>
        <w:jc w:val="center"/>
      </w:pPr>
      <w:r>
        <w:drawing>
          <wp:inline xmlns:a="http://schemas.openxmlformats.org/drawingml/2006/main" xmlns:pic="http://schemas.openxmlformats.org/drawingml/2006/picture">
            <wp:extent cx="5040000" cy="2908587"/>
            <wp:docPr id="1" name="Picture 1"/>
            <wp:cNvGraphicFramePr>
              <a:graphicFrameLocks noChangeAspect="1"/>
            </wp:cNvGraphicFramePr>
            <a:graphic>
              <a:graphicData uri="http://schemas.openxmlformats.org/drawingml/2006/picture">
                <pic:pic>
                  <pic:nvPicPr>
                    <pic:cNvPr id="0" name="mock_builder_tab1.png"/>
                    <pic:cNvPicPr/>
                  </pic:nvPicPr>
                  <pic:blipFill>
                    <a:blip r:embed="rId9"/>
                    <a:stretch>
                      <a:fillRect/>
                    </a:stretch>
                  </pic:blipFill>
                  <pic:spPr>
                    <a:xfrm>
                      <a:off x="0" y="0"/>
                      <a:ext cx="5040000" cy="2908587"/>
                    </a:xfrm>
                    <a:prstGeom prst="rect"/>
                  </pic:spPr>
                </pic:pic>
              </a:graphicData>
            </a:graphic>
          </wp:inline>
        </w:drawing>
      </w:r>
    </w:p>
    <w:p>
      <w:pPr>
        <w:jc w:val="center"/>
      </w:pPr>
      <w:r>
        <w:rPr>
          <w:i/>
          <w:color w:val="718096"/>
          <w:sz w:val="16"/>
        </w:rPr>
      </w:r>
      <w:r>
        <w:t>Vue de l'onglet 1 : palette d'appareils, canevas de conception et panneau de propriétés.</w:t>
      </w:r>
    </w:p>
    <w:p>
      <w:r>
        <w:t>La palette de gauche propose cinq types d'appareils : PC, Serveur, Switch, Routeur et l'outil Câble. Faites glisser les appareils sur le canevas central. Cliquez sur un appareil pour configurer ses propriétés dans le panneau de droite (IP, masque, passerelle, DNS, services HTTP/DNS/DHCP).</w:t>
      </w:r>
    </w:p>
    <w:p>
      <w:pPr>
        <w:spacing w:before="80" w:after="120"/>
        <w:ind w:left="283" w:right="283"/>
      </w:pPr>
      <w:r>
        <w:rPr>
          <w:color w:val="744210"/>
          <w:sz w:val="18"/>
        </w:rPr>
        <w:t>📌 Ce réseau devient le réseau de départ de l'activité élève. Les élèves le verront dès le lancement de l'exercice.</w:t>
      </w:r>
    </w:p>
    <w:p>
      <w:pPr>
        <w:pStyle w:val="ListBullet"/>
      </w:pPr>
      <w:r>
        <w:t>Sélectionnez l'outil Câble puis cliquez sur deux appareils pour les relier.</w:t>
      </w:r>
    </w:p>
    <w:p>
      <w:pPr>
        <w:pStyle w:val="ListBullet"/>
      </w:pPr>
      <w:r>
        <w:t>Cliquez sur un PC ou Serveur pour configurer son adresse IP dans le panneau de droite.</w:t>
      </w:r>
    </w:p>
    <w:p>
      <w:pPr>
        <w:pStyle w:val="ListBullet"/>
      </w:pPr>
      <w:r>
        <w:t>Pour un routeur, configurez les deux interfaces eth0 et eth1 séparément.</w:t>
      </w:r>
    </w:p>
    <w:p>
      <w:pPr>
        <w:pStyle w:val="ListBullet"/>
      </w:pPr>
      <w:r>
        <w:t>Utilisez Ctrl+S ou le bouton 💾 pour sauvegarder votre progression.</w:t>
      </w:r>
    </w:p>
    <w:p>
      <w:pPr>
        <w:pStyle w:val="Heading2"/>
        <w:jc w:val="left"/>
      </w:pPr>
      <w:r>
        <w:rPr>
          <w:color w:val="2B6CB0"/>
        </w:rPr>
        <w:t>2.2  Onglet 2 — Configurer l'évaluation</w:t>
      </w:r>
    </w:p>
    <w:p>
      <w:pPr>
        <w:jc w:val="center"/>
      </w:pPr>
      <w:r>
        <w:drawing>
          <wp:inline xmlns:a="http://schemas.openxmlformats.org/drawingml/2006/main" xmlns:pic="http://schemas.openxmlformats.org/drawingml/2006/picture">
            <wp:extent cx="5040000" cy="2908587"/>
            <wp:docPr id="2" name="Picture 2"/>
            <wp:cNvGraphicFramePr>
              <a:graphicFrameLocks noChangeAspect="1"/>
            </wp:cNvGraphicFramePr>
            <a:graphic>
              <a:graphicData uri="http://schemas.openxmlformats.org/drawingml/2006/picture">
                <pic:pic>
                  <pic:nvPicPr>
                    <pic:cNvPr id="0" name="mock_builder_tab2.png"/>
                    <pic:cNvPicPr/>
                  </pic:nvPicPr>
                  <pic:blipFill>
                    <a:blip r:embed="rId10"/>
                    <a:stretch>
                      <a:fillRect/>
                    </a:stretch>
                  </pic:blipFill>
                  <pic:spPr>
                    <a:xfrm>
                      <a:off x="0" y="0"/>
                      <a:ext cx="5040000" cy="2908587"/>
                    </a:xfrm>
                    <a:prstGeom prst="rect"/>
                  </pic:spPr>
                </pic:pic>
              </a:graphicData>
            </a:graphic>
          </wp:inline>
        </w:drawing>
      </w:r>
    </w:p>
    <w:p>
      <w:pPr>
        <w:jc w:val="center"/>
      </w:pPr>
      <w:r>
        <w:rPr>
          <w:i/>
          <w:color w:val="718096"/>
          <w:sz w:val="16"/>
        </w:rPr>
      </w:r>
      <w:r>
        <w:t>Onglet 2 : paramètres de l'activité et liste des objectifs pédagogiques.</w:t>
      </w:r>
    </w:p>
    <w:p>
      <w:r>
        <w:t>Définissez le titre, le niveau scolaire, le score de maîtrise (note minimale de réussite en %) et le mode d'affichage. Ajoutez ensuite autant d'objectifs que nécessaire, chacun associé à un type de vérification et un nombre de points.</w:t>
      </w:r>
    </w:p>
    <w:p>
      <w:r>
        <w:rPr>
          <w:b/>
        </w:rPr>
        <w:t>Types de vérifications disponibles :</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1a365d"/>
          </w:tcPr>
          <w:p>
            <w:r>
              <w:rPr>
                <w:b/>
                <w:color w:val="FFFFFF"/>
              </w:rPr>
              <w:t>Type</w:t>
            </w:r>
          </w:p>
        </w:tc>
        <w:tc>
          <w:tcPr>
            <w:tcW w:type="dxa" w:w="2880"/>
            <w:shd w:val="clear" w:color="auto" w:fill="1a365d"/>
          </w:tcPr>
          <w:p>
            <w:r>
              <w:rPr>
                <w:b/>
                <w:color w:val="FFFFFF"/>
              </w:rPr>
              <w:t>Libellé</w:t>
            </w:r>
          </w:p>
        </w:tc>
        <w:tc>
          <w:tcPr>
            <w:tcW w:type="dxa" w:w="2880"/>
            <w:shd w:val="clear" w:color="auto" w:fill="1a365d"/>
          </w:tcPr>
          <w:p>
            <w:r>
              <w:rPr>
                <w:b/>
                <w:color w:val="FFFFFF"/>
              </w:rPr>
              <w:t>Description</w:t>
            </w:r>
          </w:p>
        </w:tc>
      </w:tr>
      <w:tr>
        <w:tc>
          <w:tcPr>
            <w:tcW w:type="dxa" w:w="2880"/>
            <w:shd w:val="clear" w:color="auto" w:fill="f7fafc"/>
          </w:tcPr>
          <w:p>
            <w:r>
              <w:t>ping_success</w:t>
            </w:r>
          </w:p>
        </w:tc>
        <w:tc>
          <w:tcPr>
            <w:tcW w:type="dxa" w:w="2880"/>
            <w:shd w:val="clear" w:color="auto" w:fill="f7fafc"/>
          </w:tcPr>
          <w:p>
            <w:r>
              <w:t>Ping réussi</w:t>
            </w:r>
          </w:p>
        </w:tc>
        <w:tc>
          <w:tcPr>
            <w:tcW w:type="dxa" w:w="2880"/>
            <w:shd w:val="clear" w:color="auto" w:fill="f7fafc"/>
          </w:tcPr>
          <w:p>
            <w:r>
              <w:t>Vérifie qu'un ping entre deux appareils aboutit.</w:t>
            </w:r>
          </w:p>
        </w:tc>
      </w:tr>
      <w:tr>
        <w:tc>
          <w:tcPr>
            <w:tcW w:type="dxa" w:w="2880"/>
          </w:tcPr>
          <w:p>
            <w:r>
              <w:t>dns_success</w:t>
            </w:r>
          </w:p>
        </w:tc>
        <w:tc>
          <w:tcPr>
            <w:tcW w:type="dxa" w:w="2880"/>
          </w:tcPr>
          <w:p>
            <w:r>
              <w:t>Résolution DNS</w:t>
            </w:r>
          </w:p>
        </w:tc>
        <w:tc>
          <w:tcPr>
            <w:tcW w:type="dxa" w:w="2880"/>
          </w:tcPr>
          <w:p>
            <w:r>
              <w:t>Vérifie qu'un nom de domaine est résolu.</w:t>
            </w:r>
          </w:p>
        </w:tc>
      </w:tr>
      <w:tr>
        <w:tc>
          <w:tcPr>
            <w:tcW w:type="dxa" w:w="2880"/>
            <w:shd w:val="clear" w:color="auto" w:fill="f7fafc"/>
          </w:tcPr>
          <w:p>
            <w:r>
              <w:t>http_success</w:t>
            </w:r>
          </w:p>
        </w:tc>
        <w:tc>
          <w:tcPr>
            <w:tcW w:type="dxa" w:w="2880"/>
            <w:shd w:val="clear" w:color="auto" w:fill="f7fafc"/>
          </w:tcPr>
          <w:p>
            <w:r>
              <w:t>Accès HTTP</w:t>
            </w:r>
          </w:p>
        </w:tc>
        <w:tc>
          <w:tcPr>
            <w:tcW w:type="dxa" w:w="2880"/>
            <w:shd w:val="clear" w:color="auto" w:fill="f7fafc"/>
          </w:tcPr>
          <w:p>
            <w:r>
              <w:t>Vérifie l'accès à une page web.</w:t>
            </w:r>
          </w:p>
        </w:tc>
      </w:tr>
      <w:tr>
        <w:tc>
          <w:tcPr>
            <w:tcW w:type="dxa" w:w="2880"/>
          </w:tcPr>
          <w:p>
            <w:r>
              <w:t>dhcp_success</w:t>
            </w:r>
          </w:p>
        </w:tc>
        <w:tc>
          <w:tcPr>
            <w:tcW w:type="dxa" w:w="2880"/>
          </w:tcPr>
          <w:p>
            <w:r>
              <w:t>Attribution DHCP</w:t>
            </w:r>
          </w:p>
        </w:tc>
        <w:tc>
          <w:tcPr>
            <w:tcW w:type="dxa" w:w="2880"/>
          </w:tcPr>
          <w:p>
            <w:r>
              <w:t>Vérifie l'obtention d'une IP via DHCP.</w:t>
            </w:r>
          </w:p>
        </w:tc>
      </w:tr>
      <w:tr>
        <w:tc>
          <w:tcPr>
            <w:tcW w:type="dxa" w:w="2880"/>
            <w:shd w:val="clear" w:color="auto" w:fill="f7fafc"/>
          </w:tcPr>
          <w:p>
            <w:r>
              <w:t>cable_exists</w:t>
            </w:r>
          </w:p>
        </w:tc>
        <w:tc>
          <w:tcPr>
            <w:tcW w:type="dxa" w:w="2880"/>
            <w:shd w:val="clear" w:color="auto" w:fill="f7fafc"/>
          </w:tcPr>
          <w:p>
            <w:r>
              <w:t>Câble existant</w:t>
            </w:r>
          </w:p>
        </w:tc>
        <w:tc>
          <w:tcPr>
            <w:tcW w:type="dxa" w:w="2880"/>
            <w:shd w:val="clear" w:color="auto" w:fill="f7fafc"/>
          </w:tcPr>
          <w:p>
            <w:r>
              <w:t>Vérifie qu'un câble relie deux appareils.</w:t>
            </w:r>
          </w:p>
        </w:tc>
      </w:tr>
      <w:tr>
        <w:tc>
          <w:tcPr>
            <w:tcW w:type="dxa" w:w="2880"/>
          </w:tcPr>
          <w:p>
            <w:r>
              <w:t>ip_configured</w:t>
            </w:r>
          </w:p>
        </w:tc>
        <w:tc>
          <w:tcPr>
            <w:tcW w:type="dxa" w:w="2880"/>
          </w:tcPr>
          <w:p>
            <w:r>
              <w:t>IP configurée</w:t>
            </w:r>
          </w:p>
        </w:tc>
        <w:tc>
          <w:tcPr>
            <w:tcW w:type="dxa" w:w="2880"/>
          </w:tcPr>
          <w:p>
            <w:r>
              <w:t>Vérifie l'adresse IP d'un appareil.</w:t>
            </w:r>
          </w:p>
        </w:tc>
      </w:tr>
      <w:tr>
        <w:tc>
          <w:tcPr>
            <w:tcW w:type="dxa" w:w="2880"/>
            <w:shd w:val="clear" w:color="auto" w:fill="f7fafc"/>
          </w:tcPr>
          <w:p>
            <w:r>
              <w:t>gateway_configured</w:t>
            </w:r>
          </w:p>
        </w:tc>
        <w:tc>
          <w:tcPr>
            <w:tcW w:type="dxa" w:w="2880"/>
            <w:shd w:val="clear" w:color="auto" w:fill="f7fafc"/>
          </w:tcPr>
          <w:p>
            <w:r>
              <w:t>Passerelle</w:t>
            </w:r>
          </w:p>
        </w:tc>
        <w:tc>
          <w:tcPr>
            <w:tcW w:type="dxa" w:w="2880"/>
            <w:shd w:val="clear" w:color="auto" w:fill="f7fafc"/>
          </w:tcPr>
          <w:p>
            <w:r>
              <w:t>Vérifie la passerelle d'un appareil.</w:t>
            </w:r>
          </w:p>
        </w:tc>
      </w:tr>
      <w:tr>
        <w:tc>
          <w:tcPr>
            <w:tcW w:type="dxa" w:w="2880"/>
          </w:tcPr>
          <w:p>
            <w:r>
              <w:t>dns_configured</w:t>
            </w:r>
          </w:p>
        </w:tc>
        <w:tc>
          <w:tcPr>
            <w:tcW w:type="dxa" w:w="2880"/>
          </w:tcPr>
          <w:p>
            <w:r>
              <w:t>DNS configuré</w:t>
            </w:r>
          </w:p>
        </w:tc>
        <w:tc>
          <w:tcPr>
            <w:tcW w:type="dxa" w:w="2880"/>
          </w:tcPr>
          <w:p>
            <w:r>
              <w:t>Vérifie l'adresse DNS d'un appareil.</w:t>
            </w:r>
          </w:p>
        </w:tc>
      </w:tr>
      <w:tr>
        <w:tc>
          <w:tcPr>
            <w:tcW w:type="dxa" w:w="2880"/>
            <w:shd w:val="clear" w:color="auto" w:fill="f7fafc"/>
          </w:tcPr>
          <w:p>
            <w:r>
              <w:t>service_active</w:t>
            </w:r>
          </w:p>
        </w:tc>
        <w:tc>
          <w:tcPr>
            <w:tcW w:type="dxa" w:w="2880"/>
            <w:shd w:val="clear" w:color="auto" w:fill="f7fafc"/>
          </w:tcPr>
          <w:p>
            <w:r>
              <w:t>Service actif</w:t>
            </w:r>
          </w:p>
        </w:tc>
        <w:tc>
          <w:tcPr>
            <w:tcW w:type="dxa" w:w="2880"/>
            <w:shd w:val="clear" w:color="auto" w:fill="f7fafc"/>
          </w:tcPr>
          <w:p>
            <w:r>
              <w:t>Vérifie qu'un service HTTP/DNS/DHCP est activé.</w:t>
            </w:r>
          </w:p>
        </w:tc>
      </w:tr>
    </w:tbl>
    <w:p>
      <w:pPr>
        <w:pStyle w:val="Heading2"/>
        <w:jc w:val="left"/>
      </w:pPr>
      <w:r>
        <w:rPr>
          <w:color w:val="2B6CB0"/>
        </w:rPr>
        <w:t>2.3  Onglet 3 — Générer le package</w:t>
      </w:r>
    </w:p>
    <w:p>
      <w:pPr>
        <w:jc w:val="center"/>
      </w:pPr>
      <w:r>
        <w:drawing>
          <wp:inline xmlns:a="http://schemas.openxmlformats.org/drawingml/2006/main" xmlns:pic="http://schemas.openxmlformats.org/drawingml/2006/picture">
            <wp:extent cx="5040000" cy="2908587"/>
            <wp:docPr id="3" name="Picture 3"/>
            <wp:cNvGraphicFramePr>
              <a:graphicFrameLocks noChangeAspect="1"/>
            </wp:cNvGraphicFramePr>
            <a:graphic>
              <a:graphicData uri="http://schemas.openxmlformats.org/drawingml/2006/picture">
                <pic:pic>
                  <pic:nvPicPr>
                    <pic:cNvPr id="0" name="mock_builder_tab3.png"/>
                    <pic:cNvPicPr/>
                  </pic:nvPicPr>
                  <pic:blipFill>
                    <a:blip r:embed="rId11"/>
                    <a:stretch>
                      <a:fillRect/>
                    </a:stretch>
                  </pic:blipFill>
                  <pic:spPr>
                    <a:xfrm>
                      <a:off x="0" y="0"/>
                      <a:ext cx="5040000" cy="2908587"/>
                    </a:xfrm>
                    <a:prstGeom prst="rect"/>
                  </pic:spPr>
                </pic:pic>
              </a:graphicData>
            </a:graphic>
          </wp:inline>
        </w:drawing>
      </w:r>
    </w:p>
    <w:p>
      <w:pPr>
        <w:jc w:val="center"/>
      </w:pPr>
      <w:r>
        <w:rPr>
          <w:i/>
          <w:color w:val="718096"/>
          <w:sz w:val="16"/>
        </w:rPr>
      </w:r>
      <w:r>
        <w:t>Onglet 3 : résumé de l'activité, mot de passe professeur et exports.</w:t>
      </w:r>
    </w:p>
    <w:p>
      <w:r>
        <w:t>Vérifiez le résumé, définissez le mot de passe professeur, puis choisissez votre mode d'export :</w:t>
      </w:r>
    </w:p>
    <w:p>
      <w:pPr>
        <w:pStyle w:val="ListBullet"/>
      </w:pPr>
      <w:r>
        <w:t>📦 Package SCORM (.zip) — à importer dans Moodle via Ressource → Package SCORM.</w:t>
      </w:r>
    </w:p>
    <w:p>
      <w:pPr>
        <w:pStyle w:val="ListBullet"/>
      </w:pPr>
      <w:r>
        <w:t>🧪 Fichier HTML standalone — à ouvrir directement dans Chrome pour tester.</w:t>
      </w:r>
    </w:p>
    <w:p>
      <w:r>
        <w:br w:type="page"/>
      </w:r>
    </w:p>
    <w:p>
      <w:pPr>
        <w:pStyle w:val="Heading1"/>
        <w:jc w:val="left"/>
      </w:pPr>
      <w:r>
        <w:rPr>
          <w:color w:val="1A365D"/>
        </w:rPr>
        <w:t>3. Workflow complet</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a365d"/>
          </w:tcPr>
          <w:p>
            <w:r>
              <w:rPr>
                <w:b/>
                <w:color w:val="FFFFFF"/>
              </w:rPr>
              <w:t>Étape</w:t>
            </w:r>
          </w:p>
        </w:tc>
        <w:tc>
          <w:tcPr>
            <w:tcW w:type="dxa" w:w="2880"/>
            <w:shd w:val="clear" w:color="auto" w:fill="1a365d"/>
          </w:tcPr>
          <w:p>
            <w:r>
              <w:rPr>
                <w:b/>
                <w:color w:val="FFFFFF"/>
              </w:rPr>
              <w:t>Action</w:t>
            </w:r>
          </w:p>
        </w:tc>
        <w:tc>
          <w:tcPr>
            <w:tcW w:type="dxa" w:w="2880"/>
            <w:shd w:val="clear" w:color="auto" w:fill="1a365d"/>
          </w:tcPr>
          <w:p>
            <w:r>
              <w:rPr>
                <w:b/>
                <w:color w:val="FFFFFF"/>
              </w:rPr>
              <w:t>Détail</w:t>
            </w:r>
          </w:p>
        </w:tc>
      </w:tr>
      <w:tr>
        <w:tc>
          <w:tcPr>
            <w:tcW w:type="dxa" w:w="2880"/>
            <w:shd w:val="clear" w:color="auto" w:fill="ebf8ff"/>
          </w:tcPr>
          <w:p>
            <w:r>
              <w:t>1</w:t>
            </w:r>
          </w:p>
        </w:tc>
        <w:tc>
          <w:tcPr>
            <w:tcW w:type="dxa" w:w="2880"/>
            <w:shd w:val="clear" w:color="auto" w:fill="ebf8ff"/>
          </w:tcPr>
          <w:p>
            <w:r>
              <w:t>Ouvrir le Builder</w:t>
            </w:r>
          </w:p>
        </w:tc>
        <w:tc>
          <w:tcPr>
            <w:tcW w:type="dxa" w:w="2880"/>
            <w:shd w:val="clear" w:color="auto" w:fill="ebf8ff"/>
          </w:tcPr>
          <w:p>
            <w:r>
              <w:t>Double-cliquez sur scorm-builder.html dans Chrome.</w:t>
            </w:r>
          </w:p>
        </w:tc>
      </w:tr>
      <w:tr>
        <w:tc>
          <w:tcPr>
            <w:tcW w:type="dxa" w:w="2880"/>
          </w:tcPr>
          <w:p>
            <w:r>
              <w:t>2</w:t>
            </w:r>
          </w:p>
        </w:tc>
        <w:tc>
          <w:tcPr>
            <w:tcW w:type="dxa" w:w="2880"/>
          </w:tcPr>
          <w:p>
            <w:r>
              <w:t>Construire le réseau</w:t>
            </w:r>
          </w:p>
        </w:tc>
        <w:tc>
          <w:tcPr>
            <w:tcW w:type="dxa" w:w="2880"/>
          </w:tcPr>
          <w:p>
            <w:r>
              <w:t>Onglet 1 : déposez les appareils, câblez, configurez les IP.</w:t>
            </w:r>
          </w:p>
        </w:tc>
      </w:tr>
      <w:tr>
        <w:tc>
          <w:tcPr>
            <w:tcW w:type="dxa" w:w="2880"/>
            <w:shd w:val="clear" w:color="auto" w:fill="ebf8ff"/>
          </w:tcPr>
          <w:p>
            <w:r>
              <w:t>3</w:t>
            </w:r>
          </w:p>
        </w:tc>
        <w:tc>
          <w:tcPr>
            <w:tcW w:type="dxa" w:w="2880"/>
            <w:shd w:val="clear" w:color="auto" w:fill="ebf8ff"/>
          </w:tcPr>
          <w:p>
            <w:r>
              <w:t>Configurer l'évaluation</w:t>
            </w:r>
          </w:p>
        </w:tc>
        <w:tc>
          <w:tcPr>
            <w:tcW w:type="dxa" w:w="2880"/>
            <w:shd w:val="clear" w:color="auto" w:fill="ebf8ff"/>
          </w:tcPr>
          <w:p>
            <w:r>
              <w:t>Onglet 2 : titre, objectifs, score de maîtrise.</w:t>
            </w:r>
          </w:p>
        </w:tc>
      </w:tr>
      <w:tr>
        <w:tc>
          <w:tcPr>
            <w:tcW w:type="dxa" w:w="2880"/>
          </w:tcPr>
          <w:p>
            <w:r>
              <w:t>4</w:t>
            </w:r>
          </w:p>
        </w:tc>
        <w:tc>
          <w:tcPr>
            <w:tcW w:type="dxa" w:w="2880"/>
          </w:tcPr>
          <w:p>
            <w:r>
              <w:t>Générer l'export</w:t>
            </w:r>
          </w:p>
        </w:tc>
        <w:tc>
          <w:tcPr>
            <w:tcW w:type="dxa" w:w="2880"/>
          </w:tcPr>
          <w:p>
            <w:r>
              <w:t>Onglet 3 : choisissez SCORM ou HTML, téléchargez.</w:t>
            </w:r>
          </w:p>
        </w:tc>
      </w:tr>
      <w:tr>
        <w:tc>
          <w:tcPr>
            <w:tcW w:type="dxa" w:w="2880"/>
            <w:shd w:val="clear" w:color="auto" w:fill="ebf8ff"/>
          </w:tcPr>
          <w:p>
            <w:r>
              <w:t>5</w:t>
            </w:r>
          </w:p>
        </w:tc>
        <w:tc>
          <w:tcPr>
            <w:tcW w:type="dxa" w:w="2880"/>
            <w:shd w:val="clear" w:color="auto" w:fill="ebf8ff"/>
          </w:tcPr>
          <w:p>
            <w:r>
              <w:t>Tester (HTML)</w:t>
            </w:r>
          </w:p>
        </w:tc>
        <w:tc>
          <w:tcPr>
            <w:tcW w:type="dxa" w:w="2880"/>
            <w:shd w:val="clear" w:color="auto" w:fill="ebf8ff"/>
          </w:tcPr>
          <w:p>
            <w:r>
              <w:t>Ouvrez le .html exporté, vérifiez chaque objectif.</w:t>
            </w:r>
          </w:p>
        </w:tc>
      </w:tr>
      <w:tr>
        <w:tc>
          <w:tcPr>
            <w:tcW w:type="dxa" w:w="2880"/>
          </w:tcPr>
          <w:p>
            <w:r>
              <w:t>6</w:t>
            </w:r>
          </w:p>
        </w:tc>
        <w:tc>
          <w:tcPr>
            <w:tcW w:type="dxa" w:w="2880"/>
          </w:tcPr>
          <w:p>
            <w:r>
              <w:t>Déployer sur Moodle</w:t>
            </w:r>
          </w:p>
        </w:tc>
        <w:tc>
          <w:tcPr>
            <w:tcW w:type="dxa" w:w="2880"/>
          </w:tcPr>
          <w:p>
            <w:r>
              <w:t>Importez le .zip SCORM dans votre cours.</w:t>
            </w:r>
          </w:p>
        </w:tc>
      </w:tr>
      <w:tr>
        <w:tc>
          <w:tcPr>
            <w:tcW w:type="dxa" w:w="2880"/>
            <w:shd w:val="clear" w:color="auto" w:fill="ebf8ff"/>
          </w:tcPr>
          <w:p>
            <w:r>
              <w:t>7</w:t>
            </w:r>
          </w:p>
        </w:tc>
        <w:tc>
          <w:tcPr>
            <w:tcW w:type="dxa" w:w="2880"/>
            <w:shd w:val="clear" w:color="auto" w:fill="ebf8ff"/>
          </w:tcPr>
          <w:p>
            <w:r>
              <w:t>Sauvegarder le scénario</w:t>
            </w:r>
          </w:p>
        </w:tc>
        <w:tc>
          <w:tcPr>
            <w:tcW w:type="dxa" w:w="2880"/>
            <w:shd w:val="clear" w:color="auto" w:fill="ebf8ff"/>
          </w:tcPr>
          <w:p>
            <w:r>
              <w:t>Bouton 💾 Exporter le scénario → .json.</w:t>
            </w:r>
          </w:p>
        </w:tc>
      </w:tr>
    </w:tbl>
    <w:p>
      <w:pPr>
        <w:pStyle w:val="Heading1"/>
        <w:jc w:val="left"/>
      </w:pPr>
      <w:r>
        <w:rPr>
          <w:color w:val="1A365D"/>
        </w:rPr>
        <w:t>4. Raccourcis clavier</w:t>
      </w:r>
    </w:p>
    <w:tbl>
      <w:tblPr>
        <w:tblStyle w:val="TableGrid"/>
        <w:tblW w:type="auto" w:w="0"/>
        <w:tblLook w:firstColumn="1" w:firstRow="1" w:lastColumn="0" w:lastRow="0" w:noHBand="0" w:noVBand="1" w:val="04A0"/>
      </w:tblPr>
      <w:tblGrid>
        <w:gridCol w:w="4320"/>
        <w:gridCol w:w="4320"/>
      </w:tblGrid>
      <w:tr>
        <w:tc>
          <w:tcPr>
            <w:tcW w:type="dxa" w:w="4320"/>
            <w:shd w:val="clear" w:color="auto" w:fill="f7fafc"/>
          </w:tcPr>
          <w:p>
            <w:r>
              <w:rPr>
                <w:b/>
              </w:rPr>
              <w:t>Ctrl+1</w:t>
            </w:r>
          </w:p>
        </w:tc>
        <w:tc>
          <w:tcPr>
            <w:tcW w:type="dxa" w:w="4320"/>
            <w:shd w:val="clear" w:color="auto" w:fill="f7fafc"/>
          </w:tcPr>
          <w:p>
            <w:r>
              <w:t>Aller à l'onglet Réseau</w:t>
            </w:r>
          </w:p>
        </w:tc>
      </w:tr>
      <w:tr>
        <w:tc>
          <w:tcPr>
            <w:tcW w:type="dxa" w:w="4320"/>
          </w:tcPr>
          <w:p>
            <w:r>
              <w:rPr>
                <w:b/>
              </w:rPr>
              <w:t>Ctrl+2</w:t>
            </w:r>
          </w:p>
        </w:tc>
        <w:tc>
          <w:tcPr>
            <w:tcW w:type="dxa" w:w="4320"/>
          </w:tcPr>
          <w:p>
            <w:r>
              <w:t>Aller à l'onglet Évaluation</w:t>
            </w:r>
          </w:p>
        </w:tc>
      </w:tr>
      <w:tr>
        <w:tc>
          <w:tcPr>
            <w:tcW w:type="dxa" w:w="4320"/>
            <w:shd w:val="clear" w:color="auto" w:fill="f7fafc"/>
          </w:tcPr>
          <w:p>
            <w:r>
              <w:rPr>
                <w:b/>
              </w:rPr>
              <w:t>Ctrl+3</w:t>
            </w:r>
          </w:p>
        </w:tc>
        <w:tc>
          <w:tcPr>
            <w:tcW w:type="dxa" w:w="4320"/>
            <w:shd w:val="clear" w:color="auto" w:fill="f7fafc"/>
          </w:tcPr>
          <w:p>
            <w:r>
              <w:t>Aller à l'onglet Générer</w:t>
            </w:r>
          </w:p>
        </w:tc>
      </w:tr>
      <w:tr>
        <w:tc>
          <w:tcPr>
            <w:tcW w:type="dxa" w:w="4320"/>
          </w:tcPr>
          <w:p>
            <w:r>
              <w:rPr>
                <w:b/>
              </w:rPr>
              <w:t>Ctrl+S</w:t>
            </w:r>
          </w:p>
        </w:tc>
        <w:tc>
          <w:tcPr>
            <w:tcW w:type="dxa" w:w="4320"/>
          </w:tcPr>
          <w:p>
            <w:r>
              <w:t>Sauvegarder la session</w:t>
            </w:r>
          </w:p>
        </w:tc>
      </w:tr>
      <w:tr>
        <w:tc>
          <w:tcPr>
            <w:tcW w:type="dxa" w:w="4320"/>
            <w:shd w:val="clear" w:color="auto" w:fill="f7fafc"/>
          </w:tcPr>
          <w:p>
            <w:r>
              <w:rPr>
                <w:b/>
              </w:rPr>
              <w:t>Suppr</w:t>
            </w:r>
          </w:p>
        </w:tc>
        <w:tc>
          <w:tcPr>
            <w:tcW w:type="dxa" w:w="4320"/>
            <w:shd w:val="clear" w:color="auto" w:fill="f7fafc"/>
          </w:tcPr>
          <w:p>
            <w:r>
              <w:t>Supprimer l'élément sélectionné</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